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BD273" w14:textId="77777777" w:rsidR="00893D5B" w:rsidRPr="000250FA" w:rsidRDefault="00893D5B" w:rsidP="00893D5B">
      <w:pPr>
        <w:rPr>
          <w:b/>
          <w:sz w:val="22"/>
          <w:szCs w:val="22"/>
        </w:rPr>
      </w:pPr>
    </w:p>
    <w:p w14:paraId="2E554984"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18F20839"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18324030"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AD51DDE"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3CE7C2D6"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222A68E1"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006511C"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1D62830E"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674A686E"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2C953494"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730EEBD4"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r w:rsidRPr="000250FA">
        <w:rPr>
          <w:b/>
          <w:sz w:val="22"/>
          <w:szCs w:val="22"/>
        </w:rPr>
        <w:t>A Pécsi Tudományegyetem</w:t>
      </w:r>
    </w:p>
    <w:p w14:paraId="1E7A0A98"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4AF53652"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r w:rsidRPr="000250FA">
        <w:rPr>
          <w:b/>
          <w:sz w:val="22"/>
          <w:szCs w:val="22"/>
        </w:rPr>
        <w:t>Szervezeti és Működési Szabályzatának 4. számú melléklete</w:t>
      </w:r>
    </w:p>
    <w:p w14:paraId="3C31BE1B"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B56F53D"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320B006D"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6B1C1236"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r w:rsidRPr="000250FA">
        <w:rPr>
          <w:b/>
          <w:sz w:val="22"/>
          <w:szCs w:val="22"/>
        </w:rPr>
        <w:t>A Pécsi Tudományegyetem</w:t>
      </w:r>
    </w:p>
    <w:p w14:paraId="2EF39FCC"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roofErr w:type="gramStart"/>
      <w:r w:rsidRPr="000250FA">
        <w:rPr>
          <w:b/>
          <w:sz w:val="22"/>
          <w:szCs w:val="22"/>
        </w:rPr>
        <w:t>foglalkoztatási</w:t>
      </w:r>
      <w:proofErr w:type="gramEnd"/>
      <w:r w:rsidRPr="000250FA">
        <w:rPr>
          <w:b/>
          <w:sz w:val="22"/>
          <w:szCs w:val="22"/>
        </w:rPr>
        <w:t xml:space="preserve"> követelményrendszere</w:t>
      </w:r>
    </w:p>
    <w:p w14:paraId="53462A74"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rPr>
          <w:b/>
          <w:sz w:val="22"/>
          <w:szCs w:val="22"/>
        </w:rPr>
      </w:pPr>
    </w:p>
    <w:p w14:paraId="45D779B5"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7664FF39"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r w:rsidRPr="000250FA">
        <w:rPr>
          <w:noProof/>
          <w:sz w:val="22"/>
          <w:szCs w:val="22"/>
        </w:rPr>
        <w:drawing>
          <wp:inline distT="0" distB="0" distL="0" distR="0" wp14:anchorId="1AD6BE3B" wp14:editId="3B4C92C8">
            <wp:extent cx="1940560" cy="1940560"/>
            <wp:effectExtent l="0" t="0" r="2540" b="254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560" cy="1940560"/>
                    </a:xfrm>
                    <a:prstGeom prst="rect">
                      <a:avLst/>
                    </a:prstGeom>
                    <a:noFill/>
                    <a:ln>
                      <a:noFill/>
                    </a:ln>
                  </pic:spPr>
                </pic:pic>
              </a:graphicData>
            </a:graphic>
          </wp:inline>
        </w:drawing>
      </w:r>
    </w:p>
    <w:p w14:paraId="1BA0322F"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6BB1EDF1"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24023196"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033504DD"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24083CB2"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6B0D4B29"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78095435"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18F08040"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D74C8A0"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644196DD"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434575F9"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ACBBB8E"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54E71837"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4098E9D2"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b/>
          <w:sz w:val="22"/>
          <w:szCs w:val="22"/>
        </w:rPr>
      </w:pPr>
    </w:p>
    <w:p w14:paraId="454EF016" w14:textId="77777777" w:rsidR="00893D5B" w:rsidRPr="00EA7F2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i/>
          <w:sz w:val="22"/>
          <w:szCs w:val="22"/>
        </w:rPr>
      </w:pPr>
    </w:p>
    <w:p w14:paraId="005D4AD2" w14:textId="6FF04AC4" w:rsidR="00893D5B" w:rsidRPr="000250FA" w:rsidRDefault="00186F78"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i/>
          <w:sz w:val="22"/>
          <w:szCs w:val="22"/>
        </w:rPr>
      </w:pPr>
      <w:r w:rsidRPr="00FB278D">
        <w:rPr>
          <w:i/>
          <w:sz w:val="22"/>
          <w:szCs w:val="22"/>
        </w:rPr>
        <w:t xml:space="preserve">2021. </w:t>
      </w:r>
      <w:r w:rsidR="00BE4C0E" w:rsidRPr="006C3A8D">
        <w:rPr>
          <w:bCs/>
          <w:i/>
          <w:iCs/>
          <w:sz w:val="22"/>
          <w:szCs w:val="22"/>
        </w:rPr>
        <w:t>július</w:t>
      </w:r>
      <w:r w:rsidRPr="00FB278D">
        <w:rPr>
          <w:bCs/>
          <w:i/>
          <w:iCs/>
          <w:sz w:val="22"/>
          <w:szCs w:val="22"/>
        </w:rPr>
        <w:t xml:space="preserve"> 01</w:t>
      </w:r>
      <w:r w:rsidR="007F0D05" w:rsidRPr="00FB278D">
        <w:rPr>
          <w:i/>
          <w:sz w:val="22"/>
          <w:szCs w:val="22"/>
        </w:rPr>
        <w:t>.</w:t>
      </w:r>
      <w:r w:rsidR="007F0D05">
        <w:rPr>
          <w:i/>
          <w:sz w:val="22"/>
          <w:szCs w:val="22"/>
        </w:rPr>
        <w:t xml:space="preserve"> </w:t>
      </w:r>
      <w:r w:rsidR="00893D5B" w:rsidRPr="000250FA">
        <w:rPr>
          <w:i/>
          <w:sz w:val="22"/>
          <w:szCs w:val="22"/>
        </w:rPr>
        <w:t xml:space="preserve">napjától </w:t>
      </w:r>
      <w:r w:rsidR="00081692">
        <w:rPr>
          <w:i/>
          <w:sz w:val="22"/>
          <w:szCs w:val="22"/>
        </w:rPr>
        <w:t xml:space="preserve">a veszélyhelyzet megszűnését követő napig </w:t>
      </w:r>
      <w:r w:rsidR="00893D5B" w:rsidRPr="000250FA">
        <w:rPr>
          <w:i/>
          <w:sz w:val="22"/>
          <w:szCs w:val="22"/>
        </w:rPr>
        <w:t>hatályos változat</w:t>
      </w:r>
    </w:p>
    <w:p w14:paraId="160C1111" w14:textId="77777777" w:rsidR="00893D5B" w:rsidRPr="000250FA" w:rsidRDefault="00893D5B" w:rsidP="00893D5B">
      <w:pPr>
        <w:pBdr>
          <w:top w:val="dashDotStroked" w:sz="24" w:space="0" w:color="auto"/>
          <w:left w:val="dashDotStroked" w:sz="24" w:space="4" w:color="auto"/>
          <w:bottom w:val="dashDotStroked" w:sz="24" w:space="1" w:color="auto"/>
          <w:right w:val="dashDotStroked" w:sz="24" w:space="4" w:color="auto"/>
        </w:pBdr>
        <w:tabs>
          <w:tab w:val="left" w:pos="9781"/>
        </w:tabs>
        <w:ind w:right="-144"/>
        <w:jc w:val="center"/>
        <w:rPr>
          <w:i/>
          <w:sz w:val="22"/>
          <w:szCs w:val="22"/>
        </w:rPr>
      </w:pPr>
    </w:p>
    <w:p w14:paraId="67F7642F" w14:textId="77777777" w:rsidR="00893D5B" w:rsidRPr="000250FA" w:rsidRDefault="00893D5B" w:rsidP="00893D5B">
      <w:pPr>
        <w:pStyle w:val="lfej"/>
        <w:tabs>
          <w:tab w:val="clear" w:pos="4536"/>
          <w:tab w:val="clear" w:pos="9072"/>
          <w:tab w:val="left" w:pos="9781"/>
        </w:tabs>
        <w:ind w:right="-144"/>
        <w:jc w:val="both"/>
        <w:rPr>
          <w:sz w:val="22"/>
          <w:szCs w:val="22"/>
        </w:rPr>
      </w:pPr>
    </w:p>
    <w:p w14:paraId="18CB5153" w14:textId="77777777" w:rsidR="00893D5B" w:rsidRPr="000250FA" w:rsidRDefault="00893D5B" w:rsidP="00893D5B">
      <w:pPr>
        <w:pStyle w:val="Cmsor1"/>
        <w:rPr>
          <w:lang w:val="hu-HU"/>
        </w:rPr>
      </w:pPr>
      <w:bookmarkStart w:id="0" w:name="_Toc432753511"/>
      <w:bookmarkStart w:id="1" w:name="_Toc444603540"/>
    </w:p>
    <w:p w14:paraId="4AFB9892" w14:textId="77777777" w:rsidR="00893D5B" w:rsidRPr="000250FA" w:rsidRDefault="00893D5B" w:rsidP="00893D5B">
      <w:pPr>
        <w:pStyle w:val="Tartalomjegyzkcmsora"/>
        <w:rPr>
          <w:color w:val="auto"/>
        </w:rPr>
      </w:pPr>
      <w:r w:rsidRPr="000250FA">
        <w:rPr>
          <w:color w:val="auto"/>
          <w:lang w:val="hu-HU"/>
        </w:rPr>
        <w:lastRenderedPageBreak/>
        <w:t>Tartalom</w:t>
      </w:r>
    </w:p>
    <w:p w14:paraId="75FB010E" w14:textId="70F8A7FD" w:rsidR="00B92B69" w:rsidRDefault="00893D5B">
      <w:pPr>
        <w:pStyle w:val="TJ1"/>
        <w:tabs>
          <w:tab w:val="right" w:leader="dot" w:pos="9062"/>
        </w:tabs>
        <w:rPr>
          <w:rFonts w:asciiTheme="minorHAnsi" w:eastAsiaTheme="minorEastAsia" w:hAnsiTheme="minorHAnsi" w:cstheme="minorBidi"/>
          <w:noProof/>
          <w:sz w:val="22"/>
          <w:szCs w:val="22"/>
        </w:rPr>
      </w:pPr>
      <w:r w:rsidRPr="000250FA">
        <w:fldChar w:fldCharType="begin"/>
      </w:r>
      <w:r w:rsidRPr="000250FA">
        <w:instrText xml:space="preserve"> TOC \o "1-3" \h \z \u </w:instrText>
      </w:r>
      <w:r w:rsidRPr="000250FA">
        <w:fldChar w:fldCharType="separate"/>
      </w:r>
      <w:hyperlink w:anchor="_Toc58569524" w:history="1">
        <w:r w:rsidR="00B92B69" w:rsidRPr="00127A64">
          <w:rPr>
            <w:rStyle w:val="Hiperhivatkozs"/>
            <w:noProof/>
          </w:rPr>
          <w:t>Preambulum</w:t>
        </w:r>
        <w:r w:rsidR="00B92B69">
          <w:rPr>
            <w:noProof/>
            <w:webHidden/>
          </w:rPr>
          <w:tab/>
        </w:r>
        <w:r w:rsidR="00B92B69">
          <w:rPr>
            <w:noProof/>
            <w:webHidden/>
          </w:rPr>
          <w:fldChar w:fldCharType="begin"/>
        </w:r>
        <w:r w:rsidR="00B92B69">
          <w:rPr>
            <w:noProof/>
            <w:webHidden/>
          </w:rPr>
          <w:instrText xml:space="preserve"> PAGEREF _Toc58569524 \h </w:instrText>
        </w:r>
        <w:r w:rsidR="00B92B69">
          <w:rPr>
            <w:noProof/>
            <w:webHidden/>
          </w:rPr>
        </w:r>
        <w:r w:rsidR="00B92B69">
          <w:rPr>
            <w:noProof/>
            <w:webHidden/>
          </w:rPr>
          <w:fldChar w:fldCharType="separate"/>
        </w:r>
        <w:r w:rsidR="00B92B69">
          <w:rPr>
            <w:noProof/>
            <w:webHidden/>
          </w:rPr>
          <w:t>4</w:t>
        </w:r>
        <w:r w:rsidR="00B92B69">
          <w:rPr>
            <w:noProof/>
            <w:webHidden/>
          </w:rPr>
          <w:fldChar w:fldCharType="end"/>
        </w:r>
      </w:hyperlink>
    </w:p>
    <w:p w14:paraId="3964650E" w14:textId="32E127DF"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25" w:history="1">
        <w:r w:rsidR="00B92B69" w:rsidRPr="00127A64">
          <w:rPr>
            <w:rStyle w:val="Hiperhivatkozs"/>
            <w:noProof/>
          </w:rPr>
          <w:t>ELSŐ RÉSZ</w:t>
        </w:r>
        <w:r w:rsidR="00B92B69">
          <w:rPr>
            <w:noProof/>
            <w:webHidden/>
          </w:rPr>
          <w:tab/>
        </w:r>
        <w:r w:rsidR="00B92B69">
          <w:rPr>
            <w:noProof/>
            <w:webHidden/>
          </w:rPr>
          <w:fldChar w:fldCharType="begin"/>
        </w:r>
        <w:r w:rsidR="00B92B69">
          <w:rPr>
            <w:noProof/>
            <w:webHidden/>
          </w:rPr>
          <w:instrText xml:space="preserve"> PAGEREF _Toc58569525 \h </w:instrText>
        </w:r>
        <w:r w:rsidR="00B92B69">
          <w:rPr>
            <w:noProof/>
            <w:webHidden/>
          </w:rPr>
        </w:r>
        <w:r w:rsidR="00B92B69">
          <w:rPr>
            <w:noProof/>
            <w:webHidden/>
          </w:rPr>
          <w:fldChar w:fldCharType="separate"/>
        </w:r>
        <w:r w:rsidR="00B92B69">
          <w:rPr>
            <w:noProof/>
            <w:webHidden/>
          </w:rPr>
          <w:t>4</w:t>
        </w:r>
        <w:r w:rsidR="00B92B69">
          <w:rPr>
            <w:noProof/>
            <w:webHidden/>
          </w:rPr>
          <w:fldChar w:fldCharType="end"/>
        </w:r>
      </w:hyperlink>
    </w:p>
    <w:p w14:paraId="5B85A460" w14:textId="62D43F25"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26" w:history="1">
        <w:r w:rsidR="00B92B69" w:rsidRPr="00127A64">
          <w:rPr>
            <w:rStyle w:val="Hiperhivatkozs"/>
            <w:noProof/>
          </w:rPr>
          <w:t>Bevezető rendelkezések</w:t>
        </w:r>
        <w:r w:rsidR="00B92B69">
          <w:rPr>
            <w:noProof/>
            <w:webHidden/>
          </w:rPr>
          <w:tab/>
        </w:r>
        <w:r w:rsidR="00B92B69">
          <w:rPr>
            <w:noProof/>
            <w:webHidden/>
          </w:rPr>
          <w:fldChar w:fldCharType="begin"/>
        </w:r>
        <w:r w:rsidR="00B92B69">
          <w:rPr>
            <w:noProof/>
            <w:webHidden/>
          </w:rPr>
          <w:instrText xml:space="preserve"> PAGEREF _Toc58569526 \h </w:instrText>
        </w:r>
        <w:r w:rsidR="00B92B69">
          <w:rPr>
            <w:noProof/>
            <w:webHidden/>
          </w:rPr>
        </w:r>
        <w:r w:rsidR="00B92B69">
          <w:rPr>
            <w:noProof/>
            <w:webHidden/>
          </w:rPr>
          <w:fldChar w:fldCharType="separate"/>
        </w:r>
        <w:r w:rsidR="00B92B69">
          <w:rPr>
            <w:noProof/>
            <w:webHidden/>
          </w:rPr>
          <w:t>4</w:t>
        </w:r>
        <w:r w:rsidR="00B92B69">
          <w:rPr>
            <w:noProof/>
            <w:webHidden/>
          </w:rPr>
          <w:fldChar w:fldCharType="end"/>
        </w:r>
      </w:hyperlink>
    </w:p>
    <w:p w14:paraId="30FFCBFF" w14:textId="4EBBD721"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27" w:history="1">
        <w:r w:rsidR="00B92B69" w:rsidRPr="00127A64">
          <w:rPr>
            <w:rStyle w:val="Hiperhivatkozs"/>
            <w:noProof/>
          </w:rPr>
          <w:t>A szabályzat hatálya</w:t>
        </w:r>
        <w:r w:rsidR="00B92B69">
          <w:rPr>
            <w:noProof/>
            <w:webHidden/>
          </w:rPr>
          <w:tab/>
        </w:r>
        <w:r w:rsidR="00B92B69">
          <w:rPr>
            <w:noProof/>
            <w:webHidden/>
          </w:rPr>
          <w:fldChar w:fldCharType="begin"/>
        </w:r>
        <w:r w:rsidR="00B92B69">
          <w:rPr>
            <w:noProof/>
            <w:webHidden/>
          </w:rPr>
          <w:instrText xml:space="preserve"> PAGEREF _Toc58569527 \h </w:instrText>
        </w:r>
        <w:r w:rsidR="00B92B69">
          <w:rPr>
            <w:noProof/>
            <w:webHidden/>
          </w:rPr>
        </w:r>
        <w:r w:rsidR="00B92B69">
          <w:rPr>
            <w:noProof/>
            <w:webHidden/>
          </w:rPr>
          <w:fldChar w:fldCharType="separate"/>
        </w:r>
        <w:r w:rsidR="00B92B69">
          <w:rPr>
            <w:noProof/>
            <w:webHidden/>
          </w:rPr>
          <w:t>4</w:t>
        </w:r>
        <w:r w:rsidR="00B92B69">
          <w:rPr>
            <w:noProof/>
            <w:webHidden/>
          </w:rPr>
          <w:fldChar w:fldCharType="end"/>
        </w:r>
      </w:hyperlink>
    </w:p>
    <w:p w14:paraId="6041B64C" w14:textId="38CCB452"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28" w:history="1">
        <w:r w:rsidR="00B92B69" w:rsidRPr="00127A64">
          <w:rPr>
            <w:rStyle w:val="Hiperhivatkozs"/>
            <w:noProof/>
          </w:rPr>
          <w:t>A munkáltatói jogok gyakorlásának rendje</w:t>
        </w:r>
        <w:r w:rsidR="00B92B69">
          <w:rPr>
            <w:noProof/>
            <w:webHidden/>
          </w:rPr>
          <w:tab/>
        </w:r>
        <w:r w:rsidR="00B92B69">
          <w:rPr>
            <w:noProof/>
            <w:webHidden/>
          </w:rPr>
          <w:fldChar w:fldCharType="begin"/>
        </w:r>
        <w:r w:rsidR="00B92B69">
          <w:rPr>
            <w:noProof/>
            <w:webHidden/>
          </w:rPr>
          <w:instrText xml:space="preserve"> PAGEREF _Toc58569528 \h </w:instrText>
        </w:r>
        <w:r w:rsidR="00B92B69">
          <w:rPr>
            <w:noProof/>
            <w:webHidden/>
          </w:rPr>
        </w:r>
        <w:r w:rsidR="00B92B69">
          <w:rPr>
            <w:noProof/>
            <w:webHidden/>
          </w:rPr>
          <w:fldChar w:fldCharType="separate"/>
        </w:r>
        <w:r w:rsidR="00B92B69">
          <w:rPr>
            <w:noProof/>
            <w:webHidden/>
          </w:rPr>
          <w:t>5</w:t>
        </w:r>
        <w:r w:rsidR="00B92B69">
          <w:rPr>
            <w:noProof/>
            <w:webHidden/>
          </w:rPr>
          <w:fldChar w:fldCharType="end"/>
        </w:r>
      </w:hyperlink>
    </w:p>
    <w:p w14:paraId="53FB7872" w14:textId="56FC3519"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29" w:history="1">
        <w:r w:rsidR="00B92B69" w:rsidRPr="00127A64">
          <w:rPr>
            <w:rStyle w:val="Hiperhivatkozs"/>
            <w:noProof/>
          </w:rPr>
          <w:t>Az Egyetemen létesíthető munkakörök</w:t>
        </w:r>
        <w:r w:rsidR="00B92B69">
          <w:rPr>
            <w:noProof/>
            <w:webHidden/>
          </w:rPr>
          <w:tab/>
        </w:r>
        <w:r w:rsidR="00B92B69">
          <w:rPr>
            <w:noProof/>
            <w:webHidden/>
          </w:rPr>
          <w:fldChar w:fldCharType="begin"/>
        </w:r>
        <w:r w:rsidR="00B92B69">
          <w:rPr>
            <w:noProof/>
            <w:webHidden/>
          </w:rPr>
          <w:instrText xml:space="preserve"> PAGEREF _Toc58569529 \h </w:instrText>
        </w:r>
        <w:r w:rsidR="00B92B69">
          <w:rPr>
            <w:noProof/>
            <w:webHidden/>
          </w:rPr>
        </w:r>
        <w:r w:rsidR="00B92B69">
          <w:rPr>
            <w:noProof/>
            <w:webHidden/>
          </w:rPr>
          <w:fldChar w:fldCharType="separate"/>
        </w:r>
        <w:r w:rsidR="00B92B69">
          <w:rPr>
            <w:noProof/>
            <w:webHidden/>
          </w:rPr>
          <w:t>7</w:t>
        </w:r>
        <w:r w:rsidR="00B92B69">
          <w:rPr>
            <w:noProof/>
            <w:webHidden/>
          </w:rPr>
          <w:fldChar w:fldCharType="end"/>
        </w:r>
      </w:hyperlink>
    </w:p>
    <w:p w14:paraId="71488A66" w14:textId="01A95A3A"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30" w:history="1">
        <w:r w:rsidR="00B92B69" w:rsidRPr="00127A64">
          <w:rPr>
            <w:rStyle w:val="Hiperhivatkozs"/>
            <w:noProof/>
          </w:rPr>
          <w:t>MÁSODIK RÉSZ</w:t>
        </w:r>
        <w:r w:rsidR="00B92B69">
          <w:rPr>
            <w:noProof/>
            <w:webHidden/>
          </w:rPr>
          <w:tab/>
        </w:r>
        <w:r w:rsidR="00B92B69">
          <w:rPr>
            <w:noProof/>
            <w:webHidden/>
          </w:rPr>
          <w:fldChar w:fldCharType="begin"/>
        </w:r>
        <w:r w:rsidR="00B92B69">
          <w:rPr>
            <w:noProof/>
            <w:webHidden/>
          </w:rPr>
          <w:instrText xml:space="preserve"> PAGEREF _Toc58569530 \h </w:instrText>
        </w:r>
        <w:r w:rsidR="00B92B69">
          <w:rPr>
            <w:noProof/>
            <w:webHidden/>
          </w:rPr>
        </w:r>
        <w:r w:rsidR="00B92B69">
          <w:rPr>
            <w:noProof/>
            <w:webHidden/>
          </w:rPr>
          <w:fldChar w:fldCharType="separate"/>
        </w:r>
        <w:r w:rsidR="00B92B69">
          <w:rPr>
            <w:noProof/>
            <w:webHidden/>
          </w:rPr>
          <w:t>7</w:t>
        </w:r>
        <w:r w:rsidR="00B92B69">
          <w:rPr>
            <w:noProof/>
            <w:webHidden/>
          </w:rPr>
          <w:fldChar w:fldCharType="end"/>
        </w:r>
      </w:hyperlink>
    </w:p>
    <w:p w14:paraId="06F254DB" w14:textId="5547C66D"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31" w:history="1">
        <w:r w:rsidR="00B92B69" w:rsidRPr="00127A64">
          <w:rPr>
            <w:rStyle w:val="Hiperhivatkozs"/>
            <w:noProof/>
          </w:rPr>
          <w:t>A közalkalmazotti jogviszonyra vonatkozó általános szabályok</w:t>
        </w:r>
        <w:r w:rsidR="00B92B69">
          <w:rPr>
            <w:noProof/>
            <w:webHidden/>
          </w:rPr>
          <w:tab/>
        </w:r>
        <w:r w:rsidR="00B92B69">
          <w:rPr>
            <w:noProof/>
            <w:webHidden/>
          </w:rPr>
          <w:fldChar w:fldCharType="begin"/>
        </w:r>
        <w:r w:rsidR="00B92B69">
          <w:rPr>
            <w:noProof/>
            <w:webHidden/>
          </w:rPr>
          <w:instrText xml:space="preserve"> PAGEREF _Toc58569531 \h </w:instrText>
        </w:r>
        <w:r w:rsidR="00B92B69">
          <w:rPr>
            <w:noProof/>
            <w:webHidden/>
          </w:rPr>
        </w:r>
        <w:r w:rsidR="00B92B69">
          <w:rPr>
            <w:noProof/>
            <w:webHidden/>
          </w:rPr>
          <w:fldChar w:fldCharType="separate"/>
        </w:r>
        <w:r w:rsidR="00B92B69">
          <w:rPr>
            <w:noProof/>
            <w:webHidden/>
          </w:rPr>
          <w:t>7</w:t>
        </w:r>
        <w:r w:rsidR="00B92B69">
          <w:rPr>
            <w:noProof/>
            <w:webHidden/>
          </w:rPr>
          <w:fldChar w:fldCharType="end"/>
        </w:r>
      </w:hyperlink>
    </w:p>
    <w:p w14:paraId="19AE1B52" w14:textId="77B0F6BA"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2" w:history="1">
        <w:r w:rsidR="00B92B69" w:rsidRPr="00127A64">
          <w:rPr>
            <w:rStyle w:val="Hiperhivatkozs"/>
            <w:noProof/>
          </w:rPr>
          <w:t>I. fejezet - A közalkalmazotti jogviszony alanyai, létesítése és módosítása</w:t>
        </w:r>
        <w:r w:rsidR="00B92B69">
          <w:rPr>
            <w:noProof/>
            <w:webHidden/>
          </w:rPr>
          <w:tab/>
        </w:r>
        <w:r w:rsidR="00B92B69">
          <w:rPr>
            <w:noProof/>
            <w:webHidden/>
          </w:rPr>
          <w:fldChar w:fldCharType="begin"/>
        </w:r>
        <w:r w:rsidR="00B92B69">
          <w:rPr>
            <w:noProof/>
            <w:webHidden/>
          </w:rPr>
          <w:instrText xml:space="preserve"> PAGEREF _Toc58569532 \h </w:instrText>
        </w:r>
        <w:r w:rsidR="00B92B69">
          <w:rPr>
            <w:noProof/>
            <w:webHidden/>
          </w:rPr>
        </w:r>
        <w:r w:rsidR="00B92B69">
          <w:rPr>
            <w:noProof/>
            <w:webHidden/>
          </w:rPr>
          <w:fldChar w:fldCharType="separate"/>
        </w:r>
        <w:r w:rsidR="00B92B69">
          <w:rPr>
            <w:noProof/>
            <w:webHidden/>
          </w:rPr>
          <w:t>7</w:t>
        </w:r>
        <w:r w:rsidR="00B92B69">
          <w:rPr>
            <w:noProof/>
            <w:webHidden/>
          </w:rPr>
          <w:fldChar w:fldCharType="end"/>
        </w:r>
      </w:hyperlink>
    </w:p>
    <w:p w14:paraId="475AD063" w14:textId="0B31257A"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3" w:history="1">
        <w:r w:rsidR="00B92B69" w:rsidRPr="00127A64">
          <w:rPr>
            <w:rStyle w:val="Hiperhivatkozs"/>
            <w:noProof/>
          </w:rPr>
          <w:t>II. fejezet - A közalkalmazotti jogviszony megszűnése és megszüntetése</w:t>
        </w:r>
        <w:r w:rsidR="00B92B69">
          <w:rPr>
            <w:noProof/>
            <w:webHidden/>
          </w:rPr>
          <w:tab/>
        </w:r>
        <w:r w:rsidR="00B92B69">
          <w:rPr>
            <w:noProof/>
            <w:webHidden/>
          </w:rPr>
          <w:fldChar w:fldCharType="begin"/>
        </w:r>
        <w:r w:rsidR="00B92B69">
          <w:rPr>
            <w:noProof/>
            <w:webHidden/>
          </w:rPr>
          <w:instrText xml:space="preserve"> PAGEREF _Toc58569533 \h </w:instrText>
        </w:r>
        <w:r w:rsidR="00B92B69">
          <w:rPr>
            <w:noProof/>
            <w:webHidden/>
          </w:rPr>
        </w:r>
        <w:r w:rsidR="00B92B69">
          <w:rPr>
            <w:noProof/>
            <w:webHidden/>
          </w:rPr>
          <w:fldChar w:fldCharType="separate"/>
        </w:r>
        <w:r w:rsidR="00B92B69">
          <w:rPr>
            <w:noProof/>
            <w:webHidden/>
          </w:rPr>
          <w:t>19</w:t>
        </w:r>
        <w:r w:rsidR="00B92B69">
          <w:rPr>
            <w:noProof/>
            <w:webHidden/>
          </w:rPr>
          <w:fldChar w:fldCharType="end"/>
        </w:r>
      </w:hyperlink>
    </w:p>
    <w:p w14:paraId="01F93744" w14:textId="07C415D4"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4" w:history="1">
        <w:r w:rsidR="00B92B69" w:rsidRPr="00127A64">
          <w:rPr>
            <w:rStyle w:val="Hiperhivatkozs"/>
            <w:noProof/>
          </w:rPr>
          <w:t>III. fejezet - A közalkalmazotti jogviszony tartalma</w:t>
        </w:r>
        <w:r w:rsidR="00B92B69">
          <w:rPr>
            <w:noProof/>
            <w:webHidden/>
          </w:rPr>
          <w:tab/>
        </w:r>
        <w:r w:rsidR="00B92B69">
          <w:rPr>
            <w:noProof/>
            <w:webHidden/>
          </w:rPr>
          <w:fldChar w:fldCharType="begin"/>
        </w:r>
        <w:r w:rsidR="00B92B69">
          <w:rPr>
            <w:noProof/>
            <w:webHidden/>
          </w:rPr>
          <w:instrText xml:space="preserve"> PAGEREF _Toc58569534 \h </w:instrText>
        </w:r>
        <w:r w:rsidR="00B92B69">
          <w:rPr>
            <w:noProof/>
            <w:webHidden/>
          </w:rPr>
        </w:r>
        <w:r w:rsidR="00B92B69">
          <w:rPr>
            <w:noProof/>
            <w:webHidden/>
          </w:rPr>
          <w:fldChar w:fldCharType="separate"/>
        </w:r>
        <w:r w:rsidR="00B92B69">
          <w:rPr>
            <w:noProof/>
            <w:webHidden/>
          </w:rPr>
          <w:t>32</w:t>
        </w:r>
        <w:r w:rsidR="00B92B69">
          <w:rPr>
            <w:noProof/>
            <w:webHidden/>
          </w:rPr>
          <w:fldChar w:fldCharType="end"/>
        </w:r>
      </w:hyperlink>
    </w:p>
    <w:p w14:paraId="50C9E240" w14:textId="0E7BA074"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5" w:history="1">
        <w:r w:rsidR="00B92B69" w:rsidRPr="00127A64">
          <w:rPr>
            <w:rStyle w:val="Hiperhivatkozs"/>
            <w:noProof/>
          </w:rPr>
          <w:t>IV. fejezet - A közalkalmazott vétkes kötelezettségszegéséért alkalmazható jogkövetkezmények és a közalkalmazottak kártérítési felelőssége</w:t>
        </w:r>
        <w:r w:rsidR="00B92B69">
          <w:rPr>
            <w:noProof/>
            <w:webHidden/>
          </w:rPr>
          <w:tab/>
        </w:r>
        <w:r w:rsidR="00B92B69">
          <w:rPr>
            <w:noProof/>
            <w:webHidden/>
          </w:rPr>
          <w:fldChar w:fldCharType="begin"/>
        </w:r>
        <w:r w:rsidR="00B92B69">
          <w:rPr>
            <w:noProof/>
            <w:webHidden/>
          </w:rPr>
          <w:instrText xml:space="preserve"> PAGEREF _Toc58569535 \h </w:instrText>
        </w:r>
        <w:r w:rsidR="00B92B69">
          <w:rPr>
            <w:noProof/>
            <w:webHidden/>
          </w:rPr>
        </w:r>
        <w:r w:rsidR="00B92B69">
          <w:rPr>
            <w:noProof/>
            <w:webHidden/>
          </w:rPr>
          <w:fldChar w:fldCharType="separate"/>
        </w:r>
        <w:r w:rsidR="00B92B69">
          <w:rPr>
            <w:noProof/>
            <w:webHidden/>
          </w:rPr>
          <w:t>38</w:t>
        </w:r>
        <w:r w:rsidR="00B92B69">
          <w:rPr>
            <w:noProof/>
            <w:webHidden/>
          </w:rPr>
          <w:fldChar w:fldCharType="end"/>
        </w:r>
      </w:hyperlink>
    </w:p>
    <w:p w14:paraId="6BF99415" w14:textId="58534183"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6" w:history="1">
        <w:r w:rsidR="00B92B69" w:rsidRPr="00127A64">
          <w:rPr>
            <w:rStyle w:val="Hiperhivatkozs"/>
            <w:noProof/>
          </w:rPr>
          <w:t>V. fejezet- A tanulmányi szerződés és a továbbképzés</w:t>
        </w:r>
        <w:r w:rsidR="00B92B69">
          <w:rPr>
            <w:noProof/>
            <w:webHidden/>
          </w:rPr>
          <w:tab/>
        </w:r>
        <w:r w:rsidR="00B92B69">
          <w:rPr>
            <w:noProof/>
            <w:webHidden/>
          </w:rPr>
          <w:fldChar w:fldCharType="begin"/>
        </w:r>
        <w:r w:rsidR="00B92B69">
          <w:rPr>
            <w:noProof/>
            <w:webHidden/>
          </w:rPr>
          <w:instrText xml:space="preserve"> PAGEREF _Toc58569536 \h </w:instrText>
        </w:r>
        <w:r w:rsidR="00B92B69">
          <w:rPr>
            <w:noProof/>
            <w:webHidden/>
          </w:rPr>
        </w:r>
        <w:r w:rsidR="00B92B69">
          <w:rPr>
            <w:noProof/>
            <w:webHidden/>
          </w:rPr>
          <w:fldChar w:fldCharType="separate"/>
        </w:r>
        <w:r w:rsidR="00B92B69">
          <w:rPr>
            <w:noProof/>
            <w:webHidden/>
          </w:rPr>
          <w:t>40</w:t>
        </w:r>
        <w:r w:rsidR="00B92B69">
          <w:rPr>
            <w:noProof/>
            <w:webHidden/>
          </w:rPr>
          <w:fldChar w:fldCharType="end"/>
        </w:r>
      </w:hyperlink>
    </w:p>
    <w:p w14:paraId="60B2CA82" w14:textId="7E7676C7"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7" w:history="1">
        <w:r w:rsidR="00B92B69" w:rsidRPr="00127A64">
          <w:rPr>
            <w:rStyle w:val="Hiperhivatkozs"/>
            <w:noProof/>
          </w:rPr>
          <w:t>VI. fejezet - A közalkalmazott minősítése</w:t>
        </w:r>
        <w:r w:rsidR="00B92B69">
          <w:rPr>
            <w:noProof/>
            <w:webHidden/>
          </w:rPr>
          <w:tab/>
        </w:r>
        <w:r w:rsidR="00B92B69">
          <w:rPr>
            <w:noProof/>
            <w:webHidden/>
          </w:rPr>
          <w:fldChar w:fldCharType="begin"/>
        </w:r>
        <w:r w:rsidR="00B92B69">
          <w:rPr>
            <w:noProof/>
            <w:webHidden/>
          </w:rPr>
          <w:instrText xml:space="preserve"> PAGEREF _Toc58569537 \h </w:instrText>
        </w:r>
        <w:r w:rsidR="00B92B69">
          <w:rPr>
            <w:noProof/>
            <w:webHidden/>
          </w:rPr>
        </w:r>
        <w:r w:rsidR="00B92B69">
          <w:rPr>
            <w:noProof/>
            <w:webHidden/>
          </w:rPr>
          <w:fldChar w:fldCharType="separate"/>
        </w:r>
        <w:r w:rsidR="00B92B69">
          <w:rPr>
            <w:noProof/>
            <w:webHidden/>
          </w:rPr>
          <w:t>42</w:t>
        </w:r>
        <w:r w:rsidR="00B92B69">
          <w:rPr>
            <w:noProof/>
            <w:webHidden/>
          </w:rPr>
          <w:fldChar w:fldCharType="end"/>
        </w:r>
      </w:hyperlink>
    </w:p>
    <w:p w14:paraId="460FD82F" w14:textId="42F70BD8"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38" w:history="1">
        <w:r w:rsidR="00B92B69" w:rsidRPr="00127A64">
          <w:rPr>
            <w:rStyle w:val="Hiperhivatkozs"/>
            <w:noProof/>
          </w:rPr>
          <w:t>VII. fejezet - A jogorvoslat rendje</w:t>
        </w:r>
        <w:r w:rsidR="00B92B69">
          <w:rPr>
            <w:noProof/>
            <w:webHidden/>
          </w:rPr>
          <w:tab/>
        </w:r>
        <w:r w:rsidR="00B92B69">
          <w:rPr>
            <w:noProof/>
            <w:webHidden/>
          </w:rPr>
          <w:fldChar w:fldCharType="begin"/>
        </w:r>
        <w:r w:rsidR="00B92B69">
          <w:rPr>
            <w:noProof/>
            <w:webHidden/>
          </w:rPr>
          <w:instrText xml:space="preserve"> PAGEREF _Toc58569538 \h </w:instrText>
        </w:r>
        <w:r w:rsidR="00B92B69">
          <w:rPr>
            <w:noProof/>
            <w:webHidden/>
          </w:rPr>
        </w:r>
        <w:r w:rsidR="00B92B69">
          <w:rPr>
            <w:noProof/>
            <w:webHidden/>
          </w:rPr>
          <w:fldChar w:fldCharType="separate"/>
        </w:r>
        <w:r w:rsidR="00B92B69">
          <w:rPr>
            <w:noProof/>
            <w:webHidden/>
          </w:rPr>
          <w:t>46</w:t>
        </w:r>
        <w:r w:rsidR="00B92B69">
          <w:rPr>
            <w:noProof/>
            <w:webHidden/>
          </w:rPr>
          <w:fldChar w:fldCharType="end"/>
        </w:r>
      </w:hyperlink>
    </w:p>
    <w:p w14:paraId="68E55FAF" w14:textId="7A74814D"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39" w:history="1">
        <w:r w:rsidR="00B92B69" w:rsidRPr="00127A64">
          <w:rPr>
            <w:rStyle w:val="Hiperhivatkozs"/>
            <w:noProof/>
          </w:rPr>
          <w:t>HARMADIK RÉSZ</w:t>
        </w:r>
        <w:r w:rsidR="00B92B69">
          <w:rPr>
            <w:noProof/>
            <w:webHidden/>
          </w:rPr>
          <w:tab/>
        </w:r>
        <w:r w:rsidR="00B92B69">
          <w:rPr>
            <w:noProof/>
            <w:webHidden/>
          </w:rPr>
          <w:fldChar w:fldCharType="begin"/>
        </w:r>
        <w:r w:rsidR="00B92B69">
          <w:rPr>
            <w:noProof/>
            <w:webHidden/>
          </w:rPr>
          <w:instrText xml:space="preserve"> PAGEREF _Toc58569539 \h </w:instrText>
        </w:r>
        <w:r w:rsidR="00B92B69">
          <w:rPr>
            <w:noProof/>
            <w:webHidden/>
          </w:rPr>
        </w:r>
        <w:r w:rsidR="00B92B69">
          <w:rPr>
            <w:noProof/>
            <w:webHidden/>
          </w:rPr>
          <w:fldChar w:fldCharType="separate"/>
        </w:r>
        <w:r w:rsidR="00B92B69">
          <w:rPr>
            <w:noProof/>
            <w:webHidden/>
          </w:rPr>
          <w:t>46</w:t>
        </w:r>
        <w:r w:rsidR="00B92B69">
          <w:rPr>
            <w:noProof/>
            <w:webHidden/>
          </w:rPr>
          <w:fldChar w:fldCharType="end"/>
        </w:r>
      </w:hyperlink>
    </w:p>
    <w:p w14:paraId="4294A9E5" w14:textId="06707BFF"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40" w:history="1">
        <w:r w:rsidR="00B92B69" w:rsidRPr="00127A64">
          <w:rPr>
            <w:rStyle w:val="Hiperhivatkozs"/>
            <w:noProof/>
          </w:rPr>
          <w:t>Az oktatókra, kutatókra és tanárokra vonatkozó különös szabályok</w:t>
        </w:r>
        <w:r w:rsidR="00B92B69">
          <w:rPr>
            <w:noProof/>
            <w:webHidden/>
          </w:rPr>
          <w:tab/>
        </w:r>
        <w:r w:rsidR="00B92B69">
          <w:rPr>
            <w:noProof/>
            <w:webHidden/>
          </w:rPr>
          <w:fldChar w:fldCharType="begin"/>
        </w:r>
        <w:r w:rsidR="00B92B69">
          <w:rPr>
            <w:noProof/>
            <w:webHidden/>
          </w:rPr>
          <w:instrText xml:space="preserve"> PAGEREF _Toc58569540 \h </w:instrText>
        </w:r>
        <w:r w:rsidR="00B92B69">
          <w:rPr>
            <w:noProof/>
            <w:webHidden/>
          </w:rPr>
        </w:r>
        <w:r w:rsidR="00B92B69">
          <w:rPr>
            <w:noProof/>
            <w:webHidden/>
          </w:rPr>
          <w:fldChar w:fldCharType="separate"/>
        </w:r>
        <w:r w:rsidR="00B92B69">
          <w:rPr>
            <w:noProof/>
            <w:webHidden/>
          </w:rPr>
          <w:t>46</w:t>
        </w:r>
        <w:r w:rsidR="00B92B69">
          <w:rPr>
            <w:noProof/>
            <w:webHidden/>
          </w:rPr>
          <w:fldChar w:fldCharType="end"/>
        </w:r>
      </w:hyperlink>
    </w:p>
    <w:p w14:paraId="5C46908E" w14:textId="51170AF9"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1" w:history="1">
        <w:r w:rsidR="00B92B69" w:rsidRPr="00127A64">
          <w:rPr>
            <w:rStyle w:val="Hiperhivatkozs"/>
            <w:noProof/>
          </w:rPr>
          <w:t>I. fejezet - Az oktatói munkakör létesítése</w:t>
        </w:r>
        <w:r w:rsidR="00B92B69">
          <w:rPr>
            <w:noProof/>
            <w:webHidden/>
          </w:rPr>
          <w:tab/>
        </w:r>
        <w:r w:rsidR="00B92B69">
          <w:rPr>
            <w:noProof/>
            <w:webHidden/>
          </w:rPr>
          <w:fldChar w:fldCharType="begin"/>
        </w:r>
        <w:r w:rsidR="00B92B69">
          <w:rPr>
            <w:noProof/>
            <w:webHidden/>
          </w:rPr>
          <w:instrText xml:space="preserve"> PAGEREF _Toc58569541 \h </w:instrText>
        </w:r>
        <w:r w:rsidR="00B92B69">
          <w:rPr>
            <w:noProof/>
            <w:webHidden/>
          </w:rPr>
        </w:r>
        <w:r w:rsidR="00B92B69">
          <w:rPr>
            <w:noProof/>
            <w:webHidden/>
          </w:rPr>
          <w:fldChar w:fldCharType="separate"/>
        </w:r>
        <w:r w:rsidR="00B92B69">
          <w:rPr>
            <w:noProof/>
            <w:webHidden/>
          </w:rPr>
          <w:t>46</w:t>
        </w:r>
        <w:r w:rsidR="00B92B69">
          <w:rPr>
            <w:noProof/>
            <w:webHidden/>
          </w:rPr>
          <w:fldChar w:fldCharType="end"/>
        </w:r>
      </w:hyperlink>
    </w:p>
    <w:p w14:paraId="1A2473AD" w14:textId="30C67092"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2" w:history="1">
        <w:r w:rsidR="00B92B69" w:rsidRPr="00127A64">
          <w:rPr>
            <w:rStyle w:val="Hiperhivatkozs"/>
            <w:noProof/>
          </w:rPr>
          <w:t>II. fejezet - Kutatói munkakör létesítése</w:t>
        </w:r>
        <w:r w:rsidR="00B92B69">
          <w:rPr>
            <w:noProof/>
            <w:webHidden/>
          </w:rPr>
          <w:tab/>
        </w:r>
        <w:r w:rsidR="00B92B69">
          <w:rPr>
            <w:noProof/>
            <w:webHidden/>
          </w:rPr>
          <w:fldChar w:fldCharType="begin"/>
        </w:r>
        <w:r w:rsidR="00B92B69">
          <w:rPr>
            <w:noProof/>
            <w:webHidden/>
          </w:rPr>
          <w:instrText xml:space="preserve"> PAGEREF _Toc58569542 \h </w:instrText>
        </w:r>
        <w:r w:rsidR="00B92B69">
          <w:rPr>
            <w:noProof/>
            <w:webHidden/>
          </w:rPr>
        </w:r>
        <w:r w:rsidR="00B92B69">
          <w:rPr>
            <w:noProof/>
            <w:webHidden/>
          </w:rPr>
          <w:fldChar w:fldCharType="separate"/>
        </w:r>
        <w:r w:rsidR="00B92B69">
          <w:rPr>
            <w:noProof/>
            <w:webHidden/>
          </w:rPr>
          <w:t>53</w:t>
        </w:r>
        <w:r w:rsidR="00B92B69">
          <w:rPr>
            <w:noProof/>
            <w:webHidden/>
          </w:rPr>
          <w:fldChar w:fldCharType="end"/>
        </w:r>
      </w:hyperlink>
    </w:p>
    <w:p w14:paraId="03767065" w14:textId="01550382"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3" w:history="1">
        <w:r w:rsidR="00B92B69" w:rsidRPr="00127A64">
          <w:rPr>
            <w:rStyle w:val="Hiperhivatkozs"/>
            <w:noProof/>
          </w:rPr>
          <w:t>III. fejezet - A tanári munkakör létesítése a felsőoktatásban</w:t>
        </w:r>
        <w:r w:rsidR="00B92B69">
          <w:rPr>
            <w:noProof/>
            <w:webHidden/>
          </w:rPr>
          <w:tab/>
        </w:r>
        <w:r w:rsidR="00B92B69">
          <w:rPr>
            <w:noProof/>
            <w:webHidden/>
          </w:rPr>
          <w:fldChar w:fldCharType="begin"/>
        </w:r>
        <w:r w:rsidR="00B92B69">
          <w:rPr>
            <w:noProof/>
            <w:webHidden/>
          </w:rPr>
          <w:instrText xml:space="preserve"> PAGEREF _Toc58569543 \h </w:instrText>
        </w:r>
        <w:r w:rsidR="00B92B69">
          <w:rPr>
            <w:noProof/>
            <w:webHidden/>
          </w:rPr>
        </w:r>
        <w:r w:rsidR="00B92B69">
          <w:rPr>
            <w:noProof/>
            <w:webHidden/>
          </w:rPr>
          <w:fldChar w:fldCharType="separate"/>
        </w:r>
        <w:r w:rsidR="00B92B69">
          <w:rPr>
            <w:noProof/>
            <w:webHidden/>
          </w:rPr>
          <w:t>57</w:t>
        </w:r>
        <w:r w:rsidR="00B92B69">
          <w:rPr>
            <w:noProof/>
            <w:webHidden/>
          </w:rPr>
          <w:fldChar w:fldCharType="end"/>
        </w:r>
      </w:hyperlink>
    </w:p>
    <w:p w14:paraId="71C27D2C" w14:textId="72239AA8"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4" w:history="1">
        <w:r w:rsidR="00B92B69" w:rsidRPr="00127A64">
          <w:rPr>
            <w:rStyle w:val="Hiperhivatkozs"/>
            <w:noProof/>
          </w:rPr>
          <w:t>IV. fejezet - Az oktatók, kutatók és tanárok jogai és kötelességei</w:t>
        </w:r>
        <w:r w:rsidR="00B92B69">
          <w:rPr>
            <w:noProof/>
            <w:webHidden/>
          </w:rPr>
          <w:tab/>
        </w:r>
        <w:r w:rsidR="00B92B69">
          <w:rPr>
            <w:noProof/>
            <w:webHidden/>
          </w:rPr>
          <w:fldChar w:fldCharType="begin"/>
        </w:r>
        <w:r w:rsidR="00B92B69">
          <w:rPr>
            <w:noProof/>
            <w:webHidden/>
          </w:rPr>
          <w:instrText xml:space="preserve"> PAGEREF _Toc58569544 \h </w:instrText>
        </w:r>
        <w:r w:rsidR="00B92B69">
          <w:rPr>
            <w:noProof/>
            <w:webHidden/>
          </w:rPr>
        </w:r>
        <w:r w:rsidR="00B92B69">
          <w:rPr>
            <w:noProof/>
            <w:webHidden/>
          </w:rPr>
          <w:fldChar w:fldCharType="separate"/>
        </w:r>
        <w:r w:rsidR="00B92B69">
          <w:rPr>
            <w:noProof/>
            <w:webHidden/>
          </w:rPr>
          <w:t>60</w:t>
        </w:r>
        <w:r w:rsidR="00B92B69">
          <w:rPr>
            <w:noProof/>
            <w:webHidden/>
          </w:rPr>
          <w:fldChar w:fldCharType="end"/>
        </w:r>
      </w:hyperlink>
    </w:p>
    <w:p w14:paraId="4D4900D0" w14:textId="52657FF4"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5" w:history="1">
        <w:r w:rsidR="00B92B69" w:rsidRPr="00127A64">
          <w:rPr>
            <w:rStyle w:val="Hiperhivatkozs"/>
            <w:noProof/>
          </w:rPr>
          <w:t>V. fejezet - Oktatói, kutatói, tanári közalkalmazotti jogviszony megszűnése és megszüntetése</w:t>
        </w:r>
        <w:r w:rsidR="00B92B69">
          <w:rPr>
            <w:noProof/>
            <w:webHidden/>
          </w:rPr>
          <w:tab/>
        </w:r>
        <w:r w:rsidR="00B92B69">
          <w:rPr>
            <w:noProof/>
            <w:webHidden/>
          </w:rPr>
          <w:fldChar w:fldCharType="begin"/>
        </w:r>
        <w:r w:rsidR="00B92B69">
          <w:rPr>
            <w:noProof/>
            <w:webHidden/>
          </w:rPr>
          <w:instrText xml:space="preserve"> PAGEREF _Toc58569545 \h </w:instrText>
        </w:r>
        <w:r w:rsidR="00B92B69">
          <w:rPr>
            <w:noProof/>
            <w:webHidden/>
          </w:rPr>
        </w:r>
        <w:r w:rsidR="00B92B69">
          <w:rPr>
            <w:noProof/>
            <w:webHidden/>
          </w:rPr>
          <w:fldChar w:fldCharType="separate"/>
        </w:r>
        <w:r w:rsidR="00B92B69">
          <w:rPr>
            <w:noProof/>
            <w:webHidden/>
          </w:rPr>
          <w:t>62</w:t>
        </w:r>
        <w:r w:rsidR="00B92B69">
          <w:rPr>
            <w:noProof/>
            <w:webHidden/>
          </w:rPr>
          <w:fldChar w:fldCharType="end"/>
        </w:r>
      </w:hyperlink>
    </w:p>
    <w:p w14:paraId="04B100E9" w14:textId="2D191109"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46" w:history="1">
        <w:r w:rsidR="00B92B69" w:rsidRPr="00127A64">
          <w:rPr>
            <w:rStyle w:val="Hiperhivatkozs"/>
            <w:noProof/>
          </w:rPr>
          <w:t>NEGYEDIK RÉSZ</w:t>
        </w:r>
        <w:r w:rsidR="00B92B69">
          <w:rPr>
            <w:noProof/>
            <w:webHidden/>
          </w:rPr>
          <w:tab/>
        </w:r>
        <w:r w:rsidR="00B92B69">
          <w:rPr>
            <w:noProof/>
            <w:webHidden/>
          </w:rPr>
          <w:fldChar w:fldCharType="begin"/>
        </w:r>
        <w:r w:rsidR="00B92B69">
          <w:rPr>
            <w:noProof/>
            <w:webHidden/>
          </w:rPr>
          <w:instrText xml:space="preserve"> PAGEREF _Toc58569546 \h </w:instrText>
        </w:r>
        <w:r w:rsidR="00B92B69">
          <w:rPr>
            <w:noProof/>
            <w:webHidden/>
          </w:rPr>
        </w:r>
        <w:r w:rsidR="00B92B69">
          <w:rPr>
            <w:noProof/>
            <w:webHidden/>
          </w:rPr>
          <w:fldChar w:fldCharType="separate"/>
        </w:r>
        <w:r w:rsidR="00B92B69">
          <w:rPr>
            <w:noProof/>
            <w:webHidden/>
          </w:rPr>
          <w:t>66</w:t>
        </w:r>
        <w:r w:rsidR="00B92B69">
          <w:rPr>
            <w:noProof/>
            <w:webHidden/>
          </w:rPr>
          <w:fldChar w:fldCharType="end"/>
        </w:r>
      </w:hyperlink>
    </w:p>
    <w:p w14:paraId="157C99DA" w14:textId="42CAC35A"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47" w:history="1">
        <w:r w:rsidR="00B92B69" w:rsidRPr="00127A64">
          <w:rPr>
            <w:rStyle w:val="Hiperhivatkozs"/>
            <w:noProof/>
          </w:rPr>
          <w:t>A nem oktatói, kutatói, tanári munkakörben foglalkoztatottakra vonatkozó különös szabályok</w:t>
        </w:r>
        <w:r w:rsidR="00B92B69">
          <w:rPr>
            <w:noProof/>
            <w:webHidden/>
          </w:rPr>
          <w:tab/>
        </w:r>
        <w:r w:rsidR="00B92B69">
          <w:rPr>
            <w:noProof/>
            <w:webHidden/>
          </w:rPr>
          <w:fldChar w:fldCharType="begin"/>
        </w:r>
        <w:r w:rsidR="00B92B69">
          <w:rPr>
            <w:noProof/>
            <w:webHidden/>
          </w:rPr>
          <w:instrText xml:space="preserve"> PAGEREF _Toc58569547 \h </w:instrText>
        </w:r>
        <w:r w:rsidR="00B92B69">
          <w:rPr>
            <w:noProof/>
            <w:webHidden/>
          </w:rPr>
        </w:r>
        <w:r w:rsidR="00B92B69">
          <w:rPr>
            <w:noProof/>
            <w:webHidden/>
          </w:rPr>
          <w:fldChar w:fldCharType="separate"/>
        </w:r>
        <w:r w:rsidR="00B92B69">
          <w:rPr>
            <w:noProof/>
            <w:webHidden/>
          </w:rPr>
          <w:t>66</w:t>
        </w:r>
        <w:r w:rsidR="00B92B69">
          <w:rPr>
            <w:noProof/>
            <w:webHidden/>
          </w:rPr>
          <w:fldChar w:fldCharType="end"/>
        </w:r>
      </w:hyperlink>
    </w:p>
    <w:p w14:paraId="6827044E" w14:textId="4678A68B"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48" w:history="1">
        <w:r w:rsidR="00B92B69" w:rsidRPr="00127A64">
          <w:rPr>
            <w:rStyle w:val="Hiperhivatkozs"/>
            <w:noProof/>
          </w:rPr>
          <w:t>I. fejezet - A nem oktatói, kutatói, tanári munkakör létesítésére vonatkozó rendelkezések</w:t>
        </w:r>
        <w:r w:rsidR="00B92B69">
          <w:rPr>
            <w:noProof/>
            <w:webHidden/>
          </w:rPr>
          <w:tab/>
        </w:r>
        <w:r w:rsidR="00B92B69">
          <w:rPr>
            <w:noProof/>
            <w:webHidden/>
          </w:rPr>
          <w:fldChar w:fldCharType="begin"/>
        </w:r>
        <w:r w:rsidR="00B92B69">
          <w:rPr>
            <w:noProof/>
            <w:webHidden/>
          </w:rPr>
          <w:instrText xml:space="preserve"> PAGEREF _Toc58569548 \h </w:instrText>
        </w:r>
        <w:r w:rsidR="00B92B69">
          <w:rPr>
            <w:noProof/>
            <w:webHidden/>
          </w:rPr>
        </w:r>
        <w:r w:rsidR="00B92B69">
          <w:rPr>
            <w:noProof/>
            <w:webHidden/>
          </w:rPr>
          <w:fldChar w:fldCharType="separate"/>
        </w:r>
        <w:r w:rsidR="00B92B69">
          <w:rPr>
            <w:noProof/>
            <w:webHidden/>
          </w:rPr>
          <w:t>66</w:t>
        </w:r>
        <w:r w:rsidR="00B92B69">
          <w:rPr>
            <w:noProof/>
            <w:webHidden/>
          </w:rPr>
          <w:fldChar w:fldCharType="end"/>
        </w:r>
      </w:hyperlink>
    </w:p>
    <w:p w14:paraId="3BDD0272" w14:textId="58FC0B51"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49" w:history="1">
        <w:r w:rsidR="00B92B69" w:rsidRPr="00127A64">
          <w:rPr>
            <w:rStyle w:val="Hiperhivatkozs"/>
            <w:noProof/>
          </w:rPr>
          <w:t>ÖTÖDIK RÉSZ</w:t>
        </w:r>
        <w:r w:rsidR="00B92B69">
          <w:rPr>
            <w:noProof/>
            <w:webHidden/>
          </w:rPr>
          <w:tab/>
        </w:r>
        <w:r w:rsidR="00B92B69">
          <w:rPr>
            <w:noProof/>
            <w:webHidden/>
          </w:rPr>
          <w:fldChar w:fldCharType="begin"/>
        </w:r>
        <w:r w:rsidR="00B92B69">
          <w:rPr>
            <w:noProof/>
            <w:webHidden/>
          </w:rPr>
          <w:instrText xml:space="preserve"> PAGEREF _Toc58569549 \h </w:instrText>
        </w:r>
        <w:r w:rsidR="00B92B69">
          <w:rPr>
            <w:noProof/>
            <w:webHidden/>
          </w:rPr>
        </w:r>
        <w:r w:rsidR="00B92B69">
          <w:rPr>
            <w:noProof/>
            <w:webHidden/>
          </w:rPr>
          <w:fldChar w:fldCharType="separate"/>
        </w:r>
        <w:r w:rsidR="00B92B69">
          <w:rPr>
            <w:noProof/>
            <w:webHidden/>
          </w:rPr>
          <w:t>68</w:t>
        </w:r>
        <w:r w:rsidR="00B92B69">
          <w:rPr>
            <w:noProof/>
            <w:webHidden/>
          </w:rPr>
          <w:fldChar w:fldCharType="end"/>
        </w:r>
      </w:hyperlink>
    </w:p>
    <w:p w14:paraId="28B3AEA6" w14:textId="1CE31C97"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50" w:history="1">
        <w:r w:rsidR="00B92B69" w:rsidRPr="00127A64">
          <w:rPr>
            <w:rStyle w:val="Hiperhivatkozs"/>
            <w:noProof/>
          </w:rPr>
          <w:t>I. fejezet - Magasabb vezetőkre és vezetőkre vonatkozó különös szabályok</w:t>
        </w:r>
        <w:r w:rsidR="00B92B69">
          <w:rPr>
            <w:noProof/>
            <w:webHidden/>
          </w:rPr>
          <w:tab/>
        </w:r>
        <w:r w:rsidR="00B92B69">
          <w:rPr>
            <w:noProof/>
            <w:webHidden/>
          </w:rPr>
          <w:fldChar w:fldCharType="begin"/>
        </w:r>
        <w:r w:rsidR="00B92B69">
          <w:rPr>
            <w:noProof/>
            <w:webHidden/>
          </w:rPr>
          <w:instrText xml:space="preserve"> PAGEREF _Toc58569550 \h </w:instrText>
        </w:r>
        <w:r w:rsidR="00B92B69">
          <w:rPr>
            <w:noProof/>
            <w:webHidden/>
          </w:rPr>
        </w:r>
        <w:r w:rsidR="00B92B69">
          <w:rPr>
            <w:noProof/>
            <w:webHidden/>
          </w:rPr>
          <w:fldChar w:fldCharType="separate"/>
        </w:r>
        <w:r w:rsidR="00B92B69">
          <w:rPr>
            <w:noProof/>
            <w:webHidden/>
          </w:rPr>
          <w:t>68</w:t>
        </w:r>
        <w:r w:rsidR="00B92B69">
          <w:rPr>
            <w:noProof/>
            <w:webHidden/>
          </w:rPr>
          <w:fldChar w:fldCharType="end"/>
        </w:r>
      </w:hyperlink>
    </w:p>
    <w:p w14:paraId="103FEAFA" w14:textId="0FBAF35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51" w:history="1">
        <w:r w:rsidR="00B92B69" w:rsidRPr="00127A64">
          <w:rPr>
            <w:rStyle w:val="Hiperhivatkozs"/>
            <w:noProof/>
          </w:rPr>
          <w:t>HATODIK RÉSZ</w:t>
        </w:r>
        <w:r w:rsidR="00B92B69">
          <w:rPr>
            <w:noProof/>
            <w:webHidden/>
          </w:rPr>
          <w:tab/>
        </w:r>
        <w:r w:rsidR="00B92B69">
          <w:rPr>
            <w:noProof/>
            <w:webHidden/>
          </w:rPr>
          <w:fldChar w:fldCharType="begin"/>
        </w:r>
        <w:r w:rsidR="00B92B69">
          <w:rPr>
            <w:noProof/>
            <w:webHidden/>
          </w:rPr>
          <w:instrText xml:space="preserve"> PAGEREF _Toc58569551 \h </w:instrText>
        </w:r>
        <w:r w:rsidR="00B92B69">
          <w:rPr>
            <w:noProof/>
            <w:webHidden/>
          </w:rPr>
        </w:r>
        <w:r w:rsidR="00B92B69">
          <w:rPr>
            <w:noProof/>
            <w:webHidden/>
          </w:rPr>
          <w:fldChar w:fldCharType="separate"/>
        </w:r>
        <w:r w:rsidR="00B92B69">
          <w:rPr>
            <w:noProof/>
            <w:webHidden/>
          </w:rPr>
          <w:t>73</w:t>
        </w:r>
        <w:r w:rsidR="00B92B69">
          <w:rPr>
            <w:noProof/>
            <w:webHidden/>
          </w:rPr>
          <w:fldChar w:fldCharType="end"/>
        </w:r>
      </w:hyperlink>
    </w:p>
    <w:p w14:paraId="7F263608" w14:textId="252627DF"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52" w:history="1">
        <w:r w:rsidR="00B92B69" w:rsidRPr="00127A64">
          <w:rPr>
            <w:rStyle w:val="Hiperhivatkozs"/>
            <w:noProof/>
          </w:rPr>
          <w:t>A pályázati eljárás rendje</w:t>
        </w:r>
        <w:r w:rsidR="00B92B69">
          <w:rPr>
            <w:noProof/>
            <w:webHidden/>
          </w:rPr>
          <w:tab/>
        </w:r>
        <w:r w:rsidR="00B92B69">
          <w:rPr>
            <w:noProof/>
            <w:webHidden/>
          </w:rPr>
          <w:fldChar w:fldCharType="begin"/>
        </w:r>
        <w:r w:rsidR="00B92B69">
          <w:rPr>
            <w:noProof/>
            <w:webHidden/>
          </w:rPr>
          <w:instrText xml:space="preserve"> PAGEREF _Toc58569552 \h </w:instrText>
        </w:r>
        <w:r w:rsidR="00B92B69">
          <w:rPr>
            <w:noProof/>
            <w:webHidden/>
          </w:rPr>
        </w:r>
        <w:r w:rsidR="00B92B69">
          <w:rPr>
            <w:noProof/>
            <w:webHidden/>
          </w:rPr>
          <w:fldChar w:fldCharType="separate"/>
        </w:r>
        <w:r w:rsidR="00B92B69">
          <w:rPr>
            <w:noProof/>
            <w:webHidden/>
          </w:rPr>
          <w:t>73</w:t>
        </w:r>
        <w:r w:rsidR="00B92B69">
          <w:rPr>
            <w:noProof/>
            <w:webHidden/>
          </w:rPr>
          <w:fldChar w:fldCharType="end"/>
        </w:r>
      </w:hyperlink>
    </w:p>
    <w:p w14:paraId="77F3E077" w14:textId="7083C61B"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53" w:history="1">
        <w:r w:rsidR="00B92B69" w:rsidRPr="00127A64">
          <w:rPr>
            <w:rStyle w:val="Hiperhivatkozs"/>
            <w:noProof/>
          </w:rPr>
          <w:t>I. fejezet - A pályázati eljárás általános szabályai</w:t>
        </w:r>
        <w:r w:rsidR="00B92B69">
          <w:rPr>
            <w:noProof/>
            <w:webHidden/>
          </w:rPr>
          <w:tab/>
        </w:r>
        <w:r w:rsidR="00B92B69">
          <w:rPr>
            <w:noProof/>
            <w:webHidden/>
          </w:rPr>
          <w:fldChar w:fldCharType="begin"/>
        </w:r>
        <w:r w:rsidR="00B92B69">
          <w:rPr>
            <w:noProof/>
            <w:webHidden/>
          </w:rPr>
          <w:instrText xml:space="preserve"> PAGEREF _Toc58569553 \h </w:instrText>
        </w:r>
        <w:r w:rsidR="00B92B69">
          <w:rPr>
            <w:noProof/>
            <w:webHidden/>
          </w:rPr>
        </w:r>
        <w:r w:rsidR="00B92B69">
          <w:rPr>
            <w:noProof/>
            <w:webHidden/>
          </w:rPr>
          <w:fldChar w:fldCharType="separate"/>
        </w:r>
        <w:r w:rsidR="00B92B69">
          <w:rPr>
            <w:noProof/>
            <w:webHidden/>
          </w:rPr>
          <w:t>73</w:t>
        </w:r>
        <w:r w:rsidR="00B92B69">
          <w:rPr>
            <w:noProof/>
            <w:webHidden/>
          </w:rPr>
          <w:fldChar w:fldCharType="end"/>
        </w:r>
      </w:hyperlink>
    </w:p>
    <w:p w14:paraId="61F73655" w14:textId="22EDBB4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54" w:history="1">
        <w:r w:rsidR="00B92B69" w:rsidRPr="00127A64">
          <w:rPr>
            <w:rStyle w:val="Hiperhivatkozs"/>
            <w:noProof/>
          </w:rPr>
          <w:t>HETEDIK RÉSZ</w:t>
        </w:r>
        <w:r w:rsidR="00B92B69">
          <w:rPr>
            <w:noProof/>
            <w:webHidden/>
          </w:rPr>
          <w:tab/>
        </w:r>
        <w:r w:rsidR="00B92B69">
          <w:rPr>
            <w:noProof/>
            <w:webHidden/>
          </w:rPr>
          <w:fldChar w:fldCharType="begin"/>
        </w:r>
        <w:r w:rsidR="00B92B69">
          <w:rPr>
            <w:noProof/>
            <w:webHidden/>
          </w:rPr>
          <w:instrText xml:space="preserve"> PAGEREF _Toc58569554 \h </w:instrText>
        </w:r>
        <w:r w:rsidR="00B92B69">
          <w:rPr>
            <w:noProof/>
            <w:webHidden/>
          </w:rPr>
        </w:r>
        <w:r w:rsidR="00B92B69">
          <w:rPr>
            <w:noProof/>
            <w:webHidden/>
          </w:rPr>
          <w:fldChar w:fldCharType="separate"/>
        </w:r>
        <w:r w:rsidR="00B92B69">
          <w:rPr>
            <w:noProof/>
            <w:webHidden/>
          </w:rPr>
          <w:t>80</w:t>
        </w:r>
        <w:r w:rsidR="00B92B69">
          <w:rPr>
            <w:noProof/>
            <w:webHidden/>
          </w:rPr>
          <w:fldChar w:fldCharType="end"/>
        </w:r>
      </w:hyperlink>
    </w:p>
    <w:p w14:paraId="63EC3384" w14:textId="12ECC59D"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55" w:history="1">
        <w:r w:rsidR="00B92B69" w:rsidRPr="00127A64">
          <w:rPr>
            <w:rStyle w:val="Hiperhivatkozs"/>
            <w:noProof/>
          </w:rPr>
          <w:t>Az Egyetem által adományozható munkaköri és egyéb címek</w:t>
        </w:r>
        <w:r w:rsidR="00B92B69">
          <w:rPr>
            <w:noProof/>
            <w:webHidden/>
          </w:rPr>
          <w:tab/>
        </w:r>
        <w:r w:rsidR="00B92B69">
          <w:rPr>
            <w:noProof/>
            <w:webHidden/>
          </w:rPr>
          <w:fldChar w:fldCharType="begin"/>
        </w:r>
        <w:r w:rsidR="00B92B69">
          <w:rPr>
            <w:noProof/>
            <w:webHidden/>
          </w:rPr>
          <w:instrText xml:space="preserve"> PAGEREF _Toc58569555 \h </w:instrText>
        </w:r>
        <w:r w:rsidR="00B92B69">
          <w:rPr>
            <w:noProof/>
            <w:webHidden/>
          </w:rPr>
        </w:r>
        <w:r w:rsidR="00B92B69">
          <w:rPr>
            <w:noProof/>
            <w:webHidden/>
          </w:rPr>
          <w:fldChar w:fldCharType="separate"/>
        </w:r>
        <w:r w:rsidR="00B92B69">
          <w:rPr>
            <w:noProof/>
            <w:webHidden/>
          </w:rPr>
          <w:t>80</w:t>
        </w:r>
        <w:r w:rsidR="00B92B69">
          <w:rPr>
            <w:noProof/>
            <w:webHidden/>
          </w:rPr>
          <w:fldChar w:fldCharType="end"/>
        </w:r>
      </w:hyperlink>
    </w:p>
    <w:p w14:paraId="77814A95" w14:textId="05938FD8"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56" w:history="1">
        <w:r w:rsidR="00B92B69" w:rsidRPr="00127A64">
          <w:rPr>
            <w:rStyle w:val="Hiperhivatkozs"/>
            <w:noProof/>
          </w:rPr>
          <w:t>I. fejezet</w:t>
        </w:r>
        <w:r w:rsidR="00B92B69" w:rsidRPr="00127A64">
          <w:rPr>
            <w:rStyle w:val="Hiperhivatkozs"/>
            <w:i/>
            <w:noProof/>
          </w:rPr>
          <w:t xml:space="preserve"> -</w:t>
        </w:r>
        <w:r w:rsidR="00B92B69" w:rsidRPr="00127A64">
          <w:rPr>
            <w:rStyle w:val="Hiperhivatkozs"/>
            <w:noProof/>
          </w:rPr>
          <w:t xml:space="preserve"> Oktatói munkakörhöz nem kapcsolódó címek</w:t>
        </w:r>
        <w:r w:rsidR="00B92B69">
          <w:rPr>
            <w:noProof/>
            <w:webHidden/>
          </w:rPr>
          <w:tab/>
        </w:r>
        <w:r w:rsidR="00B92B69">
          <w:rPr>
            <w:noProof/>
            <w:webHidden/>
          </w:rPr>
          <w:fldChar w:fldCharType="begin"/>
        </w:r>
        <w:r w:rsidR="00B92B69">
          <w:rPr>
            <w:noProof/>
            <w:webHidden/>
          </w:rPr>
          <w:instrText xml:space="preserve"> PAGEREF _Toc58569556 \h </w:instrText>
        </w:r>
        <w:r w:rsidR="00B92B69">
          <w:rPr>
            <w:noProof/>
            <w:webHidden/>
          </w:rPr>
        </w:r>
        <w:r w:rsidR="00B92B69">
          <w:rPr>
            <w:noProof/>
            <w:webHidden/>
          </w:rPr>
          <w:fldChar w:fldCharType="separate"/>
        </w:r>
        <w:r w:rsidR="00B92B69">
          <w:rPr>
            <w:noProof/>
            <w:webHidden/>
          </w:rPr>
          <w:t>80</w:t>
        </w:r>
        <w:r w:rsidR="00B92B69">
          <w:rPr>
            <w:noProof/>
            <w:webHidden/>
          </w:rPr>
          <w:fldChar w:fldCharType="end"/>
        </w:r>
      </w:hyperlink>
    </w:p>
    <w:p w14:paraId="36172B18" w14:textId="329E4955"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57" w:history="1">
        <w:r w:rsidR="00B92B69" w:rsidRPr="00127A64">
          <w:rPr>
            <w:rStyle w:val="Hiperhivatkozs"/>
            <w:noProof/>
          </w:rPr>
          <w:t>II. fejezet - Közalkalmazotti jogviszonnyal járó címek</w:t>
        </w:r>
        <w:r w:rsidR="00B92B69">
          <w:rPr>
            <w:noProof/>
            <w:webHidden/>
          </w:rPr>
          <w:tab/>
        </w:r>
        <w:r w:rsidR="00B92B69">
          <w:rPr>
            <w:noProof/>
            <w:webHidden/>
          </w:rPr>
          <w:fldChar w:fldCharType="begin"/>
        </w:r>
        <w:r w:rsidR="00B92B69">
          <w:rPr>
            <w:noProof/>
            <w:webHidden/>
          </w:rPr>
          <w:instrText xml:space="preserve"> PAGEREF _Toc58569557 \h </w:instrText>
        </w:r>
        <w:r w:rsidR="00B92B69">
          <w:rPr>
            <w:noProof/>
            <w:webHidden/>
          </w:rPr>
        </w:r>
        <w:r w:rsidR="00B92B69">
          <w:rPr>
            <w:noProof/>
            <w:webHidden/>
          </w:rPr>
          <w:fldChar w:fldCharType="separate"/>
        </w:r>
        <w:r w:rsidR="00B92B69">
          <w:rPr>
            <w:noProof/>
            <w:webHidden/>
          </w:rPr>
          <w:t>82</w:t>
        </w:r>
        <w:r w:rsidR="00B92B69">
          <w:rPr>
            <w:noProof/>
            <w:webHidden/>
          </w:rPr>
          <w:fldChar w:fldCharType="end"/>
        </w:r>
      </w:hyperlink>
    </w:p>
    <w:p w14:paraId="31DD0007" w14:textId="3F36FF0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58" w:history="1">
        <w:r w:rsidR="00B92B69" w:rsidRPr="00127A64">
          <w:rPr>
            <w:rStyle w:val="Hiperhivatkozs"/>
            <w:noProof/>
          </w:rPr>
          <w:t>NYOLCADIK RÉSZ</w:t>
        </w:r>
        <w:r w:rsidR="00B92B69">
          <w:rPr>
            <w:noProof/>
            <w:webHidden/>
          </w:rPr>
          <w:tab/>
        </w:r>
        <w:r w:rsidR="00B92B69">
          <w:rPr>
            <w:noProof/>
            <w:webHidden/>
          </w:rPr>
          <w:fldChar w:fldCharType="begin"/>
        </w:r>
        <w:r w:rsidR="00B92B69">
          <w:rPr>
            <w:noProof/>
            <w:webHidden/>
          </w:rPr>
          <w:instrText xml:space="preserve"> PAGEREF _Toc58569558 \h </w:instrText>
        </w:r>
        <w:r w:rsidR="00B92B69">
          <w:rPr>
            <w:noProof/>
            <w:webHidden/>
          </w:rPr>
        </w:r>
        <w:r w:rsidR="00B92B69">
          <w:rPr>
            <w:noProof/>
            <w:webHidden/>
          </w:rPr>
          <w:fldChar w:fldCharType="separate"/>
        </w:r>
        <w:r w:rsidR="00B92B69">
          <w:rPr>
            <w:noProof/>
            <w:webHidden/>
          </w:rPr>
          <w:t>84</w:t>
        </w:r>
        <w:r w:rsidR="00B92B69">
          <w:rPr>
            <w:noProof/>
            <w:webHidden/>
          </w:rPr>
          <w:fldChar w:fldCharType="end"/>
        </w:r>
      </w:hyperlink>
    </w:p>
    <w:p w14:paraId="0656CAE3" w14:textId="746A5FC1"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59" w:history="1">
        <w:r w:rsidR="00B92B69" w:rsidRPr="00127A64">
          <w:rPr>
            <w:rStyle w:val="Hiperhivatkozs"/>
            <w:noProof/>
          </w:rPr>
          <w:t>Díjazás</w:t>
        </w:r>
        <w:r w:rsidR="00B92B69">
          <w:rPr>
            <w:noProof/>
            <w:webHidden/>
          </w:rPr>
          <w:tab/>
        </w:r>
        <w:r w:rsidR="00B92B69">
          <w:rPr>
            <w:noProof/>
            <w:webHidden/>
          </w:rPr>
          <w:fldChar w:fldCharType="begin"/>
        </w:r>
        <w:r w:rsidR="00B92B69">
          <w:rPr>
            <w:noProof/>
            <w:webHidden/>
          </w:rPr>
          <w:instrText xml:space="preserve"> PAGEREF _Toc58569559 \h </w:instrText>
        </w:r>
        <w:r w:rsidR="00B92B69">
          <w:rPr>
            <w:noProof/>
            <w:webHidden/>
          </w:rPr>
        </w:r>
        <w:r w:rsidR="00B92B69">
          <w:rPr>
            <w:noProof/>
            <w:webHidden/>
          </w:rPr>
          <w:fldChar w:fldCharType="separate"/>
        </w:r>
        <w:r w:rsidR="00B92B69">
          <w:rPr>
            <w:noProof/>
            <w:webHidden/>
          </w:rPr>
          <w:t>84</w:t>
        </w:r>
        <w:r w:rsidR="00B92B69">
          <w:rPr>
            <w:noProof/>
            <w:webHidden/>
          </w:rPr>
          <w:fldChar w:fldCharType="end"/>
        </w:r>
      </w:hyperlink>
    </w:p>
    <w:p w14:paraId="4AB21EBC" w14:textId="5DE48A88"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60" w:history="1">
        <w:r w:rsidR="00B92B69" w:rsidRPr="00127A64">
          <w:rPr>
            <w:rStyle w:val="Hiperhivatkozs"/>
            <w:noProof/>
          </w:rPr>
          <w:t>A jövedelemelosztás elvei</w:t>
        </w:r>
        <w:r w:rsidR="00B92B69">
          <w:rPr>
            <w:noProof/>
            <w:webHidden/>
          </w:rPr>
          <w:tab/>
        </w:r>
        <w:r w:rsidR="00B92B69">
          <w:rPr>
            <w:noProof/>
            <w:webHidden/>
          </w:rPr>
          <w:fldChar w:fldCharType="begin"/>
        </w:r>
        <w:r w:rsidR="00B92B69">
          <w:rPr>
            <w:noProof/>
            <w:webHidden/>
          </w:rPr>
          <w:instrText xml:space="preserve"> PAGEREF _Toc58569560 \h </w:instrText>
        </w:r>
        <w:r w:rsidR="00B92B69">
          <w:rPr>
            <w:noProof/>
            <w:webHidden/>
          </w:rPr>
        </w:r>
        <w:r w:rsidR="00B92B69">
          <w:rPr>
            <w:noProof/>
            <w:webHidden/>
          </w:rPr>
          <w:fldChar w:fldCharType="separate"/>
        </w:r>
        <w:r w:rsidR="00B92B69">
          <w:rPr>
            <w:noProof/>
            <w:webHidden/>
          </w:rPr>
          <w:t>84</w:t>
        </w:r>
        <w:r w:rsidR="00B92B69">
          <w:rPr>
            <w:noProof/>
            <w:webHidden/>
          </w:rPr>
          <w:fldChar w:fldCharType="end"/>
        </w:r>
      </w:hyperlink>
    </w:p>
    <w:p w14:paraId="2E51FBF2" w14:textId="253C8C8B"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61" w:history="1">
        <w:r w:rsidR="00B92B69" w:rsidRPr="00127A64">
          <w:rPr>
            <w:rStyle w:val="Hiperhivatkozs"/>
            <w:noProof/>
          </w:rPr>
          <w:t>KILENCEDIK RÉSZ</w:t>
        </w:r>
        <w:r w:rsidR="00B92B69">
          <w:rPr>
            <w:noProof/>
            <w:webHidden/>
          </w:rPr>
          <w:tab/>
        </w:r>
        <w:r w:rsidR="00B92B69">
          <w:rPr>
            <w:noProof/>
            <w:webHidden/>
          </w:rPr>
          <w:fldChar w:fldCharType="begin"/>
        </w:r>
        <w:r w:rsidR="00B92B69">
          <w:rPr>
            <w:noProof/>
            <w:webHidden/>
          </w:rPr>
          <w:instrText xml:space="preserve"> PAGEREF _Toc58569561 \h </w:instrText>
        </w:r>
        <w:r w:rsidR="00B92B69">
          <w:rPr>
            <w:noProof/>
            <w:webHidden/>
          </w:rPr>
        </w:r>
        <w:r w:rsidR="00B92B69">
          <w:rPr>
            <w:noProof/>
            <w:webHidden/>
          </w:rPr>
          <w:fldChar w:fldCharType="separate"/>
        </w:r>
        <w:r w:rsidR="00B92B69">
          <w:rPr>
            <w:noProof/>
            <w:webHidden/>
          </w:rPr>
          <w:t>91</w:t>
        </w:r>
        <w:r w:rsidR="00B92B69">
          <w:rPr>
            <w:noProof/>
            <w:webHidden/>
          </w:rPr>
          <w:fldChar w:fldCharType="end"/>
        </w:r>
      </w:hyperlink>
    </w:p>
    <w:p w14:paraId="1A3B511A" w14:textId="51A01140"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62" w:history="1">
        <w:r w:rsidR="00B92B69" w:rsidRPr="00127A64">
          <w:rPr>
            <w:rStyle w:val="Hiperhivatkozs"/>
            <w:noProof/>
          </w:rPr>
          <w:t>A habilitációs eljárás</w:t>
        </w:r>
        <w:r w:rsidR="00B92B69">
          <w:rPr>
            <w:noProof/>
            <w:webHidden/>
          </w:rPr>
          <w:tab/>
        </w:r>
        <w:r w:rsidR="00B92B69">
          <w:rPr>
            <w:noProof/>
            <w:webHidden/>
          </w:rPr>
          <w:fldChar w:fldCharType="begin"/>
        </w:r>
        <w:r w:rsidR="00B92B69">
          <w:rPr>
            <w:noProof/>
            <w:webHidden/>
          </w:rPr>
          <w:instrText xml:space="preserve"> PAGEREF _Toc58569562 \h </w:instrText>
        </w:r>
        <w:r w:rsidR="00B92B69">
          <w:rPr>
            <w:noProof/>
            <w:webHidden/>
          </w:rPr>
        </w:r>
        <w:r w:rsidR="00B92B69">
          <w:rPr>
            <w:noProof/>
            <w:webHidden/>
          </w:rPr>
          <w:fldChar w:fldCharType="separate"/>
        </w:r>
        <w:r w:rsidR="00B92B69">
          <w:rPr>
            <w:noProof/>
            <w:webHidden/>
          </w:rPr>
          <w:t>91</w:t>
        </w:r>
        <w:r w:rsidR="00B92B69">
          <w:rPr>
            <w:noProof/>
            <w:webHidden/>
          </w:rPr>
          <w:fldChar w:fldCharType="end"/>
        </w:r>
      </w:hyperlink>
    </w:p>
    <w:p w14:paraId="70A31248" w14:textId="13CB1E1D"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63" w:history="1">
        <w:r w:rsidR="00B92B69" w:rsidRPr="00127A64">
          <w:rPr>
            <w:rStyle w:val="Hiperhivatkozs"/>
            <w:noProof/>
          </w:rPr>
          <w:t>Általános szabályok</w:t>
        </w:r>
        <w:r w:rsidR="00B92B69">
          <w:rPr>
            <w:noProof/>
            <w:webHidden/>
          </w:rPr>
          <w:tab/>
        </w:r>
        <w:r w:rsidR="00B92B69">
          <w:rPr>
            <w:noProof/>
            <w:webHidden/>
          </w:rPr>
          <w:fldChar w:fldCharType="begin"/>
        </w:r>
        <w:r w:rsidR="00B92B69">
          <w:rPr>
            <w:noProof/>
            <w:webHidden/>
          </w:rPr>
          <w:instrText xml:space="preserve"> PAGEREF _Toc58569563 \h </w:instrText>
        </w:r>
        <w:r w:rsidR="00B92B69">
          <w:rPr>
            <w:noProof/>
            <w:webHidden/>
          </w:rPr>
        </w:r>
        <w:r w:rsidR="00B92B69">
          <w:rPr>
            <w:noProof/>
            <w:webHidden/>
          </w:rPr>
          <w:fldChar w:fldCharType="separate"/>
        </w:r>
        <w:r w:rsidR="00B92B69">
          <w:rPr>
            <w:noProof/>
            <w:webHidden/>
          </w:rPr>
          <w:t>91</w:t>
        </w:r>
        <w:r w:rsidR="00B92B69">
          <w:rPr>
            <w:noProof/>
            <w:webHidden/>
          </w:rPr>
          <w:fldChar w:fldCharType="end"/>
        </w:r>
      </w:hyperlink>
    </w:p>
    <w:p w14:paraId="3B014B11" w14:textId="22454980" w:rsidR="00B92B69" w:rsidRDefault="00C54B98">
      <w:pPr>
        <w:pStyle w:val="TJ3"/>
        <w:tabs>
          <w:tab w:val="right" w:leader="dot" w:pos="9062"/>
        </w:tabs>
        <w:rPr>
          <w:rFonts w:asciiTheme="minorHAnsi" w:eastAsiaTheme="minorEastAsia" w:hAnsiTheme="minorHAnsi" w:cstheme="minorBidi"/>
          <w:noProof/>
          <w:sz w:val="22"/>
          <w:szCs w:val="22"/>
        </w:rPr>
      </w:pPr>
      <w:hyperlink w:anchor="_Toc58569564" w:history="1">
        <w:r w:rsidR="00B92B69" w:rsidRPr="00127A64">
          <w:rPr>
            <w:rStyle w:val="Hiperhivatkozs"/>
            <w:noProof/>
          </w:rPr>
          <w:t>A habilitált doktor jogai és kötelezettségei</w:t>
        </w:r>
        <w:r w:rsidR="00B92B69">
          <w:rPr>
            <w:noProof/>
            <w:webHidden/>
          </w:rPr>
          <w:tab/>
        </w:r>
        <w:r w:rsidR="00B92B69">
          <w:rPr>
            <w:noProof/>
            <w:webHidden/>
          </w:rPr>
          <w:fldChar w:fldCharType="begin"/>
        </w:r>
        <w:r w:rsidR="00B92B69">
          <w:rPr>
            <w:noProof/>
            <w:webHidden/>
          </w:rPr>
          <w:instrText xml:space="preserve"> PAGEREF _Toc58569564 \h </w:instrText>
        </w:r>
        <w:r w:rsidR="00B92B69">
          <w:rPr>
            <w:noProof/>
            <w:webHidden/>
          </w:rPr>
        </w:r>
        <w:r w:rsidR="00B92B69">
          <w:rPr>
            <w:noProof/>
            <w:webHidden/>
          </w:rPr>
          <w:fldChar w:fldCharType="separate"/>
        </w:r>
        <w:r w:rsidR="00B92B69">
          <w:rPr>
            <w:noProof/>
            <w:webHidden/>
          </w:rPr>
          <w:t>92</w:t>
        </w:r>
        <w:r w:rsidR="00B92B69">
          <w:rPr>
            <w:noProof/>
            <w:webHidden/>
          </w:rPr>
          <w:fldChar w:fldCharType="end"/>
        </w:r>
      </w:hyperlink>
    </w:p>
    <w:p w14:paraId="3BA9AF35" w14:textId="7487177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65" w:history="1">
        <w:r w:rsidR="00B92B69" w:rsidRPr="00127A64">
          <w:rPr>
            <w:rStyle w:val="Hiperhivatkozs"/>
            <w:noProof/>
          </w:rPr>
          <w:t>TIZEDIK RÉSZ</w:t>
        </w:r>
        <w:r w:rsidR="00B92B69">
          <w:rPr>
            <w:noProof/>
            <w:webHidden/>
          </w:rPr>
          <w:tab/>
        </w:r>
        <w:r w:rsidR="00B92B69">
          <w:rPr>
            <w:noProof/>
            <w:webHidden/>
          </w:rPr>
          <w:fldChar w:fldCharType="begin"/>
        </w:r>
        <w:r w:rsidR="00B92B69">
          <w:rPr>
            <w:noProof/>
            <w:webHidden/>
          </w:rPr>
          <w:instrText xml:space="preserve"> PAGEREF _Toc58569565 \h </w:instrText>
        </w:r>
        <w:r w:rsidR="00B92B69">
          <w:rPr>
            <w:noProof/>
            <w:webHidden/>
          </w:rPr>
        </w:r>
        <w:r w:rsidR="00B92B69">
          <w:rPr>
            <w:noProof/>
            <w:webHidden/>
          </w:rPr>
          <w:fldChar w:fldCharType="separate"/>
        </w:r>
        <w:r w:rsidR="00B92B69">
          <w:rPr>
            <w:noProof/>
            <w:webHidden/>
          </w:rPr>
          <w:t>92</w:t>
        </w:r>
        <w:r w:rsidR="00B92B69">
          <w:rPr>
            <w:noProof/>
            <w:webHidden/>
          </w:rPr>
          <w:fldChar w:fldCharType="end"/>
        </w:r>
      </w:hyperlink>
    </w:p>
    <w:p w14:paraId="77B34A89" w14:textId="0127546F"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66" w:history="1">
        <w:r w:rsidR="00B92B69" w:rsidRPr="00127A64">
          <w:rPr>
            <w:rStyle w:val="Hiperhivatkozs"/>
            <w:noProof/>
          </w:rPr>
          <w:t>Értelmező rendelkezések</w:t>
        </w:r>
        <w:r w:rsidR="00B92B69">
          <w:rPr>
            <w:noProof/>
            <w:webHidden/>
          </w:rPr>
          <w:tab/>
        </w:r>
        <w:r w:rsidR="00B92B69">
          <w:rPr>
            <w:noProof/>
            <w:webHidden/>
          </w:rPr>
          <w:fldChar w:fldCharType="begin"/>
        </w:r>
        <w:r w:rsidR="00B92B69">
          <w:rPr>
            <w:noProof/>
            <w:webHidden/>
          </w:rPr>
          <w:instrText xml:space="preserve"> PAGEREF _Toc58569566 \h </w:instrText>
        </w:r>
        <w:r w:rsidR="00B92B69">
          <w:rPr>
            <w:noProof/>
            <w:webHidden/>
          </w:rPr>
        </w:r>
        <w:r w:rsidR="00B92B69">
          <w:rPr>
            <w:noProof/>
            <w:webHidden/>
          </w:rPr>
          <w:fldChar w:fldCharType="separate"/>
        </w:r>
        <w:r w:rsidR="00B92B69">
          <w:rPr>
            <w:noProof/>
            <w:webHidden/>
          </w:rPr>
          <w:t>92</w:t>
        </w:r>
        <w:r w:rsidR="00B92B69">
          <w:rPr>
            <w:noProof/>
            <w:webHidden/>
          </w:rPr>
          <w:fldChar w:fldCharType="end"/>
        </w:r>
      </w:hyperlink>
    </w:p>
    <w:p w14:paraId="343F5225" w14:textId="03DFEF8D"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67" w:history="1">
        <w:r w:rsidR="00B92B69" w:rsidRPr="00127A64">
          <w:rPr>
            <w:rStyle w:val="Hiperhivatkozs"/>
            <w:noProof/>
          </w:rPr>
          <w:t>TIZENEGYEDIK RÉSZ</w:t>
        </w:r>
        <w:r w:rsidR="00B92B69">
          <w:rPr>
            <w:noProof/>
            <w:webHidden/>
          </w:rPr>
          <w:tab/>
        </w:r>
        <w:r w:rsidR="00B92B69">
          <w:rPr>
            <w:noProof/>
            <w:webHidden/>
          </w:rPr>
          <w:fldChar w:fldCharType="begin"/>
        </w:r>
        <w:r w:rsidR="00B92B69">
          <w:rPr>
            <w:noProof/>
            <w:webHidden/>
          </w:rPr>
          <w:instrText xml:space="preserve"> PAGEREF _Toc58569567 \h </w:instrText>
        </w:r>
        <w:r w:rsidR="00B92B69">
          <w:rPr>
            <w:noProof/>
            <w:webHidden/>
          </w:rPr>
        </w:r>
        <w:r w:rsidR="00B92B69">
          <w:rPr>
            <w:noProof/>
            <w:webHidden/>
          </w:rPr>
          <w:fldChar w:fldCharType="separate"/>
        </w:r>
        <w:r w:rsidR="00B92B69">
          <w:rPr>
            <w:noProof/>
            <w:webHidden/>
          </w:rPr>
          <w:t>93</w:t>
        </w:r>
        <w:r w:rsidR="00B92B69">
          <w:rPr>
            <w:noProof/>
            <w:webHidden/>
          </w:rPr>
          <w:fldChar w:fldCharType="end"/>
        </w:r>
      </w:hyperlink>
    </w:p>
    <w:p w14:paraId="7C3F3053" w14:textId="73963899" w:rsidR="00B92B69" w:rsidRDefault="00C54B98">
      <w:pPr>
        <w:pStyle w:val="TJ2"/>
        <w:tabs>
          <w:tab w:val="right" w:leader="dot" w:pos="9062"/>
        </w:tabs>
        <w:rPr>
          <w:rFonts w:asciiTheme="minorHAnsi" w:eastAsiaTheme="minorEastAsia" w:hAnsiTheme="minorHAnsi" w:cstheme="minorBidi"/>
          <w:noProof/>
          <w:sz w:val="22"/>
          <w:szCs w:val="22"/>
        </w:rPr>
      </w:pPr>
      <w:hyperlink w:anchor="_Toc58569568" w:history="1">
        <w:r w:rsidR="00B92B69" w:rsidRPr="00127A64">
          <w:rPr>
            <w:rStyle w:val="Hiperhivatkozs"/>
            <w:noProof/>
          </w:rPr>
          <w:t>Záró, hatályba léptető és átmeneti rendelkezések</w:t>
        </w:r>
        <w:r w:rsidR="00B92B69">
          <w:rPr>
            <w:noProof/>
            <w:webHidden/>
          </w:rPr>
          <w:tab/>
        </w:r>
        <w:r w:rsidR="00B92B69">
          <w:rPr>
            <w:noProof/>
            <w:webHidden/>
          </w:rPr>
          <w:fldChar w:fldCharType="begin"/>
        </w:r>
        <w:r w:rsidR="00B92B69">
          <w:rPr>
            <w:noProof/>
            <w:webHidden/>
          </w:rPr>
          <w:instrText xml:space="preserve"> PAGEREF _Toc58569568 \h </w:instrText>
        </w:r>
        <w:r w:rsidR="00B92B69">
          <w:rPr>
            <w:noProof/>
            <w:webHidden/>
          </w:rPr>
        </w:r>
        <w:r w:rsidR="00B92B69">
          <w:rPr>
            <w:noProof/>
            <w:webHidden/>
          </w:rPr>
          <w:fldChar w:fldCharType="separate"/>
        </w:r>
        <w:r w:rsidR="00B92B69">
          <w:rPr>
            <w:noProof/>
            <w:webHidden/>
          </w:rPr>
          <w:t>93</w:t>
        </w:r>
        <w:r w:rsidR="00B92B69">
          <w:rPr>
            <w:noProof/>
            <w:webHidden/>
          </w:rPr>
          <w:fldChar w:fldCharType="end"/>
        </w:r>
      </w:hyperlink>
    </w:p>
    <w:p w14:paraId="1F2DED05" w14:textId="7465FA90"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69" w:history="1">
        <w:r w:rsidR="00B92B69" w:rsidRPr="00127A64">
          <w:rPr>
            <w:rStyle w:val="Hiperhivatkozs"/>
            <w:noProof/>
          </w:rPr>
          <w:t>Foglalkoztatási követelményrendszer mellékletei:</w:t>
        </w:r>
        <w:r w:rsidR="00B92B69">
          <w:rPr>
            <w:noProof/>
            <w:webHidden/>
          </w:rPr>
          <w:tab/>
        </w:r>
        <w:r w:rsidR="00B92B69">
          <w:rPr>
            <w:noProof/>
            <w:webHidden/>
          </w:rPr>
          <w:fldChar w:fldCharType="begin"/>
        </w:r>
        <w:r w:rsidR="00B92B69">
          <w:rPr>
            <w:noProof/>
            <w:webHidden/>
          </w:rPr>
          <w:instrText xml:space="preserve"> PAGEREF _Toc58569569 \h </w:instrText>
        </w:r>
        <w:r w:rsidR="00B92B69">
          <w:rPr>
            <w:noProof/>
            <w:webHidden/>
          </w:rPr>
        </w:r>
        <w:r w:rsidR="00B92B69">
          <w:rPr>
            <w:noProof/>
            <w:webHidden/>
          </w:rPr>
          <w:fldChar w:fldCharType="separate"/>
        </w:r>
        <w:r w:rsidR="00B92B69">
          <w:rPr>
            <w:noProof/>
            <w:webHidden/>
          </w:rPr>
          <w:t>100</w:t>
        </w:r>
        <w:r w:rsidR="00B92B69">
          <w:rPr>
            <w:noProof/>
            <w:webHidden/>
          </w:rPr>
          <w:fldChar w:fldCharType="end"/>
        </w:r>
      </w:hyperlink>
    </w:p>
    <w:p w14:paraId="3FEA9EE0" w14:textId="47C5EE4A"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0" w:history="1">
        <w:r w:rsidR="00B92B69" w:rsidRPr="00127A64">
          <w:rPr>
            <w:rStyle w:val="Hiperhivatkozs"/>
            <w:rFonts w:eastAsia="Calibri"/>
            <w:noProof/>
          </w:rPr>
          <w:t>1/1. számú melléklet</w:t>
        </w:r>
        <w:r w:rsidR="00B92B69">
          <w:rPr>
            <w:noProof/>
            <w:webHidden/>
          </w:rPr>
          <w:tab/>
        </w:r>
        <w:r w:rsidR="00B92B69">
          <w:rPr>
            <w:noProof/>
            <w:webHidden/>
          </w:rPr>
          <w:fldChar w:fldCharType="begin"/>
        </w:r>
        <w:r w:rsidR="00B92B69">
          <w:rPr>
            <w:noProof/>
            <w:webHidden/>
          </w:rPr>
          <w:instrText xml:space="preserve"> PAGEREF _Toc58569570 \h </w:instrText>
        </w:r>
        <w:r w:rsidR="00B92B69">
          <w:rPr>
            <w:noProof/>
            <w:webHidden/>
          </w:rPr>
        </w:r>
        <w:r w:rsidR="00B92B69">
          <w:rPr>
            <w:noProof/>
            <w:webHidden/>
          </w:rPr>
          <w:fldChar w:fldCharType="separate"/>
        </w:r>
        <w:r w:rsidR="00B92B69">
          <w:rPr>
            <w:noProof/>
            <w:webHidden/>
          </w:rPr>
          <w:t>100</w:t>
        </w:r>
        <w:r w:rsidR="00B92B69">
          <w:rPr>
            <w:noProof/>
            <w:webHidden/>
          </w:rPr>
          <w:fldChar w:fldCharType="end"/>
        </w:r>
      </w:hyperlink>
    </w:p>
    <w:p w14:paraId="26DDCAD9" w14:textId="200E977D"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1" w:history="1">
        <w:r w:rsidR="00B92B69" w:rsidRPr="00127A64">
          <w:rPr>
            <w:rStyle w:val="Hiperhivatkozs"/>
            <w:rFonts w:eastAsia="Calibri"/>
            <w:noProof/>
          </w:rPr>
          <w:t>A Pécsi Tudományegyetem Állam- és Jogtudományi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_Toc58569571 \h </w:instrText>
        </w:r>
        <w:r w:rsidR="00B92B69">
          <w:rPr>
            <w:noProof/>
            <w:webHidden/>
          </w:rPr>
        </w:r>
        <w:r w:rsidR="00B92B69">
          <w:rPr>
            <w:noProof/>
            <w:webHidden/>
          </w:rPr>
          <w:fldChar w:fldCharType="separate"/>
        </w:r>
        <w:r w:rsidR="00B92B69">
          <w:rPr>
            <w:noProof/>
            <w:webHidden/>
          </w:rPr>
          <w:t>100</w:t>
        </w:r>
        <w:r w:rsidR="00B92B69">
          <w:rPr>
            <w:noProof/>
            <w:webHidden/>
          </w:rPr>
          <w:fldChar w:fldCharType="end"/>
        </w:r>
      </w:hyperlink>
    </w:p>
    <w:p w14:paraId="25BBA7A6" w14:textId="6564E1C8"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2" w:history="1">
        <w:r w:rsidR="00B92B69" w:rsidRPr="00127A64">
          <w:rPr>
            <w:rStyle w:val="Hiperhivatkozs"/>
            <w:rFonts w:eastAsia="Calibri"/>
            <w:noProof/>
          </w:rPr>
          <w:t>1/2. számú melléklet</w:t>
        </w:r>
        <w:r w:rsidR="00B92B69">
          <w:rPr>
            <w:noProof/>
            <w:webHidden/>
          </w:rPr>
          <w:tab/>
        </w:r>
        <w:r w:rsidR="00B92B69">
          <w:rPr>
            <w:noProof/>
            <w:webHidden/>
          </w:rPr>
          <w:fldChar w:fldCharType="begin"/>
        </w:r>
        <w:r w:rsidR="00B92B69">
          <w:rPr>
            <w:noProof/>
            <w:webHidden/>
          </w:rPr>
          <w:instrText xml:space="preserve"> PAGEREF _Toc58569572 \h </w:instrText>
        </w:r>
        <w:r w:rsidR="00B92B69">
          <w:rPr>
            <w:noProof/>
            <w:webHidden/>
          </w:rPr>
        </w:r>
        <w:r w:rsidR="00B92B69">
          <w:rPr>
            <w:noProof/>
            <w:webHidden/>
          </w:rPr>
          <w:fldChar w:fldCharType="separate"/>
        </w:r>
        <w:r w:rsidR="00B92B69">
          <w:rPr>
            <w:noProof/>
            <w:webHidden/>
          </w:rPr>
          <w:t>105</w:t>
        </w:r>
        <w:r w:rsidR="00B92B69">
          <w:rPr>
            <w:noProof/>
            <w:webHidden/>
          </w:rPr>
          <w:fldChar w:fldCharType="end"/>
        </w:r>
      </w:hyperlink>
    </w:p>
    <w:p w14:paraId="2B1B435A" w14:textId="437C1DF2"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3" w:history="1">
        <w:r w:rsidR="00B92B69" w:rsidRPr="00127A64">
          <w:rPr>
            <w:rStyle w:val="Hiperhivatkozs"/>
            <w:rFonts w:eastAsia="Calibri"/>
            <w:bCs/>
            <w:iCs/>
            <w:noProof/>
            <w:spacing w:val="5"/>
          </w:rPr>
          <w:t>A Pécsi Tudományegyetem Általános Orvostudományi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_Toc58569573 \h </w:instrText>
        </w:r>
        <w:r w:rsidR="00B92B69">
          <w:rPr>
            <w:noProof/>
            <w:webHidden/>
          </w:rPr>
        </w:r>
        <w:r w:rsidR="00B92B69">
          <w:rPr>
            <w:noProof/>
            <w:webHidden/>
          </w:rPr>
          <w:fldChar w:fldCharType="separate"/>
        </w:r>
        <w:r w:rsidR="00B92B69">
          <w:rPr>
            <w:noProof/>
            <w:webHidden/>
          </w:rPr>
          <w:t>105</w:t>
        </w:r>
        <w:r w:rsidR="00B92B69">
          <w:rPr>
            <w:noProof/>
            <w:webHidden/>
          </w:rPr>
          <w:fldChar w:fldCharType="end"/>
        </w:r>
      </w:hyperlink>
    </w:p>
    <w:p w14:paraId="4FF3A870" w14:textId="0C29C4C2"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4" w:history="1">
        <w:r w:rsidR="00B92B69" w:rsidRPr="00127A64">
          <w:rPr>
            <w:rStyle w:val="Hiperhivatkozs"/>
            <w:rFonts w:eastAsia="Calibri"/>
            <w:noProof/>
          </w:rPr>
          <w:t>1/3. számú melléklet</w:t>
        </w:r>
        <w:r w:rsidR="00B92B69">
          <w:rPr>
            <w:noProof/>
            <w:webHidden/>
          </w:rPr>
          <w:tab/>
        </w:r>
        <w:r w:rsidR="00B92B69">
          <w:rPr>
            <w:noProof/>
            <w:webHidden/>
          </w:rPr>
          <w:fldChar w:fldCharType="begin"/>
        </w:r>
        <w:r w:rsidR="00B92B69">
          <w:rPr>
            <w:noProof/>
            <w:webHidden/>
          </w:rPr>
          <w:instrText xml:space="preserve"> PAGEREF _Toc58569574 \h </w:instrText>
        </w:r>
        <w:r w:rsidR="00B92B69">
          <w:rPr>
            <w:noProof/>
            <w:webHidden/>
          </w:rPr>
        </w:r>
        <w:r w:rsidR="00B92B69">
          <w:rPr>
            <w:noProof/>
            <w:webHidden/>
          </w:rPr>
          <w:fldChar w:fldCharType="separate"/>
        </w:r>
        <w:r w:rsidR="00B92B69">
          <w:rPr>
            <w:noProof/>
            <w:webHidden/>
          </w:rPr>
          <w:t>109</w:t>
        </w:r>
        <w:r w:rsidR="00B92B69">
          <w:rPr>
            <w:noProof/>
            <w:webHidden/>
          </w:rPr>
          <w:fldChar w:fldCharType="end"/>
        </w:r>
      </w:hyperlink>
    </w:p>
    <w:p w14:paraId="5191BB3C" w14:textId="4F8C14C0"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5" w:history="1">
        <w:r w:rsidR="00B92B69" w:rsidRPr="00127A64">
          <w:rPr>
            <w:rStyle w:val="Hiperhivatkozs"/>
            <w:rFonts w:eastAsia="Calibri"/>
            <w:noProof/>
          </w:rPr>
          <w:t>A Pécsi Tudományegyetem Bölcsészet</w:t>
        </w:r>
        <w:r w:rsidR="00B92B69" w:rsidRPr="00127A64">
          <w:rPr>
            <w:rStyle w:val="Hiperhivatkozs"/>
            <w:rFonts w:eastAsia="Calibri"/>
            <w:i/>
            <w:noProof/>
          </w:rPr>
          <w:t xml:space="preserve">- </w:t>
        </w:r>
        <w:r w:rsidR="00B92B69" w:rsidRPr="00127A64">
          <w:rPr>
            <w:rStyle w:val="Hiperhivatkozs"/>
            <w:rFonts w:eastAsia="Calibri"/>
            <w:noProof/>
          </w:rPr>
          <w:t>és Társadalomtudományi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_Toc58569575 \h </w:instrText>
        </w:r>
        <w:r w:rsidR="00B92B69">
          <w:rPr>
            <w:noProof/>
            <w:webHidden/>
          </w:rPr>
        </w:r>
        <w:r w:rsidR="00B92B69">
          <w:rPr>
            <w:noProof/>
            <w:webHidden/>
          </w:rPr>
          <w:fldChar w:fldCharType="separate"/>
        </w:r>
        <w:r w:rsidR="00B92B69">
          <w:rPr>
            <w:noProof/>
            <w:webHidden/>
          </w:rPr>
          <w:t>109</w:t>
        </w:r>
        <w:r w:rsidR="00B92B69">
          <w:rPr>
            <w:noProof/>
            <w:webHidden/>
          </w:rPr>
          <w:fldChar w:fldCharType="end"/>
        </w:r>
      </w:hyperlink>
    </w:p>
    <w:p w14:paraId="5EC8D1E0" w14:textId="7CE50720"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6" w:history="1">
        <w:r w:rsidR="00B92B69" w:rsidRPr="00127A64">
          <w:rPr>
            <w:rStyle w:val="Hiperhivatkozs"/>
            <w:rFonts w:eastAsia="Calibri"/>
            <w:noProof/>
          </w:rPr>
          <w:t>1/4. számú melléklet</w:t>
        </w:r>
        <w:r w:rsidR="00B92B69">
          <w:rPr>
            <w:noProof/>
            <w:webHidden/>
          </w:rPr>
          <w:tab/>
        </w:r>
        <w:r w:rsidR="00B92B69">
          <w:rPr>
            <w:noProof/>
            <w:webHidden/>
          </w:rPr>
          <w:fldChar w:fldCharType="begin"/>
        </w:r>
        <w:r w:rsidR="00B92B69">
          <w:rPr>
            <w:noProof/>
            <w:webHidden/>
          </w:rPr>
          <w:instrText xml:space="preserve"> PAGEREF _Toc58569576 \h </w:instrText>
        </w:r>
        <w:r w:rsidR="00B92B69">
          <w:rPr>
            <w:noProof/>
            <w:webHidden/>
          </w:rPr>
        </w:r>
        <w:r w:rsidR="00B92B69">
          <w:rPr>
            <w:noProof/>
            <w:webHidden/>
          </w:rPr>
          <w:fldChar w:fldCharType="separate"/>
        </w:r>
        <w:r w:rsidR="00B92B69">
          <w:rPr>
            <w:noProof/>
            <w:webHidden/>
          </w:rPr>
          <w:t>116</w:t>
        </w:r>
        <w:r w:rsidR="00B92B69">
          <w:rPr>
            <w:noProof/>
            <w:webHidden/>
          </w:rPr>
          <w:fldChar w:fldCharType="end"/>
        </w:r>
      </w:hyperlink>
    </w:p>
    <w:p w14:paraId="5928597D" w14:textId="42F338A4"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7" w:history="1">
        <w:r w:rsidR="00B92B69" w:rsidRPr="00127A64">
          <w:rPr>
            <w:rStyle w:val="Hiperhivatkozs"/>
            <w:rFonts w:eastAsia="Calibri"/>
            <w:noProof/>
          </w:rPr>
          <w:t>A Pécsi Tudományegyetem Egészségtudományi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_Toc58569577 \h </w:instrText>
        </w:r>
        <w:r w:rsidR="00B92B69">
          <w:rPr>
            <w:noProof/>
            <w:webHidden/>
          </w:rPr>
        </w:r>
        <w:r w:rsidR="00B92B69">
          <w:rPr>
            <w:noProof/>
            <w:webHidden/>
          </w:rPr>
          <w:fldChar w:fldCharType="separate"/>
        </w:r>
        <w:r w:rsidR="00B92B69">
          <w:rPr>
            <w:noProof/>
            <w:webHidden/>
          </w:rPr>
          <w:t>116</w:t>
        </w:r>
        <w:r w:rsidR="00B92B69">
          <w:rPr>
            <w:noProof/>
            <w:webHidden/>
          </w:rPr>
          <w:fldChar w:fldCharType="end"/>
        </w:r>
      </w:hyperlink>
    </w:p>
    <w:p w14:paraId="7BFDE573" w14:textId="73E5AC7A"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8" w:history="1">
        <w:r w:rsidR="00B92B69" w:rsidRPr="00127A64">
          <w:rPr>
            <w:rStyle w:val="Hiperhivatkozs"/>
            <w:rFonts w:eastAsia="Calibri"/>
            <w:noProof/>
          </w:rPr>
          <w:t>1/5. számú melléklet</w:t>
        </w:r>
        <w:r w:rsidR="00B92B69">
          <w:rPr>
            <w:noProof/>
            <w:webHidden/>
          </w:rPr>
          <w:tab/>
        </w:r>
        <w:r w:rsidR="00B92B69">
          <w:rPr>
            <w:noProof/>
            <w:webHidden/>
          </w:rPr>
          <w:fldChar w:fldCharType="begin"/>
        </w:r>
        <w:r w:rsidR="00B92B69">
          <w:rPr>
            <w:noProof/>
            <w:webHidden/>
          </w:rPr>
          <w:instrText xml:space="preserve"> PAGEREF _Toc58569578 \h </w:instrText>
        </w:r>
        <w:r w:rsidR="00B92B69">
          <w:rPr>
            <w:noProof/>
            <w:webHidden/>
          </w:rPr>
        </w:r>
        <w:r w:rsidR="00B92B69">
          <w:rPr>
            <w:noProof/>
            <w:webHidden/>
          </w:rPr>
          <w:fldChar w:fldCharType="separate"/>
        </w:r>
        <w:r w:rsidR="00B92B69">
          <w:rPr>
            <w:noProof/>
            <w:webHidden/>
          </w:rPr>
          <w:t>149</w:t>
        </w:r>
        <w:r w:rsidR="00B92B69">
          <w:rPr>
            <w:noProof/>
            <w:webHidden/>
          </w:rPr>
          <w:fldChar w:fldCharType="end"/>
        </w:r>
      </w:hyperlink>
    </w:p>
    <w:p w14:paraId="56587333" w14:textId="0C734AA7"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79" w:history="1">
        <w:r w:rsidR="00B92B69" w:rsidRPr="00127A64">
          <w:rPr>
            <w:rStyle w:val="Hiperhivatkozs"/>
            <w:rFonts w:eastAsia="Calibri"/>
            <w:noProof/>
          </w:rPr>
          <w:t>A Pécsi Tudományegyetem Gyógyszerésztudományi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_Toc58569579 \h </w:instrText>
        </w:r>
        <w:r w:rsidR="00B92B69">
          <w:rPr>
            <w:noProof/>
            <w:webHidden/>
          </w:rPr>
        </w:r>
        <w:r w:rsidR="00B92B69">
          <w:rPr>
            <w:noProof/>
            <w:webHidden/>
          </w:rPr>
          <w:fldChar w:fldCharType="separate"/>
        </w:r>
        <w:r w:rsidR="00B92B69">
          <w:rPr>
            <w:noProof/>
            <w:webHidden/>
          </w:rPr>
          <w:t>149</w:t>
        </w:r>
        <w:r w:rsidR="00B92B69">
          <w:rPr>
            <w:noProof/>
            <w:webHidden/>
          </w:rPr>
          <w:fldChar w:fldCharType="end"/>
        </w:r>
      </w:hyperlink>
    </w:p>
    <w:p w14:paraId="1A484046" w14:textId="4FDC2221"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0" w:history="1">
        <w:r w:rsidR="00B92B69" w:rsidRPr="00127A64">
          <w:rPr>
            <w:rStyle w:val="Hiperhivatkozs"/>
            <w:rFonts w:eastAsia="Calibri"/>
            <w:noProof/>
          </w:rPr>
          <w:t>1/6. számú melléklet</w:t>
        </w:r>
        <w:r w:rsidR="00B92B69">
          <w:rPr>
            <w:noProof/>
            <w:webHidden/>
          </w:rPr>
          <w:tab/>
        </w:r>
        <w:r w:rsidR="00B92B69">
          <w:rPr>
            <w:noProof/>
            <w:webHidden/>
          </w:rPr>
          <w:fldChar w:fldCharType="begin"/>
        </w:r>
        <w:r w:rsidR="00B92B69">
          <w:rPr>
            <w:noProof/>
            <w:webHidden/>
          </w:rPr>
          <w:instrText xml:space="preserve"> PAGEREF _Toc58569580 \h </w:instrText>
        </w:r>
        <w:r w:rsidR="00B92B69">
          <w:rPr>
            <w:noProof/>
            <w:webHidden/>
          </w:rPr>
        </w:r>
        <w:r w:rsidR="00B92B69">
          <w:rPr>
            <w:noProof/>
            <w:webHidden/>
          </w:rPr>
          <w:fldChar w:fldCharType="separate"/>
        </w:r>
        <w:r w:rsidR="00B92B69">
          <w:rPr>
            <w:noProof/>
            <w:webHidden/>
          </w:rPr>
          <w:t>157</w:t>
        </w:r>
        <w:r w:rsidR="00B92B69">
          <w:rPr>
            <w:noProof/>
            <w:webHidden/>
          </w:rPr>
          <w:fldChar w:fldCharType="end"/>
        </w:r>
      </w:hyperlink>
    </w:p>
    <w:p w14:paraId="60D6819D" w14:textId="0228E736"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1" w:history="1">
        <w:r w:rsidR="00B92B69" w:rsidRPr="00127A64">
          <w:rPr>
            <w:rStyle w:val="Hiperhivatkozs"/>
            <w:rFonts w:eastAsia="Calibri"/>
            <w:noProof/>
          </w:rPr>
          <w:t>A Pécsi Tudományegyetem Közgazdaságtudományi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_Toc58569581 \h </w:instrText>
        </w:r>
        <w:r w:rsidR="00B92B69">
          <w:rPr>
            <w:noProof/>
            <w:webHidden/>
          </w:rPr>
        </w:r>
        <w:r w:rsidR="00B92B69">
          <w:rPr>
            <w:noProof/>
            <w:webHidden/>
          </w:rPr>
          <w:fldChar w:fldCharType="separate"/>
        </w:r>
        <w:r w:rsidR="00B92B69">
          <w:rPr>
            <w:noProof/>
            <w:webHidden/>
          </w:rPr>
          <w:t>157</w:t>
        </w:r>
        <w:r w:rsidR="00B92B69">
          <w:rPr>
            <w:noProof/>
            <w:webHidden/>
          </w:rPr>
          <w:fldChar w:fldCharType="end"/>
        </w:r>
      </w:hyperlink>
    </w:p>
    <w:p w14:paraId="2037491E" w14:textId="3E14061F"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2" w:history="1">
        <w:r w:rsidR="00B92B69" w:rsidRPr="00127A64">
          <w:rPr>
            <w:rStyle w:val="Hiperhivatkozs"/>
            <w:noProof/>
          </w:rPr>
          <w:t>1/7. számú melléklet</w:t>
        </w:r>
        <w:r w:rsidR="00B92B69">
          <w:rPr>
            <w:noProof/>
            <w:webHidden/>
          </w:rPr>
          <w:tab/>
        </w:r>
        <w:r w:rsidR="00B92B69">
          <w:rPr>
            <w:noProof/>
            <w:webHidden/>
          </w:rPr>
          <w:fldChar w:fldCharType="begin"/>
        </w:r>
        <w:r w:rsidR="00B92B69">
          <w:rPr>
            <w:noProof/>
            <w:webHidden/>
          </w:rPr>
          <w:instrText xml:space="preserve"> PAGEREF _Toc58569582 \h </w:instrText>
        </w:r>
        <w:r w:rsidR="00B92B69">
          <w:rPr>
            <w:noProof/>
            <w:webHidden/>
          </w:rPr>
        </w:r>
        <w:r w:rsidR="00B92B69">
          <w:rPr>
            <w:noProof/>
            <w:webHidden/>
          </w:rPr>
          <w:fldChar w:fldCharType="separate"/>
        </w:r>
        <w:r w:rsidR="00B92B69">
          <w:rPr>
            <w:noProof/>
            <w:webHidden/>
          </w:rPr>
          <w:t>164</w:t>
        </w:r>
        <w:r w:rsidR="00B92B69">
          <w:rPr>
            <w:noProof/>
            <w:webHidden/>
          </w:rPr>
          <w:fldChar w:fldCharType="end"/>
        </w:r>
      </w:hyperlink>
    </w:p>
    <w:p w14:paraId="03FCB8A7" w14:textId="2A9CE6CF"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3" w:history="1">
        <w:r w:rsidR="00B92B69" w:rsidRPr="00127A64">
          <w:rPr>
            <w:rStyle w:val="Hiperhivatkozs"/>
            <w:rFonts w:eastAsia="Calibri"/>
            <w:noProof/>
          </w:rPr>
          <w:t>A Pécsi Tudományegyetem Kultúratudományi, Pedagógusképző és Vidékfejlesztési Karának Teljesítményértékelési Szabályzata</w:t>
        </w:r>
        <w:r w:rsidR="00B92B69">
          <w:rPr>
            <w:noProof/>
            <w:webHidden/>
          </w:rPr>
          <w:tab/>
        </w:r>
        <w:r w:rsidR="00B92B69">
          <w:rPr>
            <w:noProof/>
            <w:webHidden/>
          </w:rPr>
          <w:fldChar w:fldCharType="begin"/>
        </w:r>
        <w:r w:rsidR="00B92B69">
          <w:rPr>
            <w:noProof/>
            <w:webHidden/>
          </w:rPr>
          <w:instrText xml:space="preserve"> PAGEREF _Toc58569583 \h </w:instrText>
        </w:r>
        <w:r w:rsidR="00B92B69">
          <w:rPr>
            <w:noProof/>
            <w:webHidden/>
          </w:rPr>
        </w:r>
        <w:r w:rsidR="00B92B69">
          <w:rPr>
            <w:noProof/>
            <w:webHidden/>
          </w:rPr>
          <w:fldChar w:fldCharType="separate"/>
        </w:r>
        <w:r w:rsidR="00B92B69">
          <w:rPr>
            <w:noProof/>
            <w:webHidden/>
          </w:rPr>
          <w:t>164</w:t>
        </w:r>
        <w:r w:rsidR="00B92B69">
          <w:rPr>
            <w:noProof/>
            <w:webHidden/>
          </w:rPr>
          <w:fldChar w:fldCharType="end"/>
        </w:r>
      </w:hyperlink>
    </w:p>
    <w:p w14:paraId="11448D5A" w14:textId="015214D1"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4" w:history="1">
        <w:r w:rsidR="00B92B69" w:rsidRPr="00127A64">
          <w:rPr>
            <w:rStyle w:val="Hiperhivatkozs"/>
            <w:noProof/>
          </w:rPr>
          <w:t>1/8. számú melléklet</w:t>
        </w:r>
        <w:r w:rsidR="00B92B69">
          <w:rPr>
            <w:noProof/>
            <w:webHidden/>
          </w:rPr>
          <w:tab/>
        </w:r>
        <w:r w:rsidR="00B92B69">
          <w:rPr>
            <w:noProof/>
            <w:webHidden/>
          </w:rPr>
          <w:fldChar w:fldCharType="begin"/>
        </w:r>
        <w:r w:rsidR="00B92B69">
          <w:rPr>
            <w:noProof/>
            <w:webHidden/>
          </w:rPr>
          <w:instrText xml:space="preserve"> PAGEREF _Toc58569584 \h </w:instrText>
        </w:r>
        <w:r w:rsidR="00B92B69">
          <w:rPr>
            <w:noProof/>
            <w:webHidden/>
          </w:rPr>
        </w:r>
        <w:r w:rsidR="00B92B69">
          <w:rPr>
            <w:noProof/>
            <w:webHidden/>
          </w:rPr>
          <w:fldChar w:fldCharType="separate"/>
        </w:r>
        <w:r w:rsidR="00B92B69">
          <w:rPr>
            <w:noProof/>
            <w:webHidden/>
          </w:rPr>
          <w:t>170</w:t>
        </w:r>
        <w:r w:rsidR="00B92B69">
          <w:rPr>
            <w:noProof/>
            <w:webHidden/>
          </w:rPr>
          <w:fldChar w:fldCharType="end"/>
        </w:r>
      </w:hyperlink>
    </w:p>
    <w:p w14:paraId="0DEF6F65" w14:textId="15862FA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5" w:history="1">
        <w:r w:rsidR="00B92B69" w:rsidRPr="00127A64">
          <w:rPr>
            <w:rStyle w:val="Hiperhivatkozs"/>
            <w:rFonts w:eastAsia="Calibri"/>
            <w:noProof/>
          </w:rPr>
          <w:t xml:space="preserve">A Pécsi Tudományegyetem </w:t>
        </w:r>
        <w:r w:rsidR="00B92B69" w:rsidRPr="00127A64">
          <w:rPr>
            <w:rStyle w:val="Hiperhivatkozs"/>
            <w:rFonts w:eastAsia="Calibri"/>
            <w:bCs/>
            <w:noProof/>
          </w:rPr>
          <w:t xml:space="preserve">Műszaki és Informatikai Karának </w:t>
        </w:r>
        <w:r w:rsidR="00B92B69" w:rsidRPr="00127A64">
          <w:rPr>
            <w:rStyle w:val="Hiperhivatkozs"/>
            <w:rFonts w:eastAsia="Calibri"/>
            <w:noProof/>
          </w:rPr>
          <w:t>Teljesítményértékelési Szabályzata</w:t>
        </w:r>
        <w:r w:rsidR="00B92B69">
          <w:rPr>
            <w:noProof/>
            <w:webHidden/>
          </w:rPr>
          <w:tab/>
        </w:r>
        <w:r w:rsidR="00B92B69">
          <w:rPr>
            <w:noProof/>
            <w:webHidden/>
          </w:rPr>
          <w:fldChar w:fldCharType="begin"/>
        </w:r>
        <w:r w:rsidR="00B92B69">
          <w:rPr>
            <w:noProof/>
            <w:webHidden/>
          </w:rPr>
          <w:instrText xml:space="preserve"> PAGEREF _Toc58569585 \h </w:instrText>
        </w:r>
        <w:r w:rsidR="00B92B69">
          <w:rPr>
            <w:noProof/>
            <w:webHidden/>
          </w:rPr>
        </w:r>
        <w:r w:rsidR="00B92B69">
          <w:rPr>
            <w:noProof/>
            <w:webHidden/>
          </w:rPr>
          <w:fldChar w:fldCharType="separate"/>
        </w:r>
        <w:r w:rsidR="00B92B69">
          <w:rPr>
            <w:noProof/>
            <w:webHidden/>
          </w:rPr>
          <w:t>170</w:t>
        </w:r>
        <w:r w:rsidR="00B92B69">
          <w:rPr>
            <w:noProof/>
            <w:webHidden/>
          </w:rPr>
          <w:fldChar w:fldCharType="end"/>
        </w:r>
      </w:hyperlink>
    </w:p>
    <w:p w14:paraId="359123EC" w14:textId="00C48B68"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6" w:history="1">
        <w:r w:rsidR="00B92B69" w:rsidRPr="00127A64">
          <w:rPr>
            <w:rStyle w:val="Hiperhivatkozs"/>
            <w:noProof/>
          </w:rPr>
          <w:t>1/9. számú melléklet</w:t>
        </w:r>
        <w:r w:rsidR="00B92B69">
          <w:rPr>
            <w:noProof/>
            <w:webHidden/>
          </w:rPr>
          <w:tab/>
        </w:r>
        <w:r w:rsidR="00B92B69">
          <w:rPr>
            <w:noProof/>
            <w:webHidden/>
          </w:rPr>
          <w:fldChar w:fldCharType="begin"/>
        </w:r>
        <w:r w:rsidR="00B92B69">
          <w:rPr>
            <w:noProof/>
            <w:webHidden/>
          </w:rPr>
          <w:instrText xml:space="preserve"> PAGEREF _Toc58569586 \h </w:instrText>
        </w:r>
        <w:r w:rsidR="00B92B69">
          <w:rPr>
            <w:noProof/>
            <w:webHidden/>
          </w:rPr>
        </w:r>
        <w:r w:rsidR="00B92B69">
          <w:rPr>
            <w:noProof/>
            <w:webHidden/>
          </w:rPr>
          <w:fldChar w:fldCharType="separate"/>
        </w:r>
        <w:r w:rsidR="00B92B69">
          <w:rPr>
            <w:noProof/>
            <w:webHidden/>
          </w:rPr>
          <w:t>174</w:t>
        </w:r>
        <w:r w:rsidR="00B92B69">
          <w:rPr>
            <w:noProof/>
            <w:webHidden/>
          </w:rPr>
          <w:fldChar w:fldCharType="end"/>
        </w:r>
      </w:hyperlink>
    </w:p>
    <w:p w14:paraId="1C1BF159" w14:textId="551AF1B8"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7" w:history="1">
        <w:r w:rsidR="00B92B69" w:rsidRPr="00127A64">
          <w:rPr>
            <w:rStyle w:val="Hiperhivatkozs"/>
            <w:rFonts w:eastAsia="Calibri"/>
            <w:noProof/>
          </w:rPr>
          <w:t xml:space="preserve">A Pécsi Tudományegyetem </w:t>
        </w:r>
        <w:r w:rsidR="00B92B69" w:rsidRPr="00127A64">
          <w:rPr>
            <w:rStyle w:val="Hiperhivatkozs"/>
            <w:rFonts w:eastAsia="Calibri"/>
            <w:bCs/>
            <w:noProof/>
          </w:rPr>
          <w:t xml:space="preserve">Művészeti Karának </w:t>
        </w:r>
        <w:r w:rsidR="00B92B69" w:rsidRPr="00127A64">
          <w:rPr>
            <w:rStyle w:val="Hiperhivatkozs"/>
            <w:rFonts w:eastAsia="Calibri"/>
            <w:noProof/>
          </w:rPr>
          <w:t>Teljesítményértékelési Szabályzata</w:t>
        </w:r>
        <w:r w:rsidR="00B92B69">
          <w:rPr>
            <w:noProof/>
            <w:webHidden/>
          </w:rPr>
          <w:tab/>
        </w:r>
        <w:r w:rsidR="00B92B69">
          <w:rPr>
            <w:noProof/>
            <w:webHidden/>
          </w:rPr>
          <w:fldChar w:fldCharType="begin"/>
        </w:r>
        <w:r w:rsidR="00B92B69">
          <w:rPr>
            <w:noProof/>
            <w:webHidden/>
          </w:rPr>
          <w:instrText xml:space="preserve"> PAGEREF _Toc58569587 \h </w:instrText>
        </w:r>
        <w:r w:rsidR="00B92B69">
          <w:rPr>
            <w:noProof/>
            <w:webHidden/>
          </w:rPr>
        </w:r>
        <w:r w:rsidR="00B92B69">
          <w:rPr>
            <w:noProof/>
            <w:webHidden/>
          </w:rPr>
          <w:fldChar w:fldCharType="separate"/>
        </w:r>
        <w:r w:rsidR="00B92B69">
          <w:rPr>
            <w:noProof/>
            <w:webHidden/>
          </w:rPr>
          <w:t>174</w:t>
        </w:r>
        <w:r w:rsidR="00B92B69">
          <w:rPr>
            <w:noProof/>
            <w:webHidden/>
          </w:rPr>
          <w:fldChar w:fldCharType="end"/>
        </w:r>
      </w:hyperlink>
    </w:p>
    <w:p w14:paraId="7706AA49" w14:textId="0209E1A3"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8" w:history="1">
        <w:r w:rsidR="00B92B69" w:rsidRPr="00127A64">
          <w:rPr>
            <w:rStyle w:val="Hiperhivatkozs"/>
            <w:noProof/>
          </w:rPr>
          <w:t>1/10. számú melléklet</w:t>
        </w:r>
        <w:r w:rsidR="00B92B69">
          <w:rPr>
            <w:noProof/>
            <w:webHidden/>
          </w:rPr>
          <w:tab/>
        </w:r>
        <w:r w:rsidR="00B92B69">
          <w:rPr>
            <w:noProof/>
            <w:webHidden/>
          </w:rPr>
          <w:fldChar w:fldCharType="begin"/>
        </w:r>
        <w:r w:rsidR="00B92B69">
          <w:rPr>
            <w:noProof/>
            <w:webHidden/>
          </w:rPr>
          <w:instrText xml:space="preserve"> PAGEREF _Toc58569588 \h </w:instrText>
        </w:r>
        <w:r w:rsidR="00B92B69">
          <w:rPr>
            <w:noProof/>
            <w:webHidden/>
          </w:rPr>
        </w:r>
        <w:r w:rsidR="00B92B69">
          <w:rPr>
            <w:noProof/>
            <w:webHidden/>
          </w:rPr>
          <w:fldChar w:fldCharType="separate"/>
        </w:r>
        <w:r w:rsidR="00B92B69">
          <w:rPr>
            <w:noProof/>
            <w:webHidden/>
          </w:rPr>
          <w:t>178</w:t>
        </w:r>
        <w:r w:rsidR="00B92B69">
          <w:rPr>
            <w:noProof/>
            <w:webHidden/>
          </w:rPr>
          <w:fldChar w:fldCharType="end"/>
        </w:r>
      </w:hyperlink>
    </w:p>
    <w:p w14:paraId="55BFB33F" w14:textId="214CD426"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89" w:history="1">
        <w:r w:rsidR="00B92B69" w:rsidRPr="00127A64">
          <w:rPr>
            <w:rStyle w:val="Hiperhivatkozs"/>
            <w:rFonts w:eastAsia="Calibri"/>
            <w:noProof/>
          </w:rPr>
          <w:t xml:space="preserve">A Pécsi Tudományegyetem </w:t>
        </w:r>
        <w:r w:rsidR="00B92B69" w:rsidRPr="00127A64">
          <w:rPr>
            <w:rStyle w:val="Hiperhivatkozs"/>
            <w:rFonts w:eastAsia="Calibri"/>
            <w:bCs/>
            <w:noProof/>
          </w:rPr>
          <w:t xml:space="preserve">Természettudományi Karának </w:t>
        </w:r>
        <w:r w:rsidR="00B92B69" w:rsidRPr="00127A64">
          <w:rPr>
            <w:rStyle w:val="Hiperhivatkozs"/>
            <w:rFonts w:eastAsia="Calibri"/>
            <w:noProof/>
          </w:rPr>
          <w:t>Teljesítményértékelési Szabályzata</w:t>
        </w:r>
        <w:r w:rsidR="00B92B69">
          <w:rPr>
            <w:noProof/>
            <w:webHidden/>
          </w:rPr>
          <w:tab/>
        </w:r>
        <w:r w:rsidR="00B92B69">
          <w:rPr>
            <w:noProof/>
            <w:webHidden/>
          </w:rPr>
          <w:fldChar w:fldCharType="begin"/>
        </w:r>
        <w:r w:rsidR="00B92B69">
          <w:rPr>
            <w:noProof/>
            <w:webHidden/>
          </w:rPr>
          <w:instrText xml:space="preserve"> PAGEREF _Toc58569589 \h </w:instrText>
        </w:r>
        <w:r w:rsidR="00B92B69">
          <w:rPr>
            <w:noProof/>
            <w:webHidden/>
          </w:rPr>
        </w:r>
        <w:r w:rsidR="00B92B69">
          <w:rPr>
            <w:noProof/>
            <w:webHidden/>
          </w:rPr>
          <w:fldChar w:fldCharType="separate"/>
        </w:r>
        <w:r w:rsidR="00B92B69">
          <w:rPr>
            <w:noProof/>
            <w:webHidden/>
          </w:rPr>
          <w:t>178</w:t>
        </w:r>
        <w:r w:rsidR="00B92B69">
          <w:rPr>
            <w:noProof/>
            <w:webHidden/>
          </w:rPr>
          <w:fldChar w:fldCharType="end"/>
        </w:r>
      </w:hyperlink>
    </w:p>
    <w:p w14:paraId="364C5420" w14:textId="38224FA9"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0" w:history="1">
        <w:r w:rsidR="00B92B69" w:rsidRPr="00127A64">
          <w:rPr>
            <w:rStyle w:val="Hiperhivatkozs"/>
            <w:noProof/>
          </w:rPr>
          <w:t>2. számú melléklet</w:t>
        </w:r>
        <w:r w:rsidR="00B92B69">
          <w:rPr>
            <w:noProof/>
            <w:webHidden/>
          </w:rPr>
          <w:tab/>
        </w:r>
        <w:r w:rsidR="00B92B69">
          <w:rPr>
            <w:noProof/>
            <w:webHidden/>
          </w:rPr>
          <w:fldChar w:fldCharType="begin"/>
        </w:r>
        <w:r w:rsidR="00B92B69">
          <w:rPr>
            <w:noProof/>
            <w:webHidden/>
          </w:rPr>
          <w:instrText xml:space="preserve"> PAGEREF _Toc58569590 \h </w:instrText>
        </w:r>
        <w:r w:rsidR="00B92B69">
          <w:rPr>
            <w:noProof/>
            <w:webHidden/>
          </w:rPr>
        </w:r>
        <w:r w:rsidR="00B92B69">
          <w:rPr>
            <w:noProof/>
            <w:webHidden/>
          </w:rPr>
          <w:fldChar w:fldCharType="separate"/>
        </w:r>
        <w:r w:rsidR="00B92B69">
          <w:rPr>
            <w:noProof/>
            <w:webHidden/>
          </w:rPr>
          <w:t>190</w:t>
        </w:r>
        <w:r w:rsidR="00B92B69">
          <w:rPr>
            <w:noProof/>
            <w:webHidden/>
          </w:rPr>
          <w:fldChar w:fldCharType="end"/>
        </w:r>
      </w:hyperlink>
    </w:p>
    <w:p w14:paraId="29441A1B" w14:textId="70F7356B"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1" w:history="1">
        <w:r w:rsidR="00B92B69" w:rsidRPr="00127A64">
          <w:rPr>
            <w:rStyle w:val="Hiperhivatkozs"/>
            <w:noProof/>
          </w:rPr>
          <w:t>3. számú melléklet</w:t>
        </w:r>
        <w:r w:rsidR="00B92B69">
          <w:rPr>
            <w:noProof/>
            <w:webHidden/>
          </w:rPr>
          <w:tab/>
        </w:r>
        <w:r w:rsidR="00B92B69">
          <w:rPr>
            <w:noProof/>
            <w:webHidden/>
          </w:rPr>
          <w:fldChar w:fldCharType="begin"/>
        </w:r>
        <w:r w:rsidR="00B92B69">
          <w:rPr>
            <w:noProof/>
            <w:webHidden/>
          </w:rPr>
          <w:instrText xml:space="preserve"> PAGEREF _Toc58569591 \h </w:instrText>
        </w:r>
        <w:r w:rsidR="00B92B69">
          <w:rPr>
            <w:noProof/>
            <w:webHidden/>
          </w:rPr>
        </w:r>
        <w:r w:rsidR="00B92B69">
          <w:rPr>
            <w:noProof/>
            <w:webHidden/>
          </w:rPr>
          <w:fldChar w:fldCharType="separate"/>
        </w:r>
        <w:r w:rsidR="00B92B69">
          <w:rPr>
            <w:noProof/>
            <w:webHidden/>
          </w:rPr>
          <w:t>191</w:t>
        </w:r>
        <w:r w:rsidR="00B92B69">
          <w:rPr>
            <w:noProof/>
            <w:webHidden/>
          </w:rPr>
          <w:fldChar w:fldCharType="end"/>
        </w:r>
      </w:hyperlink>
    </w:p>
    <w:p w14:paraId="34AA466A" w14:textId="2997E65E"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2" w:history="1">
        <w:r w:rsidR="00B92B69" w:rsidRPr="00127A64">
          <w:rPr>
            <w:rStyle w:val="Hiperhivatkozs"/>
            <w:noProof/>
          </w:rPr>
          <w:t>4. számú melléklet</w:t>
        </w:r>
        <w:r w:rsidR="00B92B69">
          <w:rPr>
            <w:noProof/>
            <w:webHidden/>
          </w:rPr>
          <w:tab/>
        </w:r>
        <w:r w:rsidR="00B92B69">
          <w:rPr>
            <w:noProof/>
            <w:webHidden/>
          </w:rPr>
          <w:fldChar w:fldCharType="begin"/>
        </w:r>
        <w:r w:rsidR="00B92B69">
          <w:rPr>
            <w:noProof/>
            <w:webHidden/>
          </w:rPr>
          <w:instrText xml:space="preserve"> PAGEREF _Toc58569592 \h </w:instrText>
        </w:r>
        <w:r w:rsidR="00B92B69">
          <w:rPr>
            <w:noProof/>
            <w:webHidden/>
          </w:rPr>
        </w:r>
        <w:r w:rsidR="00B92B69">
          <w:rPr>
            <w:noProof/>
            <w:webHidden/>
          </w:rPr>
          <w:fldChar w:fldCharType="separate"/>
        </w:r>
        <w:r w:rsidR="00B92B69">
          <w:rPr>
            <w:noProof/>
            <w:webHidden/>
          </w:rPr>
          <w:t>197</w:t>
        </w:r>
        <w:r w:rsidR="00B92B69">
          <w:rPr>
            <w:noProof/>
            <w:webHidden/>
          </w:rPr>
          <w:fldChar w:fldCharType="end"/>
        </w:r>
      </w:hyperlink>
    </w:p>
    <w:p w14:paraId="035C2ABA" w14:textId="21134D81"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3" w:history="1">
        <w:r w:rsidR="00B92B69" w:rsidRPr="00127A64">
          <w:rPr>
            <w:rStyle w:val="Hiperhivatkozs"/>
            <w:noProof/>
          </w:rPr>
          <w:t>5. számú melléklet</w:t>
        </w:r>
        <w:r w:rsidR="00B92B69">
          <w:rPr>
            <w:noProof/>
            <w:webHidden/>
          </w:rPr>
          <w:tab/>
        </w:r>
        <w:r w:rsidR="00B92B69">
          <w:rPr>
            <w:noProof/>
            <w:webHidden/>
          </w:rPr>
          <w:fldChar w:fldCharType="begin"/>
        </w:r>
        <w:r w:rsidR="00B92B69">
          <w:rPr>
            <w:noProof/>
            <w:webHidden/>
          </w:rPr>
          <w:instrText xml:space="preserve"> PAGEREF _Toc58569593 \h </w:instrText>
        </w:r>
        <w:r w:rsidR="00B92B69">
          <w:rPr>
            <w:noProof/>
            <w:webHidden/>
          </w:rPr>
        </w:r>
        <w:r w:rsidR="00B92B69">
          <w:rPr>
            <w:noProof/>
            <w:webHidden/>
          </w:rPr>
          <w:fldChar w:fldCharType="separate"/>
        </w:r>
        <w:r w:rsidR="00B92B69">
          <w:rPr>
            <w:noProof/>
            <w:webHidden/>
          </w:rPr>
          <w:t>199</w:t>
        </w:r>
        <w:r w:rsidR="00B92B69">
          <w:rPr>
            <w:noProof/>
            <w:webHidden/>
          </w:rPr>
          <w:fldChar w:fldCharType="end"/>
        </w:r>
      </w:hyperlink>
    </w:p>
    <w:p w14:paraId="01DFC95D" w14:textId="61934048"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4" w:history="1">
        <w:r w:rsidR="00B92B69" w:rsidRPr="00127A64">
          <w:rPr>
            <w:rStyle w:val="Hiperhivatkozs"/>
            <w:noProof/>
          </w:rPr>
          <w:t>6. számú melléklet</w:t>
        </w:r>
        <w:r w:rsidR="00B92B69">
          <w:rPr>
            <w:noProof/>
            <w:webHidden/>
          </w:rPr>
          <w:tab/>
        </w:r>
        <w:r w:rsidR="00B92B69">
          <w:rPr>
            <w:noProof/>
            <w:webHidden/>
          </w:rPr>
          <w:fldChar w:fldCharType="begin"/>
        </w:r>
        <w:r w:rsidR="00B92B69">
          <w:rPr>
            <w:noProof/>
            <w:webHidden/>
          </w:rPr>
          <w:instrText xml:space="preserve"> PAGEREF _Toc58569594 \h </w:instrText>
        </w:r>
        <w:r w:rsidR="00B92B69">
          <w:rPr>
            <w:noProof/>
            <w:webHidden/>
          </w:rPr>
        </w:r>
        <w:r w:rsidR="00B92B69">
          <w:rPr>
            <w:noProof/>
            <w:webHidden/>
          </w:rPr>
          <w:fldChar w:fldCharType="separate"/>
        </w:r>
        <w:r w:rsidR="00B92B69">
          <w:rPr>
            <w:noProof/>
            <w:webHidden/>
          </w:rPr>
          <w:t>200</w:t>
        </w:r>
        <w:r w:rsidR="00B92B69">
          <w:rPr>
            <w:noProof/>
            <w:webHidden/>
          </w:rPr>
          <w:fldChar w:fldCharType="end"/>
        </w:r>
      </w:hyperlink>
    </w:p>
    <w:p w14:paraId="013C9336" w14:textId="5D6768AD"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5" w:history="1">
        <w:r w:rsidR="00B92B69" w:rsidRPr="00127A64">
          <w:rPr>
            <w:rStyle w:val="Hiperhivatkozs"/>
            <w:noProof/>
          </w:rPr>
          <w:t>7. számú melléklet</w:t>
        </w:r>
        <w:r w:rsidR="00B92B69">
          <w:rPr>
            <w:noProof/>
            <w:webHidden/>
          </w:rPr>
          <w:tab/>
        </w:r>
        <w:r w:rsidR="00B92B69">
          <w:rPr>
            <w:noProof/>
            <w:webHidden/>
          </w:rPr>
          <w:fldChar w:fldCharType="begin"/>
        </w:r>
        <w:r w:rsidR="00B92B69">
          <w:rPr>
            <w:noProof/>
            <w:webHidden/>
          </w:rPr>
          <w:instrText xml:space="preserve"> PAGEREF _Toc58569595 \h </w:instrText>
        </w:r>
        <w:r w:rsidR="00B92B69">
          <w:rPr>
            <w:noProof/>
            <w:webHidden/>
          </w:rPr>
        </w:r>
        <w:r w:rsidR="00B92B69">
          <w:rPr>
            <w:noProof/>
            <w:webHidden/>
          </w:rPr>
          <w:fldChar w:fldCharType="separate"/>
        </w:r>
        <w:r w:rsidR="00B92B69">
          <w:rPr>
            <w:noProof/>
            <w:webHidden/>
          </w:rPr>
          <w:t>201</w:t>
        </w:r>
        <w:r w:rsidR="00B92B69">
          <w:rPr>
            <w:noProof/>
            <w:webHidden/>
          </w:rPr>
          <w:fldChar w:fldCharType="end"/>
        </w:r>
      </w:hyperlink>
    </w:p>
    <w:p w14:paraId="0BE8285C" w14:textId="3A4FD6F2"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6" w:history="1">
        <w:r w:rsidR="00B92B69" w:rsidRPr="00127A64">
          <w:rPr>
            <w:rStyle w:val="Hiperhivatkozs"/>
            <w:noProof/>
          </w:rPr>
          <w:t>8. számú melléklet</w:t>
        </w:r>
        <w:r w:rsidR="00B92B69">
          <w:rPr>
            <w:noProof/>
            <w:webHidden/>
          </w:rPr>
          <w:tab/>
        </w:r>
        <w:r w:rsidR="00B92B69">
          <w:rPr>
            <w:noProof/>
            <w:webHidden/>
          </w:rPr>
          <w:fldChar w:fldCharType="begin"/>
        </w:r>
        <w:r w:rsidR="00B92B69">
          <w:rPr>
            <w:noProof/>
            <w:webHidden/>
          </w:rPr>
          <w:instrText xml:space="preserve"> PAGEREF _Toc58569596 \h </w:instrText>
        </w:r>
        <w:r w:rsidR="00B92B69">
          <w:rPr>
            <w:noProof/>
            <w:webHidden/>
          </w:rPr>
        </w:r>
        <w:r w:rsidR="00B92B69">
          <w:rPr>
            <w:noProof/>
            <w:webHidden/>
          </w:rPr>
          <w:fldChar w:fldCharType="separate"/>
        </w:r>
        <w:r w:rsidR="00B92B69">
          <w:rPr>
            <w:noProof/>
            <w:webHidden/>
          </w:rPr>
          <w:t>202</w:t>
        </w:r>
        <w:r w:rsidR="00B92B69">
          <w:rPr>
            <w:noProof/>
            <w:webHidden/>
          </w:rPr>
          <w:fldChar w:fldCharType="end"/>
        </w:r>
      </w:hyperlink>
    </w:p>
    <w:p w14:paraId="6460FC33" w14:textId="3A558FC4" w:rsidR="00B92B69" w:rsidRDefault="00C54B98">
      <w:pPr>
        <w:pStyle w:val="TJ1"/>
        <w:tabs>
          <w:tab w:val="right" w:leader="dot" w:pos="9062"/>
        </w:tabs>
        <w:rPr>
          <w:rFonts w:asciiTheme="minorHAnsi" w:eastAsiaTheme="minorEastAsia" w:hAnsiTheme="minorHAnsi" w:cstheme="minorBidi"/>
          <w:noProof/>
          <w:sz w:val="22"/>
          <w:szCs w:val="22"/>
        </w:rPr>
      </w:pPr>
      <w:hyperlink w:anchor="_Toc58569597" w:history="1">
        <w:r w:rsidR="00B92B69" w:rsidRPr="00127A64">
          <w:rPr>
            <w:rStyle w:val="Hiperhivatkozs"/>
            <w:noProof/>
          </w:rPr>
          <w:t xml:space="preserve">9. számú melléklet </w:t>
        </w:r>
        <w:r w:rsidR="00B92B69">
          <w:rPr>
            <w:noProof/>
            <w:webHidden/>
          </w:rPr>
          <w:tab/>
        </w:r>
        <w:r w:rsidR="00B92B69">
          <w:rPr>
            <w:noProof/>
            <w:webHidden/>
          </w:rPr>
          <w:fldChar w:fldCharType="begin"/>
        </w:r>
        <w:r w:rsidR="00B92B69">
          <w:rPr>
            <w:noProof/>
            <w:webHidden/>
          </w:rPr>
          <w:instrText xml:space="preserve"> PAGEREF _Toc58569597 \h </w:instrText>
        </w:r>
        <w:r w:rsidR="00B92B69">
          <w:rPr>
            <w:noProof/>
            <w:webHidden/>
          </w:rPr>
        </w:r>
        <w:r w:rsidR="00B92B69">
          <w:rPr>
            <w:noProof/>
            <w:webHidden/>
          </w:rPr>
          <w:fldChar w:fldCharType="separate"/>
        </w:r>
        <w:r w:rsidR="00B92B69">
          <w:rPr>
            <w:noProof/>
            <w:webHidden/>
          </w:rPr>
          <w:t>204</w:t>
        </w:r>
        <w:r w:rsidR="00B92B69">
          <w:rPr>
            <w:noProof/>
            <w:webHidden/>
          </w:rPr>
          <w:fldChar w:fldCharType="end"/>
        </w:r>
      </w:hyperlink>
    </w:p>
    <w:p w14:paraId="6D9C8228" w14:textId="1F2BFFA4" w:rsidR="00893D5B" w:rsidRPr="000250FA" w:rsidRDefault="00893D5B" w:rsidP="00BB53E6">
      <w:r w:rsidRPr="000250FA">
        <w:rPr>
          <w:b/>
          <w:bCs/>
        </w:rPr>
        <w:fldChar w:fldCharType="end"/>
      </w:r>
    </w:p>
    <w:p w14:paraId="283A1D03" w14:textId="77777777" w:rsidR="00893D5B" w:rsidRPr="000250FA" w:rsidRDefault="00893D5B" w:rsidP="00893D5B"/>
    <w:p w14:paraId="5877C5E5" w14:textId="77777777" w:rsidR="00893D5B" w:rsidRPr="000250FA" w:rsidRDefault="00893D5B" w:rsidP="00893D5B">
      <w:pPr>
        <w:pStyle w:val="Cmsor1"/>
      </w:pPr>
      <w:bookmarkStart w:id="2" w:name="_Toc445200800"/>
      <w:r w:rsidRPr="000250FA">
        <w:br w:type="page"/>
      </w:r>
      <w:bookmarkStart w:id="3" w:name="_Toc58569524"/>
      <w:r w:rsidRPr="000250FA">
        <w:lastRenderedPageBreak/>
        <w:t>Preambulum</w:t>
      </w:r>
      <w:r w:rsidRPr="000250FA">
        <w:rPr>
          <w:rStyle w:val="Lbjegyzet-hivatkozs"/>
        </w:rPr>
        <w:footnoteReference w:id="1"/>
      </w:r>
      <w:r w:rsidRPr="000250FA">
        <w:rPr>
          <w:rStyle w:val="Lbjegyzet-hivatkozs"/>
        </w:rPr>
        <w:t>*</w:t>
      </w:r>
      <w:bookmarkEnd w:id="0"/>
      <w:bookmarkEnd w:id="1"/>
      <w:bookmarkEnd w:id="2"/>
      <w:bookmarkEnd w:id="3"/>
    </w:p>
    <w:p w14:paraId="05EFB8D0" w14:textId="77777777" w:rsidR="00893D5B" w:rsidRPr="000250FA" w:rsidRDefault="00893D5B" w:rsidP="00893D5B">
      <w:pPr>
        <w:tabs>
          <w:tab w:val="left" w:pos="9781"/>
        </w:tabs>
        <w:ind w:right="-144"/>
        <w:jc w:val="center"/>
        <w:rPr>
          <w:b/>
          <w:sz w:val="22"/>
          <w:szCs w:val="22"/>
        </w:rPr>
      </w:pPr>
    </w:p>
    <w:p w14:paraId="5891B623" w14:textId="77777777" w:rsidR="00893D5B" w:rsidRPr="000250FA" w:rsidRDefault="00893D5B" w:rsidP="00893D5B">
      <w:pPr>
        <w:tabs>
          <w:tab w:val="left" w:pos="9781"/>
        </w:tabs>
        <w:ind w:right="-144"/>
        <w:jc w:val="both"/>
        <w:rPr>
          <w:sz w:val="22"/>
          <w:szCs w:val="22"/>
        </w:rPr>
      </w:pPr>
    </w:p>
    <w:p w14:paraId="69054DDB" w14:textId="77777777" w:rsidR="00893D5B" w:rsidRPr="000250FA" w:rsidRDefault="00893D5B" w:rsidP="00893D5B">
      <w:pPr>
        <w:tabs>
          <w:tab w:val="left" w:pos="9781"/>
        </w:tabs>
        <w:ind w:right="-144"/>
        <w:jc w:val="both"/>
        <w:rPr>
          <w:sz w:val="22"/>
          <w:szCs w:val="22"/>
        </w:rPr>
      </w:pPr>
      <w:r w:rsidRPr="000250FA">
        <w:rPr>
          <w:sz w:val="22"/>
          <w:szCs w:val="22"/>
        </w:rPr>
        <w:t xml:space="preserve">A Pécsi Tudományegyetem (továbbiakban: Egyetem) Szenátusa a nemzeti felsőoktatásról szóló 2011. évi CCIV. törvény (továbbiakban: </w:t>
      </w:r>
      <w:proofErr w:type="spellStart"/>
      <w:r w:rsidRPr="000250FA">
        <w:rPr>
          <w:sz w:val="22"/>
          <w:szCs w:val="22"/>
        </w:rPr>
        <w:t>Nftv</w:t>
      </w:r>
      <w:proofErr w:type="spellEnd"/>
      <w:r w:rsidRPr="000250FA">
        <w:rPr>
          <w:sz w:val="22"/>
          <w:szCs w:val="22"/>
        </w:rPr>
        <w:t xml:space="preserve">.), a Munka Törvénykönyvéről szóló 2012. évi I. törvény (továbbiakban: Mt.), a közalkalmazottak jogállásról szóló 1992. évi XXXIII. törvény (továbbiakban: Kjt.), a közalkalmazottak jogállásáról szóló 1992. évi XXXIII. törvény felsőoktatásban való végrehajtásáról és a felsőoktatási intézményekben való foglalkoztatás egyes kérdéseiről szóló 395/2015. (XII. 12.) Korm. rendelet, az egészségügyben történő végrehajtásáról szóló a 356/2008. (XII.31.) </w:t>
      </w:r>
      <w:proofErr w:type="gramStart"/>
      <w:r w:rsidRPr="000250FA">
        <w:rPr>
          <w:sz w:val="22"/>
          <w:szCs w:val="22"/>
        </w:rPr>
        <w:t>Kormányrendelet, a közalkalmazottak jogállásáról szóló 1992. évi XXXIII. törvény végrehajtásáról a művészeti, közművelődési és közgyűjteményi területen foglalkoztatott közalkalmazottak jogviszonyával összefüggő egyes kérdések rendezéséről szóló 150/1992 (XI.20) Kormányrendelet, valamint az Egyetem szervezeti és működési szabályzatának felhatalmazása alapján az Egyetemen folyó oktatási, kutatási, tudományos, művészeti és gyógyítási tevékenység magas színvonalú biztosítása érdekében az oktatókkal, kutatókkal, tanárokkal és egyéb közalkalmazottakkal szemben támasztott előmeneteli és teljesítménykövetelményeket,</w:t>
      </w:r>
      <w:proofErr w:type="gramEnd"/>
      <w:r w:rsidRPr="000250FA">
        <w:rPr>
          <w:sz w:val="22"/>
          <w:szCs w:val="22"/>
        </w:rPr>
        <w:t xml:space="preserve"> </w:t>
      </w:r>
      <w:proofErr w:type="gramStart"/>
      <w:r w:rsidRPr="000250FA">
        <w:rPr>
          <w:sz w:val="22"/>
          <w:szCs w:val="22"/>
        </w:rPr>
        <w:t>az</w:t>
      </w:r>
      <w:proofErr w:type="gramEnd"/>
      <w:r w:rsidRPr="000250FA">
        <w:rPr>
          <w:sz w:val="22"/>
          <w:szCs w:val="22"/>
        </w:rPr>
        <w:t xml:space="preserve"> alkalmazás feltételeit, az értékelés szempontjait, a díjazás elveit, a magasabb vezetőkre és vezetőkre vonatkozó rendelkezéseket az alábbi szabályzatban határozza meg.</w:t>
      </w:r>
    </w:p>
    <w:p w14:paraId="0B88AF0A" w14:textId="77777777" w:rsidR="00893D5B" w:rsidRPr="000250FA" w:rsidRDefault="00893D5B" w:rsidP="00893D5B">
      <w:pPr>
        <w:tabs>
          <w:tab w:val="left" w:pos="9781"/>
        </w:tabs>
        <w:ind w:right="-144"/>
        <w:rPr>
          <w:b/>
          <w:sz w:val="22"/>
          <w:szCs w:val="22"/>
        </w:rPr>
      </w:pPr>
    </w:p>
    <w:p w14:paraId="15AFDC5D" w14:textId="77777777" w:rsidR="00893D5B" w:rsidRPr="000250FA" w:rsidRDefault="00893D5B" w:rsidP="00893D5B">
      <w:pPr>
        <w:pStyle w:val="Cmsor1"/>
      </w:pPr>
      <w:bookmarkStart w:id="4" w:name="_Toc432753512"/>
      <w:bookmarkStart w:id="5" w:name="_Toc444603541"/>
      <w:bookmarkStart w:id="6" w:name="_Toc445200801"/>
      <w:bookmarkStart w:id="7" w:name="_Toc58569525"/>
      <w:r w:rsidRPr="000250FA">
        <w:t>ELSŐ RÉSZ</w:t>
      </w:r>
      <w:bookmarkEnd w:id="4"/>
      <w:bookmarkEnd w:id="5"/>
      <w:bookmarkEnd w:id="6"/>
      <w:bookmarkEnd w:id="7"/>
    </w:p>
    <w:p w14:paraId="16A5AB70" w14:textId="77777777" w:rsidR="00893D5B" w:rsidRPr="000250FA" w:rsidRDefault="00893D5B" w:rsidP="00893D5B">
      <w:pPr>
        <w:tabs>
          <w:tab w:val="left" w:pos="9781"/>
        </w:tabs>
        <w:ind w:right="-144"/>
        <w:jc w:val="center"/>
        <w:rPr>
          <w:b/>
          <w:sz w:val="22"/>
          <w:szCs w:val="22"/>
        </w:rPr>
      </w:pPr>
    </w:p>
    <w:p w14:paraId="6CAE9E62" w14:textId="77777777" w:rsidR="00893D5B" w:rsidRPr="000250FA" w:rsidRDefault="00893D5B" w:rsidP="00893D5B">
      <w:pPr>
        <w:pStyle w:val="Cmsor2"/>
      </w:pPr>
      <w:bookmarkStart w:id="8" w:name="_Toc432753513"/>
      <w:bookmarkStart w:id="9" w:name="_Toc444603542"/>
      <w:bookmarkStart w:id="10" w:name="_Toc445200802"/>
      <w:bookmarkStart w:id="11" w:name="_Toc58569526"/>
      <w:r w:rsidRPr="000250FA">
        <w:t>Bevezető rendelkezések</w:t>
      </w:r>
      <w:bookmarkEnd w:id="8"/>
      <w:bookmarkEnd w:id="9"/>
      <w:bookmarkEnd w:id="10"/>
      <w:bookmarkEnd w:id="11"/>
    </w:p>
    <w:p w14:paraId="01FF065F" w14:textId="77777777" w:rsidR="00893D5B" w:rsidRPr="000250FA" w:rsidRDefault="00893D5B" w:rsidP="00893D5B">
      <w:pPr>
        <w:tabs>
          <w:tab w:val="left" w:pos="9781"/>
        </w:tabs>
        <w:ind w:right="-144"/>
        <w:jc w:val="center"/>
        <w:rPr>
          <w:b/>
          <w:i/>
          <w:sz w:val="22"/>
          <w:szCs w:val="22"/>
        </w:rPr>
      </w:pPr>
    </w:p>
    <w:p w14:paraId="2FA42C3A" w14:textId="77777777" w:rsidR="00893D5B" w:rsidRPr="000250FA" w:rsidRDefault="00893D5B" w:rsidP="00893D5B">
      <w:pPr>
        <w:pStyle w:val="Cmsor3"/>
      </w:pPr>
      <w:bookmarkStart w:id="12" w:name="_Toc432753514"/>
      <w:bookmarkStart w:id="13" w:name="_Toc444603543"/>
      <w:bookmarkStart w:id="14" w:name="_Toc445200803"/>
      <w:bookmarkStart w:id="15" w:name="_Toc58569527"/>
      <w:r w:rsidRPr="000250FA">
        <w:t>A szabályzat hatálya</w:t>
      </w:r>
      <w:bookmarkEnd w:id="12"/>
      <w:bookmarkEnd w:id="13"/>
      <w:bookmarkEnd w:id="14"/>
      <w:bookmarkEnd w:id="15"/>
    </w:p>
    <w:p w14:paraId="48416C03" w14:textId="77777777" w:rsidR="00893D5B" w:rsidRPr="000250FA" w:rsidRDefault="00893D5B" w:rsidP="00893D5B">
      <w:pPr>
        <w:tabs>
          <w:tab w:val="left" w:pos="9781"/>
        </w:tabs>
        <w:ind w:right="-144"/>
        <w:jc w:val="both"/>
        <w:rPr>
          <w:sz w:val="22"/>
          <w:szCs w:val="22"/>
        </w:rPr>
      </w:pPr>
    </w:p>
    <w:p w14:paraId="10D98FC0" w14:textId="77777777" w:rsidR="00893D5B" w:rsidRPr="00FA5A36" w:rsidRDefault="00893D5B" w:rsidP="00893D5B">
      <w:pPr>
        <w:tabs>
          <w:tab w:val="left" w:pos="9781"/>
        </w:tabs>
        <w:ind w:right="-144"/>
        <w:jc w:val="both"/>
        <w:rPr>
          <w:sz w:val="22"/>
          <w:szCs w:val="22"/>
        </w:rPr>
      </w:pPr>
      <w:r w:rsidRPr="00827537">
        <w:rPr>
          <w:b/>
          <w:sz w:val="22"/>
          <w:szCs w:val="22"/>
        </w:rPr>
        <w:t>1. §</w:t>
      </w:r>
      <w:r w:rsidRPr="00FA5A36">
        <w:rPr>
          <w:sz w:val="22"/>
          <w:szCs w:val="22"/>
        </w:rPr>
        <w:t xml:space="preserve"> (1) A szabályzat hatálya kiterjed </w:t>
      </w:r>
    </w:p>
    <w:p w14:paraId="056C785E" w14:textId="77777777" w:rsidR="00893D5B" w:rsidRPr="000250FA" w:rsidRDefault="00893D5B" w:rsidP="00893D5B">
      <w:pPr>
        <w:tabs>
          <w:tab w:val="left" w:pos="9781"/>
        </w:tabs>
        <w:ind w:right="-144"/>
        <w:jc w:val="both"/>
        <w:rPr>
          <w:sz w:val="22"/>
          <w:szCs w:val="22"/>
        </w:rPr>
      </w:pPr>
    </w:p>
    <w:p w14:paraId="2D5269CB" w14:textId="77777777" w:rsidR="00893D5B" w:rsidRPr="000250FA" w:rsidRDefault="00893D5B" w:rsidP="00912564">
      <w:pPr>
        <w:numPr>
          <w:ilvl w:val="0"/>
          <w:numId w:val="2"/>
        </w:numPr>
        <w:jc w:val="both"/>
        <w:rPr>
          <w:sz w:val="22"/>
          <w:szCs w:val="22"/>
        </w:rPr>
      </w:pPr>
      <w:r w:rsidRPr="000250FA">
        <w:rPr>
          <w:sz w:val="22"/>
          <w:szCs w:val="22"/>
        </w:rPr>
        <w:t>az Egyetemre, mint munkáltatóra,</w:t>
      </w:r>
    </w:p>
    <w:p w14:paraId="4DB15AB3" w14:textId="77777777" w:rsidR="00893D5B" w:rsidRPr="000250FA" w:rsidRDefault="00893D5B" w:rsidP="00912564">
      <w:pPr>
        <w:numPr>
          <w:ilvl w:val="0"/>
          <w:numId w:val="2"/>
        </w:numPr>
        <w:jc w:val="both"/>
        <w:rPr>
          <w:sz w:val="22"/>
          <w:szCs w:val="22"/>
        </w:rPr>
      </w:pPr>
      <w:r w:rsidRPr="000250FA">
        <w:rPr>
          <w:sz w:val="22"/>
          <w:szCs w:val="22"/>
        </w:rPr>
        <w:t>az Egyetem valamennyi közalkalmazotti jogviszonyban foglalkoztatott oktatójára, kutatójára, tanárára és közalkalmazottjára,</w:t>
      </w:r>
    </w:p>
    <w:p w14:paraId="27F16995" w14:textId="77777777" w:rsidR="00893D5B" w:rsidRPr="000250FA" w:rsidRDefault="00893D5B" w:rsidP="00912564">
      <w:pPr>
        <w:numPr>
          <w:ilvl w:val="0"/>
          <w:numId w:val="2"/>
        </w:numPr>
        <w:jc w:val="both"/>
        <w:rPr>
          <w:sz w:val="22"/>
          <w:szCs w:val="22"/>
        </w:rPr>
      </w:pPr>
      <w:r w:rsidRPr="000250FA">
        <w:rPr>
          <w:sz w:val="22"/>
          <w:szCs w:val="22"/>
        </w:rPr>
        <w:t>az Egyetemmel megbízási vagy munkavégzésre irányuló egyéb jogviszonyban álló személyekre,</w:t>
      </w:r>
    </w:p>
    <w:p w14:paraId="736C49D3" w14:textId="77777777" w:rsidR="00893D5B" w:rsidRPr="000250FA" w:rsidRDefault="00893D5B" w:rsidP="00912564">
      <w:pPr>
        <w:numPr>
          <w:ilvl w:val="0"/>
          <w:numId w:val="2"/>
        </w:numPr>
        <w:jc w:val="both"/>
        <w:rPr>
          <w:sz w:val="22"/>
          <w:szCs w:val="22"/>
        </w:rPr>
      </w:pPr>
      <w:r w:rsidRPr="000250FA">
        <w:rPr>
          <w:sz w:val="22"/>
          <w:szCs w:val="22"/>
        </w:rPr>
        <w:t xml:space="preserve">az Egyetemmel közalkalmazotti jogviszonyban nem álló és e szabályzatban meghatározott címekkel rendelkező személyekre. </w:t>
      </w:r>
    </w:p>
    <w:p w14:paraId="1C59158C" w14:textId="77777777" w:rsidR="00893D5B" w:rsidRPr="000250FA" w:rsidRDefault="00893D5B" w:rsidP="00893D5B">
      <w:pPr>
        <w:tabs>
          <w:tab w:val="left" w:pos="9781"/>
        </w:tabs>
        <w:ind w:right="-144"/>
        <w:jc w:val="both"/>
        <w:rPr>
          <w:sz w:val="22"/>
          <w:szCs w:val="22"/>
        </w:rPr>
      </w:pPr>
    </w:p>
    <w:p w14:paraId="209C52EF"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t xml:space="preserve"> </w:t>
      </w:r>
      <w:r w:rsidRPr="000250FA">
        <w:rPr>
          <w:rStyle w:val="Lbjegyzet-hivatkozs"/>
          <w:sz w:val="22"/>
          <w:szCs w:val="22"/>
        </w:rPr>
        <w:footnoteReference w:id="2"/>
      </w:r>
      <w:r w:rsidRPr="000250FA">
        <w:rPr>
          <w:rStyle w:val="Lbjegyzet-hivatkozs"/>
          <w:sz w:val="22"/>
          <w:szCs w:val="22"/>
        </w:rPr>
        <w:t xml:space="preserve"> </w:t>
      </w:r>
      <w:r w:rsidRPr="000250FA">
        <w:rPr>
          <w:rStyle w:val="Lbjegyzet-hivatkozs"/>
          <w:sz w:val="22"/>
          <w:szCs w:val="22"/>
        </w:rPr>
        <w:footnoteReference w:id="3"/>
      </w:r>
      <w:r w:rsidRPr="000250FA">
        <w:rPr>
          <w:rStyle w:val="Lbjegyzet-hivatkozs"/>
          <w:sz w:val="22"/>
          <w:szCs w:val="22"/>
        </w:rPr>
        <w:t xml:space="preserve"> </w:t>
      </w:r>
      <w:r w:rsidRPr="000250FA">
        <w:rPr>
          <w:rStyle w:val="Lbjegyzet-hivatkozs"/>
          <w:sz w:val="22"/>
          <w:szCs w:val="22"/>
        </w:rPr>
        <w:footnoteReference w:id="4"/>
      </w:r>
      <w:r w:rsidRPr="000250FA">
        <w:rPr>
          <w:sz w:val="22"/>
          <w:szCs w:val="22"/>
        </w:rPr>
        <w:t xml:space="preserve">A szabályzat hatálya – eltérő rendelkezés hiányában - nem terjed ki az Egyetem köznevelési intézményeire. Az Egyetem köznevelési intézményeiben foglalkoztatott közalkalmazottakra az ágazati jogszabályokban, illetve az intézményre vonatkozó </w:t>
      </w:r>
      <w:proofErr w:type="gramStart"/>
      <w:r w:rsidRPr="000250FA">
        <w:rPr>
          <w:sz w:val="22"/>
          <w:szCs w:val="22"/>
        </w:rPr>
        <w:t>kollektív</w:t>
      </w:r>
      <w:proofErr w:type="gramEnd"/>
      <w:r w:rsidRPr="000250FA">
        <w:rPr>
          <w:sz w:val="22"/>
          <w:szCs w:val="22"/>
        </w:rPr>
        <w:t xml:space="preserve"> szerződésében rögzített szabályok </w:t>
      </w:r>
      <w:proofErr w:type="spellStart"/>
      <w:r w:rsidRPr="000250FA">
        <w:rPr>
          <w:sz w:val="22"/>
          <w:szCs w:val="22"/>
        </w:rPr>
        <w:t>alkalmazandóak</w:t>
      </w:r>
      <w:proofErr w:type="spellEnd"/>
      <w:r w:rsidRPr="000250FA">
        <w:rPr>
          <w:sz w:val="22"/>
          <w:szCs w:val="22"/>
        </w:rPr>
        <w:t>.</w:t>
      </w:r>
    </w:p>
    <w:p w14:paraId="282661B5" w14:textId="77777777" w:rsidR="00893D5B" w:rsidRPr="000250FA" w:rsidRDefault="00893D5B" w:rsidP="00893D5B">
      <w:pPr>
        <w:tabs>
          <w:tab w:val="left" w:pos="9781"/>
        </w:tabs>
        <w:ind w:right="-144"/>
        <w:jc w:val="both"/>
        <w:rPr>
          <w:sz w:val="22"/>
          <w:szCs w:val="22"/>
        </w:rPr>
      </w:pPr>
    </w:p>
    <w:p w14:paraId="637F3026"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5"/>
      </w:r>
      <w:r w:rsidRPr="000250FA">
        <w:rPr>
          <w:sz w:val="22"/>
          <w:szCs w:val="22"/>
        </w:rPr>
        <w:t xml:space="preserve"> A szabályzat szerint kell eljárni</w:t>
      </w:r>
    </w:p>
    <w:p w14:paraId="21670204" w14:textId="77777777" w:rsidR="00893D5B" w:rsidRPr="000250FA" w:rsidRDefault="00893D5B" w:rsidP="00893D5B">
      <w:pPr>
        <w:tabs>
          <w:tab w:val="left" w:pos="9781"/>
        </w:tabs>
        <w:ind w:left="561" w:right="-144"/>
        <w:jc w:val="both"/>
        <w:rPr>
          <w:sz w:val="22"/>
          <w:szCs w:val="22"/>
        </w:rPr>
      </w:pPr>
    </w:p>
    <w:p w14:paraId="07C50FA0" w14:textId="77777777" w:rsidR="00893D5B" w:rsidRPr="000250FA" w:rsidRDefault="00893D5B" w:rsidP="00912564">
      <w:pPr>
        <w:numPr>
          <w:ilvl w:val="0"/>
          <w:numId w:val="3"/>
        </w:numPr>
        <w:jc w:val="both"/>
        <w:rPr>
          <w:sz w:val="22"/>
          <w:szCs w:val="22"/>
        </w:rPr>
      </w:pPr>
      <w:r w:rsidRPr="000250FA">
        <w:rPr>
          <w:sz w:val="22"/>
          <w:szCs w:val="22"/>
        </w:rPr>
        <w:t>az első alkalmazáskor az álláshely betöltésére való alkalmasság megítélése céljából,</w:t>
      </w:r>
    </w:p>
    <w:p w14:paraId="2DF51B22" w14:textId="77777777" w:rsidR="00893D5B" w:rsidRPr="000250FA" w:rsidRDefault="00893D5B" w:rsidP="00912564">
      <w:pPr>
        <w:numPr>
          <w:ilvl w:val="0"/>
          <w:numId w:val="3"/>
        </w:numPr>
        <w:jc w:val="both"/>
        <w:rPr>
          <w:sz w:val="22"/>
          <w:szCs w:val="22"/>
        </w:rPr>
      </w:pPr>
      <w:r w:rsidRPr="000250FA">
        <w:rPr>
          <w:sz w:val="22"/>
          <w:szCs w:val="22"/>
        </w:rPr>
        <w:t>a jogviszony létesítésekor, a foglalkoztatás feltételeinek, tartalmának meghatározása, valamint a jogviszony megszüntetése során,</w:t>
      </w:r>
    </w:p>
    <w:p w14:paraId="2F1EAF0F" w14:textId="77777777" w:rsidR="00893D5B" w:rsidRPr="000250FA" w:rsidRDefault="00893D5B" w:rsidP="00912564">
      <w:pPr>
        <w:numPr>
          <w:ilvl w:val="0"/>
          <w:numId w:val="3"/>
        </w:numPr>
        <w:jc w:val="both"/>
        <w:rPr>
          <w:sz w:val="22"/>
          <w:szCs w:val="22"/>
        </w:rPr>
      </w:pPr>
      <w:r w:rsidRPr="000250FA">
        <w:rPr>
          <w:sz w:val="22"/>
          <w:szCs w:val="22"/>
        </w:rPr>
        <w:t>az oktatók, kutatók, más közalkalmazottak minősítésekor, az általuk végzett munka értékelésekor, a folyamatos foglalkoztatásra való alkalmasság elbírálásakor,</w:t>
      </w:r>
    </w:p>
    <w:p w14:paraId="472EA5C5" w14:textId="77777777" w:rsidR="00893D5B" w:rsidRPr="000250FA" w:rsidRDefault="00893D5B" w:rsidP="00912564">
      <w:pPr>
        <w:numPr>
          <w:ilvl w:val="0"/>
          <w:numId w:val="3"/>
        </w:numPr>
        <w:jc w:val="both"/>
        <w:rPr>
          <w:sz w:val="22"/>
          <w:szCs w:val="22"/>
        </w:rPr>
      </w:pPr>
      <w:r w:rsidRPr="000250FA">
        <w:rPr>
          <w:sz w:val="22"/>
          <w:szCs w:val="22"/>
        </w:rPr>
        <w:t>a jogszabályokban meghatározott, munkakörhöz kapcsolódó és egyéb címek adományozásakor.</w:t>
      </w:r>
    </w:p>
    <w:p w14:paraId="639A4FCE" w14:textId="77777777" w:rsidR="00893D5B" w:rsidRPr="000250FA" w:rsidRDefault="00893D5B" w:rsidP="00893D5B">
      <w:pPr>
        <w:tabs>
          <w:tab w:val="left" w:pos="9781"/>
        </w:tabs>
        <w:ind w:right="-144"/>
        <w:jc w:val="both"/>
        <w:rPr>
          <w:sz w:val="22"/>
          <w:szCs w:val="22"/>
        </w:rPr>
      </w:pPr>
    </w:p>
    <w:p w14:paraId="31F4787D" w14:textId="77777777" w:rsidR="00893D5B" w:rsidRPr="000250FA" w:rsidRDefault="00893D5B" w:rsidP="00893D5B">
      <w:pPr>
        <w:tabs>
          <w:tab w:val="left" w:pos="9781"/>
        </w:tabs>
        <w:ind w:right="-144"/>
        <w:jc w:val="both"/>
        <w:rPr>
          <w:sz w:val="22"/>
          <w:szCs w:val="22"/>
        </w:rPr>
      </w:pPr>
      <w:r w:rsidRPr="000250FA">
        <w:rPr>
          <w:sz w:val="22"/>
          <w:szCs w:val="22"/>
        </w:rPr>
        <w:t>(4) A szabályzatban meghatározott követelményektől – a jogszabályban vagy e szabályzatban meghatározott esetek kivételével – sem az első alkalmazáskor, sem a folyamatos alkalmazáskor eltérni nem lehet.</w:t>
      </w:r>
    </w:p>
    <w:p w14:paraId="0ABF2769" w14:textId="77777777" w:rsidR="00893D5B" w:rsidRPr="000250FA" w:rsidRDefault="00893D5B" w:rsidP="00893D5B">
      <w:pPr>
        <w:tabs>
          <w:tab w:val="left" w:pos="9781"/>
        </w:tabs>
        <w:ind w:right="-144"/>
        <w:jc w:val="both"/>
        <w:rPr>
          <w:sz w:val="22"/>
          <w:szCs w:val="22"/>
        </w:rPr>
      </w:pPr>
    </w:p>
    <w:p w14:paraId="62578C02" w14:textId="77777777" w:rsidR="00893D5B" w:rsidRPr="000250FA" w:rsidRDefault="00893D5B" w:rsidP="00893D5B">
      <w:pPr>
        <w:tabs>
          <w:tab w:val="left" w:pos="9781"/>
        </w:tabs>
        <w:ind w:right="-144"/>
        <w:jc w:val="both"/>
        <w:rPr>
          <w:sz w:val="22"/>
          <w:szCs w:val="22"/>
        </w:rPr>
      </w:pPr>
      <w:r w:rsidRPr="000250FA">
        <w:rPr>
          <w:sz w:val="22"/>
          <w:szCs w:val="22"/>
        </w:rPr>
        <w:t>(5)</w:t>
      </w:r>
      <w:r w:rsidRPr="000250FA">
        <w:rPr>
          <w:rStyle w:val="Lbjegyzet-hivatkozs"/>
          <w:sz w:val="22"/>
          <w:szCs w:val="22"/>
        </w:rPr>
        <w:footnoteReference w:id="6"/>
      </w:r>
      <w:r w:rsidRPr="000250FA">
        <w:rPr>
          <w:sz w:val="22"/>
          <w:szCs w:val="22"/>
        </w:rPr>
        <w:t xml:space="preserve"> E szabályzatban nem szabályozott közalkalmazotti jogviszonyból származó egyes jogok és kötelezettségek, illetve ezek gyakorlása tekintetében alkalmazandó további rendelkezéseket az Egyetem </w:t>
      </w:r>
      <w:proofErr w:type="gramStart"/>
      <w:r w:rsidRPr="000250FA">
        <w:rPr>
          <w:sz w:val="22"/>
          <w:szCs w:val="22"/>
        </w:rPr>
        <w:t>kollektív</w:t>
      </w:r>
      <w:proofErr w:type="gramEnd"/>
      <w:r w:rsidRPr="000250FA">
        <w:rPr>
          <w:sz w:val="22"/>
          <w:szCs w:val="22"/>
        </w:rPr>
        <w:t xml:space="preserve"> szerződése tartalmazza.</w:t>
      </w:r>
    </w:p>
    <w:p w14:paraId="53A310A7" w14:textId="77777777" w:rsidR="00893D5B" w:rsidRPr="000250FA" w:rsidRDefault="00893D5B" w:rsidP="00893D5B">
      <w:pPr>
        <w:tabs>
          <w:tab w:val="left" w:pos="9781"/>
        </w:tabs>
        <w:ind w:right="-144"/>
        <w:jc w:val="both"/>
        <w:rPr>
          <w:sz w:val="22"/>
          <w:szCs w:val="22"/>
        </w:rPr>
      </w:pPr>
    </w:p>
    <w:p w14:paraId="31C2AE09" w14:textId="50C8C816"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t xml:space="preserve"> </w:t>
      </w:r>
      <w:r w:rsidRPr="000250FA">
        <w:rPr>
          <w:rStyle w:val="Lbjegyzet-hivatkozs"/>
          <w:sz w:val="22"/>
          <w:szCs w:val="22"/>
        </w:rPr>
        <w:footnoteReference w:id="7"/>
      </w:r>
      <w:r w:rsidRPr="000250FA">
        <w:rPr>
          <w:rStyle w:val="Lbjegyzet-hivatkozs"/>
          <w:sz w:val="22"/>
          <w:szCs w:val="22"/>
        </w:rPr>
        <w:footnoteReference w:id="8"/>
      </w:r>
      <w:r w:rsidRPr="000250FA">
        <w:rPr>
          <w:rStyle w:val="Lbjegyzet-hivatkozs"/>
          <w:sz w:val="22"/>
          <w:szCs w:val="22"/>
        </w:rPr>
        <w:footnoteReference w:id="9"/>
      </w:r>
      <w:r w:rsidR="00FB278D">
        <w:rPr>
          <w:rStyle w:val="Lbjegyzet-hivatkozs"/>
          <w:sz w:val="22"/>
          <w:szCs w:val="22"/>
        </w:rPr>
        <w:footnoteReference w:id="10"/>
      </w:r>
      <w:r w:rsidRPr="000250FA">
        <w:rPr>
          <w:sz w:val="22"/>
          <w:szCs w:val="22"/>
        </w:rPr>
        <w:t xml:space="preserve">Jelen szabályzat végrehajtásához kapcsolódó eljárásrendeket az Egyetem HR Kézikönyve (továbbiakban: HR Kézikönyv) tartalmazza. A HR Kézikönyvet </w:t>
      </w:r>
      <w:r w:rsidRPr="00FB278D">
        <w:rPr>
          <w:sz w:val="22"/>
          <w:szCs w:val="22"/>
        </w:rPr>
        <w:t xml:space="preserve">a </w:t>
      </w:r>
      <w:r w:rsidR="008F3214" w:rsidRPr="00FB278D">
        <w:rPr>
          <w:bCs/>
          <w:iCs/>
          <w:sz w:val="22"/>
          <w:szCs w:val="22"/>
        </w:rPr>
        <w:t>Kancellári Hivatal</w:t>
      </w:r>
      <w:r w:rsidR="008F3214" w:rsidRPr="00FB278D">
        <w:rPr>
          <w:sz w:val="22"/>
          <w:szCs w:val="22"/>
        </w:rPr>
        <w:t xml:space="preserve"> </w:t>
      </w:r>
      <w:r w:rsidRPr="00FB278D">
        <w:rPr>
          <w:sz w:val="22"/>
          <w:szCs w:val="22"/>
        </w:rPr>
        <w:t xml:space="preserve">Humánpolitikai </w:t>
      </w:r>
      <w:r w:rsidR="00154DF0" w:rsidRPr="00FB278D">
        <w:rPr>
          <w:bCs/>
          <w:iCs/>
          <w:sz w:val="22"/>
          <w:szCs w:val="22"/>
        </w:rPr>
        <w:t>Főosztály</w:t>
      </w:r>
      <w:r w:rsidR="00154DF0" w:rsidRPr="00FB278D">
        <w:rPr>
          <w:sz w:val="22"/>
          <w:szCs w:val="22"/>
        </w:rPr>
        <w:t xml:space="preserve"> </w:t>
      </w:r>
      <w:r w:rsidRPr="00FB278D">
        <w:rPr>
          <w:sz w:val="22"/>
          <w:szCs w:val="22"/>
        </w:rPr>
        <w:t xml:space="preserve">(továbbiakban: </w:t>
      </w:r>
      <w:r w:rsidR="00154DF0" w:rsidRPr="00FB278D">
        <w:rPr>
          <w:bCs/>
          <w:iCs/>
          <w:sz w:val="22"/>
          <w:szCs w:val="22"/>
        </w:rPr>
        <w:t>HFO</w:t>
      </w:r>
      <w:r w:rsidRPr="00FB278D">
        <w:rPr>
          <w:sz w:val="22"/>
          <w:szCs w:val="22"/>
        </w:rPr>
        <w:t xml:space="preserve">) szakmai javaslata alapján a kancellár adja ki. A HR Kézikönyvben foglalt eljárási szabályoktól és az egyes jognyilatkozatokra megállapított formai követelményektől eltérni nem lehet. A használható iratmintákat a HR Kézikönyv tartalmazza, illetve hozzáférhető a Humánpolitikai </w:t>
      </w:r>
      <w:r w:rsidR="00154DF0" w:rsidRPr="00FB278D">
        <w:rPr>
          <w:bCs/>
          <w:iCs/>
          <w:sz w:val="22"/>
          <w:szCs w:val="22"/>
        </w:rPr>
        <w:t>Főosztály</w:t>
      </w:r>
      <w:r w:rsidR="00154DF0">
        <w:rPr>
          <w:sz w:val="22"/>
          <w:szCs w:val="22"/>
        </w:rPr>
        <w:t xml:space="preserve"> </w:t>
      </w:r>
      <w:r w:rsidRPr="000250FA">
        <w:rPr>
          <w:sz w:val="22"/>
          <w:szCs w:val="22"/>
        </w:rPr>
        <w:t>honlapján (HR Portál: hr.pte.hu.)</w:t>
      </w:r>
    </w:p>
    <w:p w14:paraId="149B612B" w14:textId="77777777" w:rsidR="00893D5B" w:rsidRPr="000250FA" w:rsidRDefault="00893D5B" w:rsidP="00893D5B">
      <w:pPr>
        <w:tabs>
          <w:tab w:val="left" w:pos="9781"/>
        </w:tabs>
        <w:ind w:right="-144"/>
        <w:jc w:val="both"/>
        <w:rPr>
          <w:b/>
          <w:i/>
          <w:sz w:val="22"/>
          <w:szCs w:val="22"/>
        </w:rPr>
      </w:pPr>
    </w:p>
    <w:p w14:paraId="27EB768E" w14:textId="77777777" w:rsidR="00893D5B" w:rsidRPr="000250FA" w:rsidRDefault="00893D5B" w:rsidP="00893D5B">
      <w:pPr>
        <w:tabs>
          <w:tab w:val="left" w:pos="9781"/>
        </w:tabs>
        <w:ind w:right="-144"/>
        <w:jc w:val="center"/>
        <w:rPr>
          <w:b/>
          <w:sz w:val="22"/>
          <w:szCs w:val="22"/>
        </w:rPr>
      </w:pPr>
    </w:p>
    <w:p w14:paraId="0F2FE774" w14:textId="77777777" w:rsidR="00893D5B" w:rsidRPr="000250FA" w:rsidRDefault="00893D5B" w:rsidP="00893D5B">
      <w:pPr>
        <w:pStyle w:val="Cmsor2"/>
        <w:rPr>
          <w:lang w:val="hu-HU"/>
        </w:rPr>
      </w:pPr>
      <w:bookmarkStart w:id="16" w:name="_Toc432753515"/>
      <w:bookmarkStart w:id="17" w:name="_Toc444603544"/>
      <w:bookmarkStart w:id="18" w:name="_Toc445200804"/>
      <w:bookmarkStart w:id="19" w:name="_Toc58569528"/>
      <w:r w:rsidRPr="000250FA">
        <w:t>A munkáltatói jogok gyakorlásának rendje</w:t>
      </w:r>
      <w:bookmarkEnd w:id="16"/>
      <w:bookmarkEnd w:id="17"/>
      <w:bookmarkEnd w:id="18"/>
      <w:bookmarkEnd w:id="19"/>
    </w:p>
    <w:p w14:paraId="3BCEF3A8" w14:textId="77777777" w:rsidR="00893D5B" w:rsidRPr="000250FA" w:rsidRDefault="00893D5B" w:rsidP="00893D5B">
      <w:pPr>
        <w:tabs>
          <w:tab w:val="left" w:pos="9781"/>
        </w:tabs>
        <w:ind w:right="-144"/>
        <w:jc w:val="both"/>
        <w:rPr>
          <w:b/>
          <w:sz w:val="22"/>
          <w:szCs w:val="22"/>
        </w:rPr>
      </w:pPr>
    </w:p>
    <w:p w14:paraId="0D663572" w14:textId="77777777" w:rsidR="00893D5B" w:rsidRPr="000250FA" w:rsidRDefault="00893D5B" w:rsidP="00893D5B">
      <w:pPr>
        <w:tabs>
          <w:tab w:val="left" w:pos="9781"/>
        </w:tabs>
        <w:ind w:right="-144"/>
        <w:jc w:val="both"/>
        <w:rPr>
          <w:sz w:val="22"/>
          <w:szCs w:val="22"/>
        </w:rPr>
      </w:pPr>
      <w:r w:rsidRPr="000250FA">
        <w:rPr>
          <w:b/>
          <w:sz w:val="22"/>
          <w:szCs w:val="22"/>
        </w:rPr>
        <w:t>2. §</w:t>
      </w:r>
      <w:r w:rsidRPr="000250FA">
        <w:rPr>
          <w:rStyle w:val="Lbjegyzet-hivatkozs"/>
          <w:b/>
          <w:sz w:val="22"/>
          <w:szCs w:val="22"/>
        </w:rPr>
        <w:footnoteReference w:id="11"/>
      </w:r>
      <w:r w:rsidRPr="000250FA">
        <w:rPr>
          <w:b/>
          <w:sz w:val="22"/>
          <w:szCs w:val="22"/>
        </w:rPr>
        <w:t xml:space="preserve"> </w:t>
      </w:r>
      <w:r w:rsidRPr="000250FA">
        <w:rPr>
          <w:rStyle w:val="Lbjegyzet-hivatkozs"/>
          <w:b/>
          <w:sz w:val="22"/>
          <w:szCs w:val="22"/>
        </w:rPr>
        <w:footnoteReference w:id="12"/>
      </w:r>
      <w:r w:rsidRPr="000250FA">
        <w:rPr>
          <w:b/>
          <w:sz w:val="22"/>
          <w:szCs w:val="22"/>
        </w:rPr>
        <w:t xml:space="preserve"> </w:t>
      </w:r>
      <w:r w:rsidRPr="000250FA">
        <w:rPr>
          <w:rStyle w:val="Lbjegyzet-hivatkozs"/>
          <w:b/>
          <w:sz w:val="22"/>
          <w:szCs w:val="22"/>
        </w:rPr>
        <w:footnoteReference w:id="13"/>
      </w:r>
      <w:r w:rsidRPr="000250FA">
        <w:rPr>
          <w:b/>
          <w:sz w:val="22"/>
          <w:szCs w:val="22"/>
        </w:rPr>
        <w:t xml:space="preserve"> </w:t>
      </w:r>
      <w:r w:rsidRPr="000250FA">
        <w:rPr>
          <w:rStyle w:val="Lbjegyzet-hivatkozs"/>
          <w:b/>
          <w:sz w:val="22"/>
          <w:szCs w:val="22"/>
        </w:rPr>
        <w:footnoteReference w:id="14"/>
      </w:r>
      <w:r w:rsidRPr="000250FA">
        <w:rPr>
          <w:sz w:val="22"/>
          <w:szCs w:val="22"/>
        </w:rPr>
        <w:t xml:space="preserve">(1) Az Egyetem első számú felelős vezetője és képviselője a rektor, aki eljár és dönt </w:t>
      </w:r>
      <w:proofErr w:type="spellStart"/>
      <w:r w:rsidRPr="000250FA">
        <w:rPr>
          <w:sz w:val="22"/>
          <w:szCs w:val="22"/>
        </w:rPr>
        <w:t>mindazokban</w:t>
      </w:r>
      <w:proofErr w:type="spellEnd"/>
      <w:r w:rsidRPr="000250FA">
        <w:rPr>
          <w:sz w:val="22"/>
          <w:szCs w:val="22"/>
        </w:rPr>
        <w:t xml:space="preserve"> az ügyekben, amelyeket jogszabály, a szervezeti és működési szabályzat, a </w:t>
      </w:r>
      <w:proofErr w:type="gramStart"/>
      <w:r w:rsidRPr="000250FA">
        <w:rPr>
          <w:sz w:val="22"/>
          <w:szCs w:val="22"/>
        </w:rPr>
        <w:t>kollektív</w:t>
      </w:r>
      <w:proofErr w:type="gramEnd"/>
      <w:r w:rsidRPr="000250FA">
        <w:rPr>
          <w:sz w:val="22"/>
          <w:szCs w:val="22"/>
        </w:rPr>
        <w:t xml:space="preserve"> szerződés nem utal más személy vagy testület hatáskörébe. A kancellár a felsőoktatási intézmény vezetőjeként és képviselőjeként jár el az Nftv.13/</w:t>
      </w:r>
      <w:proofErr w:type="gramStart"/>
      <w:r w:rsidRPr="000250FA">
        <w:rPr>
          <w:sz w:val="22"/>
          <w:szCs w:val="22"/>
        </w:rPr>
        <w:t>A</w:t>
      </w:r>
      <w:proofErr w:type="gramEnd"/>
      <w:r w:rsidRPr="000250FA">
        <w:rPr>
          <w:sz w:val="22"/>
          <w:szCs w:val="22"/>
        </w:rPr>
        <w:t>. § (2) bekezdés a)-f) pontjában meghatározott feladatok tekintetében.</w:t>
      </w:r>
    </w:p>
    <w:p w14:paraId="251D1FD9" w14:textId="77777777" w:rsidR="00893D5B" w:rsidRPr="000250FA" w:rsidRDefault="00893D5B" w:rsidP="00893D5B">
      <w:pPr>
        <w:tabs>
          <w:tab w:val="left" w:pos="9781"/>
        </w:tabs>
        <w:ind w:right="-144"/>
        <w:jc w:val="both"/>
        <w:rPr>
          <w:sz w:val="22"/>
          <w:szCs w:val="22"/>
        </w:rPr>
      </w:pPr>
    </w:p>
    <w:p w14:paraId="695B7B9B" w14:textId="77777777" w:rsidR="00893D5B" w:rsidRPr="000250FA" w:rsidRDefault="00893D5B" w:rsidP="00893D5B">
      <w:pPr>
        <w:tabs>
          <w:tab w:val="left" w:pos="9781"/>
        </w:tabs>
        <w:ind w:right="-144"/>
        <w:jc w:val="both"/>
        <w:rPr>
          <w:sz w:val="22"/>
          <w:szCs w:val="22"/>
        </w:rPr>
      </w:pPr>
      <w:r w:rsidRPr="000250FA">
        <w:rPr>
          <w:sz w:val="22"/>
          <w:szCs w:val="22"/>
        </w:rPr>
        <w:t xml:space="preserve">(2) A kancellár az </w:t>
      </w:r>
      <w:proofErr w:type="spellStart"/>
      <w:r w:rsidRPr="000250FA">
        <w:rPr>
          <w:sz w:val="22"/>
          <w:szCs w:val="22"/>
        </w:rPr>
        <w:t>Nftv</w:t>
      </w:r>
      <w:proofErr w:type="spellEnd"/>
      <w:r w:rsidRPr="000250FA">
        <w:rPr>
          <w:sz w:val="22"/>
          <w:szCs w:val="22"/>
        </w:rPr>
        <w:t xml:space="preserve">. 13. § (2) bekezdésében meghatározott kivétellel munkáltatói jogot gyakorol a felsőoktatási intézményben foglalkoztatott alkalmazottak felett a vonatkozó utasításban meghatározott módon.  </w:t>
      </w:r>
    </w:p>
    <w:p w14:paraId="75A1D6DA" w14:textId="77777777" w:rsidR="00893D5B" w:rsidRPr="000250FA" w:rsidRDefault="00893D5B" w:rsidP="00893D5B">
      <w:pPr>
        <w:tabs>
          <w:tab w:val="left" w:pos="9781"/>
        </w:tabs>
        <w:ind w:right="-144"/>
        <w:jc w:val="both"/>
        <w:rPr>
          <w:sz w:val="22"/>
          <w:szCs w:val="22"/>
        </w:rPr>
      </w:pPr>
    </w:p>
    <w:p w14:paraId="5CBC5876" w14:textId="77777777" w:rsidR="00893D5B" w:rsidRPr="000250FA" w:rsidRDefault="00893D5B" w:rsidP="00893D5B">
      <w:pPr>
        <w:tabs>
          <w:tab w:val="left" w:pos="9781"/>
        </w:tabs>
        <w:ind w:right="-144"/>
        <w:jc w:val="both"/>
        <w:rPr>
          <w:sz w:val="22"/>
          <w:szCs w:val="22"/>
        </w:rPr>
      </w:pPr>
      <w:r w:rsidRPr="000250FA">
        <w:rPr>
          <w:sz w:val="22"/>
          <w:szCs w:val="22"/>
        </w:rPr>
        <w:t xml:space="preserve">(3) Az Egyetemen a rektor az intézmény alaptevékenységnek megfelelő működéséért felelős, ennek keretében gyakorolja az oktatói, kutatói, illetve tanári munkakörben foglalkoztatottak felett a munkáltatói jogokat, valamint az </w:t>
      </w:r>
      <w:proofErr w:type="spellStart"/>
      <w:r w:rsidRPr="000250FA">
        <w:rPr>
          <w:sz w:val="22"/>
          <w:szCs w:val="22"/>
        </w:rPr>
        <w:t>Nftv</w:t>
      </w:r>
      <w:proofErr w:type="spellEnd"/>
      <w:r w:rsidRPr="000250FA">
        <w:rPr>
          <w:sz w:val="22"/>
          <w:szCs w:val="22"/>
        </w:rPr>
        <w:t>. 25. § (3) bekezdése szerinti megbízási jogviszonnyal kapcsolatos, a megbízót megillető jogosultságokat. Az oktatói, kutatói, illetve tanári munkakörben foglalkoztatottak, a megbízási jogviszonyban állók tekintetében illetmény, illetve egyéb jogviszonyra tekintettel történő juttatás megállapítására a rektor a kancellár egyetértésével jogosult.</w:t>
      </w:r>
    </w:p>
    <w:p w14:paraId="409A9D08" w14:textId="77777777" w:rsidR="00893D5B" w:rsidRPr="000250FA" w:rsidRDefault="00893D5B" w:rsidP="00893D5B">
      <w:pPr>
        <w:tabs>
          <w:tab w:val="left" w:pos="9781"/>
        </w:tabs>
        <w:ind w:right="-144"/>
        <w:jc w:val="both"/>
        <w:rPr>
          <w:b/>
          <w:i/>
          <w:sz w:val="22"/>
          <w:szCs w:val="22"/>
        </w:rPr>
      </w:pPr>
    </w:p>
    <w:p w14:paraId="0687008B" w14:textId="77777777" w:rsidR="00893D5B" w:rsidRPr="000250FA" w:rsidRDefault="00893D5B" w:rsidP="00893D5B">
      <w:pPr>
        <w:tabs>
          <w:tab w:val="left" w:pos="9781"/>
        </w:tabs>
        <w:ind w:right="-144"/>
        <w:jc w:val="both"/>
        <w:rPr>
          <w:sz w:val="22"/>
          <w:szCs w:val="22"/>
        </w:rPr>
      </w:pPr>
      <w:r w:rsidRPr="00827537">
        <w:rPr>
          <w:b/>
          <w:sz w:val="22"/>
          <w:szCs w:val="22"/>
        </w:rPr>
        <w:t>(</w:t>
      </w:r>
      <w:r w:rsidRPr="000250FA">
        <w:rPr>
          <w:sz w:val="22"/>
          <w:szCs w:val="22"/>
        </w:rPr>
        <w:t>3a)</w:t>
      </w:r>
      <w:r w:rsidRPr="000250FA">
        <w:rPr>
          <w:rStyle w:val="Lbjegyzet-hivatkozs"/>
          <w:sz w:val="22"/>
          <w:szCs w:val="22"/>
        </w:rPr>
        <w:footnoteReference w:id="15"/>
      </w:r>
      <w:r w:rsidRPr="000250FA">
        <w:rPr>
          <w:sz w:val="22"/>
          <w:szCs w:val="22"/>
        </w:rPr>
        <w:t xml:space="preserve"> Az </w:t>
      </w:r>
      <w:proofErr w:type="spellStart"/>
      <w:r w:rsidRPr="000250FA">
        <w:rPr>
          <w:sz w:val="22"/>
          <w:szCs w:val="22"/>
        </w:rPr>
        <w:t>Nftv</w:t>
      </w:r>
      <w:proofErr w:type="spellEnd"/>
      <w:r w:rsidRPr="000250FA">
        <w:rPr>
          <w:sz w:val="22"/>
          <w:szCs w:val="22"/>
        </w:rPr>
        <w:t>. 99. § (2) bekezdése alapján a Klinikai Központ elnöke önállóan irányítja az egészségügyi szolgáltatás megszervezését, e feladatok tekintetében a klinikai központ dolgozói felett - a kancellár hatáskörébe tartozó feladatokat ellátó alkalmazottak kivételével - gyakorolja a munkáltatói jogokat a bérgazdálkodást érintő, a kancellár egyetértésével hozott döntések kivételével.</w:t>
      </w:r>
    </w:p>
    <w:p w14:paraId="042C96A9" w14:textId="77777777" w:rsidR="00893D5B" w:rsidRPr="000250FA" w:rsidRDefault="00893D5B" w:rsidP="00893D5B">
      <w:pPr>
        <w:tabs>
          <w:tab w:val="left" w:pos="9781"/>
        </w:tabs>
        <w:ind w:right="-144"/>
        <w:jc w:val="both"/>
        <w:rPr>
          <w:sz w:val="22"/>
          <w:szCs w:val="22"/>
        </w:rPr>
      </w:pPr>
    </w:p>
    <w:p w14:paraId="3D9C93C8" w14:textId="77777777" w:rsidR="00893D5B" w:rsidRPr="000250FA" w:rsidRDefault="00893D5B" w:rsidP="00893D5B">
      <w:pPr>
        <w:tabs>
          <w:tab w:val="left" w:pos="9781"/>
        </w:tabs>
        <w:ind w:right="-144"/>
        <w:jc w:val="both"/>
        <w:rPr>
          <w:sz w:val="22"/>
          <w:szCs w:val="22"/>
        </w:rPr>
      </w:pPr>
      <w:r w:rsidRPr="000250FA">
        <w:rPr>
          <w:sz w:val="22"/>
          <w:szCs w:val="22"/>
        </w:rPr>
        <w:lastRenderedPageBreak/>
        <w:t>(4)</w:t>
      </w:r>
      <w:r w:rsidRPr="000250FA">
        <w:rPr>
          <w:rStyle w:val="Lbjegyzet-hivatkozs"/>
          <w:sz w:val="22"/>
          <w:szCs w:val="22"/>
        </w:rPr>
        <w:footnoteReference w:id="16"/>
      </w:r>
      <w:r w:rsidRPr="000250FA">
        <w:rPr>
          <w:sz w:val="22"/>
          <w:szCs w:val="22"/>
        </w:rPr>
        <w:t xml:space="preserve"> A rektor, a kancellár és a Klinikai Központ elnöke munkáltatói jogkörét esetenként vagy az ügyek meghatározott körében helyettesére vagy az intézmény más, magasabb vezető vagy vezető beosztású alkalmazottjára – a vonatkozó utasításban meghatározottak szerint – átruházhatja. Az átruházott hatáskör gyakorlója a hatáskört nem adhatja tovább. Az Egyetemen az </w:t>
      </w:r>
      <w:proofErr w:type="spellStart"/>
      <w:r w:rsidRPr="000250FA">
        <w:rPr>
          <w:sz w:val="22"/>
          <w:szCs w:val="22"/>
        </w:rPr>
        <w:t>Nftv</w:t>
      </w:r>
      <w:proofErr w:type="spellEnd"/>
      <w:r w:rsidRPr="000250FA">
        <w:rPr>
          <w:sz w:val="22"/>
          <w:szCs w:val="22"/>
        </w:rPr>
        <w:t>. 13. § (2) bekezdése és a 13/</w:t>
      </w:r>
      <w:proofErr w:type="gramStart"/>
      <w:r w:rsidRPr="000250FA">
        <w:rPr>
          <w:sz w:val="22"/>
          <w:szCs w:val="22"/>
        </w:rPr>
        <w:t>A</w:t>
      </w:r>
      <w:proofErr w:type="gramEnd"/>
      <w:r w:rsidRPr="000250FA">
        <w:rPr>
          <w:sz w:val="22"/>
          <w:szCs w:val="22"/>
        </w:rPr>
        <w:t xml:space="preserve">. § (2) bekezdés e) pontja szerinti munkáltatói jogok gyakorlásának és átruházásának rendjét a rektor és a </w:t>
      </w:r>
      <w:proofErr w:type="gramStart"/>
      <w:r w:rsidRPr="000250FA">
        <w:rPr>
          <w:sz w:val="22"/>
          <w:szCs w:val="22"/>
        </w:rPr>
        <w:t>kancellár utasításban</w:t>
      </w:r>
      <w:proofErr w:type="gramEnd"/>
      <w:r w:rsidRPr="000250FA">
        <w:rPr>
          <w:sz w:val="22"/>
          <w:szCs w:val="22"/>
        </w:rPr>
        <w:t xml:space="preserve"> szabályozza. A munkáltatói jogkör gyakorlásának rendjében bekövetkezett változásokról – ideértve a munkáltatói jogok utasításban történő átruházását is – az érintettet közvetlenül írásban is értesíteni kell és az utasítást szervezeti és működési szabályzattal azonos módon közzé kell tenni.</w:t>
      </w:r>
    </w:p>
    <w:p w14:paraId="3ADE36F3" w14:textId="77777777" w:rsidR="00893D5B" w:rsidRPr="000250FA" w:rsidRDefault="00893D5B" w:rsidP="00893D5B">
      <w:pPr>
        <w:tabs>
          <w:tab w:val="left" w:pos="9781"/>
        </w:tabs>
        <w:ind w:right="-144"/>
        <w:jc w:val="both"/>
        <w:rPr>
          <w:sz w:val="22"/>
          <w:szCs w:val="22"/>
        </w:rPr>
      </w:pPr>
    </w:p>
    <w:p w14:paraId="79EED334" w14:textId="77777777" w:rsidR="00893D5B" w:rsidRPr="000250FA" w:rsidRDefault="00893D5B" w:rsidP="00893D5B">
      <w:pPr>
        <w:tabs>
          <w:tab w:val="left" w:pos="9781"/>
        </w:tabs>
        <w:ind w:right="-144"/>
        <w:jc w:val="both"/>
      </w:pPr>
      <w:r w:rsidRPr="000250FA">
        <w:rPr>
          <w:sz w:val="22"/>
          <w:szCs w:val="22"/>
        </w:rPr>
        <w:t>(5)</w:t>
      </w:r>
      <w:r w:rsidRPr="000250FA">
        <w:rPr>
          <w:rStyle w:val="Lbjegyzet-hivatkozs"/>
          <w:sz w:val="22"/>
          <w:szCs w:val="22"/>
        </w:rPr>
        <w:footnoteReference w:id="17"/>
      </w:r>
      <w:r w:rsidRPr="000250FA">
        <w:rPr>
          <w:sz w:val="22"/>
          <w:szCs w:val="22"/>
        </w:rPr>
        <w:t xml:space="preserve"> </w:t>
      </w:r>
      <w:r w:rsidRPr="000250FA">
        <w:t xml:space="preserve">A rektorhelyettesek, a kancellár helyettesítésével megbízott vezető, </w:t>
      </w:r>
      <w:r w:rsidRPr="000250FA">
        <w:rPr>
          <w:sz w:val="22"/>
          <w:szCs w:val="22"/>
        </w:rPr>
        <w:t>a dékánhelyettesek, a Klinikai Központ elnökének általános helyettese, illetve a munkáltatói</w:t>
      </w:r>
      <w:r w:rsidRPr="000250FA">
        <w:t xml:space="preserve"> joggal rendelkező szervezeti egységvezetők helyettesei a vezetőt megillető munkáltatói jogok gyakorlásában a helyettesítés általános szabályai szerint járnak el a vonatkozó utasítások alapján, azzal, hogy a kinevezés és felmentés jogával nem élhetnek.</w:t>
      </w:r>
    </w:p>
    <w:p w14:paraId="5A29644E" w14:textId="77777777" w:rsidR="00893D5B" w:rsidRPr="000250FA" w:rsidRDefault="00893D5B" w:rsidP="00893D5B">
      <w:pPr>
        <w:tabs>
          <w:tab w:val="left" w:pos="9781"/>
        </w:tabs>
        <w:ind w:right="-144"/>
        <w:jc w:val="both"/>
        <w:rPr>
          <w:sz w:val="22"/>
          <w:szCs w:val="22"/>
        </w:rPr>
      </w:pPr>
    </w:p>
    <w:p w14:paraId="00F9EC44" w14:textId="77777777" w:rsidR="00893D5B" w:rsidRPr="000250FA" w:rsidRDefault="00893D5B" w:rsidP="00893D5B">
      <w:pPr>
        <w:tabs>
          <w:tab w:val="left" w:pos="9781"/>
        </w:tabs>
        <w:ind w:right="-144"/>
        <w:jc w:val="both"/>
        <w:rPr>
          <w:sz w:val="22"/>
          <w:szCs w:val="22"/>
        </w:rPr>
      </w:pPr>
      <w:r w:rsidRPr="000250FA">
        <w:rPr>
          <w:sz w:val="22"/>
          <w:szCs w:val="22"/>
        </w:rPr>
        <w:t>(6) Az átruházott munkáltatói jogkör gyakorlók kötelesek megfelelően teljesíteni a közalkalmazotti érdekképviseletekkel szemben fennálló, jogszabályban meghatározott kötelezettségeket.</w:t>
      </w:r>
    </w:p>
    <w:p w14:paraId="45E60D7F" w14:textId="77777777" w:rsidR="00081692" w:rsidRPr="00081692" w:rsidRDefault="00081692" w:rsidP="00081692">
      <w:pPr>
        <w:tabs>
          <w:tab w:val="left" w:pos="9781"/>
        </w:tabs>
        <w:ind w:right="-144"/>
        <w:jc w:val="both"/>
        <w:rPr>
          <w:b/>
          <w:i/>
          <w:sz w:val="22"/>
          <w:szCs w:val="22"/>
        </w:rPr>
      </w:pPr>
    </w:p>
    <w:p w14:paraId="7365D05F" w14:textId="381E8D0D" w:rsidR="00081692" w:rsidRPr="00174FAC" w:rsidRDefault="00081692" w:rsidP="00081692">
      <w:pPr>
        <w:tabs>
          <w:tab w:val="left" w:pos="9781"/>
        </w:tabs>
        <w:ind w:right="-144"/>
        <w:jc w:val="both"/>
        <w:rPr>
          <w:sz w:val="22"/>
          <w:szCs w:val="22"/>
        </w:rPr>
      </w:pPr>
      <w:r w:rsidRPr="00174FAC">
        <w:rPr>
          <w:sz w:val="22"/>
          <w:szCs w:val="22"/>
        </w:rPr>
        <w:t>(7)</w:t>
      </w:r>
      <w:r w:rsidRPr="00174FAC">
        <w:rPr>
          <w:rStyle w:val="Lbjegyzet-hivatkozs"/>
          <w:sz w:val="22"/>
          <w:szCs w:val="22"/>
        </w:rPr>
        <w:footnoteReference w:id="18"/>
      </w:r>
      <w:r w:rsidRPr="00174FAC">
        <w:rPr>
          <w:sz w:val="22"/>
          <w:szCs w:val="22"/>
        </w:rPr>
        <w:t xml:space="preserve"> A 478/2020. (XI.3.) Kormányrendelet szerinti veszélyhelyzet (a továbbiakban: veszélyhelyzet) idején a munkáltatói </w:t>
      </w:r>
      <w:proofErr w:type="gramStart"/>
      <w:r w:rsidRPr="00174FAC">
        <w:rPr>
          <w:sz w:val="22"/>
          <w:szCs w:val="22"/>
        </w:rPr>
        <w:t>jogkör gyakorlásra</w:t>
      </w:r>
      <w:proofErr w:type="gramEnd"/>
      <w:r w:rsidRPr="00174FAC">
        <w:rPr>
          <w:sz w:val="22"/>
          <w:szCs w:val="22"/>
        </w:rPr>
        <w:t xml:space="preserve"> vonatkozó szabályokat az 524/2020. (XI.25.) Kormányrendeletben foglalt eltérésekkel kell alkalmazni. Jelen § (3a) bekezdése a veszélyhelyzet idején nem alkalmazható. Veszélyhelyzet idején a Klinikai Központnál betegellátásra irányuló jogviszonyban foglalkoztatott dolgozók felett a kinevezési és felmentési jogkört az országos kórház-főigazgató, minden további munkáltatói jogkört a klinikai központ elnöke gyakorol.</w:t>
      </w:r>
    </w:p>
    <w:p w14:paraId="0EE99DB6" w14:textId="77777777" w:rsidR="00893D5B" w:rsidRPr="000250FA" w:rsidRDefault="00893D5B" w:rsidP="00893D5B">
      <w:pPr>
        <w:tabs>
          <w:tab w:val="left" w:pos="9781"/>
        </w:tabs>
        <w:ind w:right="-144"/>
        <w:jc w:val="both"/>
        <w:rPr>
          <w:sz w:val="22"/>
          <w:szCs w:val="22"/>
        </w:rPr>
      </w:pPr>
    </w:p>
    <w:p w14:paraId="3353FAA7" w14:textId="275322D0" w:rsidR="00893D5B" w:rsidRPr="000250FA" w:rsidRDefault="00893D5B" w:rsidP="00893D5B">
      <w:pPr>
        <w:tabs>
          <w:tab w:val="left" w:pos="9781"/>
        </w:tabs>
        <w:ind w:right="-144"/>
        <w:jc w:val="both"/>
        <w:rPr>
          <w:bCs/>
          <w:iCs/>
          <w:sz w:val="22"/>
          <w:szCs w:val="22"/>
        </w:rPr>
      </w:pPr>
      <w:r w:rsidRPr="000250FA">
        <w:rPr>
          <w:b/>
          <w:bCs/>
          <w:iCs/>
          <w:sz w:val="22"/>
          <w:szCs w:val="22"/>
        </w:rPr>
        <w:t>2/A. §</w:t>
      </w:r>
      <w:r w:rsidRPr="000250FA">
        <w:rPr>
          <w:b/>
          <w:bCs/>
          <w:i/>
          <w:iCs/>
          <w:sz w:val="22"/>
          <w:szCs w:val="22"/>
        </w:rPr>
        <w:t xml:space="preserve"> </w:t>
      </w:r>
      <w:r w:rsidRPr="000250FA">
        <w:rPr>
          <w:bCs/>
          <w:iCs/>
          <w:sz w:val="22"/>
          <w:szCs w:val="22"/>
          <w:vertAlign w:val="superscript"/>
        </w:rPr>
        <w:footnoteReference w:id="19"/>
      </w:r>
      <w:r w:rsidRPr="000250FA">
        <w:rPr>
          <w:bCs/>
          <w:iCs/>
          <w:sz w:val="22"/>
          <w:szCs w:val="22"/>
        </w:rPr>
        <w:t xml:space="preserve"> </w:t>
      </w:r>
      <w:r w:rsidRPr="000250FA">
        <w:rPr>
          <w:rStyle w:val="Lbjegyzet-hivatkozs"/>
          <w:bCs/>
          <w:iCs/>
          <w:sz w:val="22"/>
          <w:szCs w:val="22"/>
        </w:rPr>
        <w:footnoteReference w:id="20"/>
      </w:r>
      <w:r w:rsidRPr="000250FA">
        <w:rPr>
          <w:bCs/>
          <w:iCs/>
          <w:sz w:val="22"/>
          <w:szCs w:val="22"/>
        </w:rPr>
        <w:t xml:space="preserve">Bármely munkáltatói jogkör gyakorlásával kapcsolatosan keletkezett irat közlése a közalkalmazottal kizárólag a Humánpolitikai </w:t>
      </w:r>
      <w:r w:rsidR="00154DF0" w:rsidRPr="00BD6AF1">
        <w:rPr>
          <w:sz w:val="22"/>
          <w:szCs w:val="22"/>
        </w:rPr>
        <w:t>Főosztály</w:t>
      </w:r>
      <w:r w:rsidRPr="00BD6AF1">
        <w:rPr>
          <w:bCs/>
          <w:iCs/>
          <w:sz w:val="22"/>
          <w:szCs w:val="22"/>
        </w:rPr>
        <w:t xml:space="preserve"> előzetes ellenőrzése után történhet. Az irat eljuttatása a </w:t>
      </w:r>
      <w:r w:rsidR="008F3214" w:rsidRPr="00BD6AF1">
        <w:rPr>
          <w:sz w:val="22"/>
          <w:szCs w:val="22"/>
        </w:rPr>
        <w:t>HFO-hoz</w:t>
      </w:r>
      <w:r w:rsidR="008F3214" w:rsidRPr="00BD6AF1">
        <w:rPr>
          <w:bCs/>
          <w:iCs/>
          <w:sz w:val="22"/>
          <w:szCs w:val="22"/>
        </w:rPr>
        <w:t xml:space="preserve"> </w:t>
      </w:r>
      <w:r w:rsidRPr="00BD6AF1">
        <w:rPr>
          <w:bCs/>
          <w:iCs/>
          <w:sz w:val="22"/>
          <w:szCs w:val="22"/>
        </w:rPr>
        <w:t>előzetes ellenőrzés gy</w:t>
      </w:r>
      <w:r w:rsidRPr="000250FA">
        <w:rPr>
          <w:bCs/>
          <w:iCs/>
          <w:sz w:val="22"/>
          <w:szCs w:val="22"/>
        </w:rPr>
        <w:t>akorlása céljából a munkáltatói jogkör gyakorlójának kötelezettsége. Az előzetes ellenőrzés gyakorlása rendjét, az előzetes ellenőrzés gyakorlására jogosultak körét a HR Kézikönyv tartalmazza.</w:t>
      </w:r>
    </w:p>
    <w:p w14:paraId="37C3AC1A" w14:textId="77777777" w:rsidR="00893D5B" w:rsidRPr="000250FA" w:rsidRDefault="00893D5B" w:rsidP="00893D5B">
      <w:pPr>
        <w:tabs>
          <w:tab w:val="left" w:pos="3135"/>
        </w:tabs>
        <w:ind w:right="-144"/>
        <w:jc w:val="both"/>
        <w:rPr>
          <w:strike/>
          <w:sz w:val="22"/>
          <w:szCs w:val="22"/>
        </w:rPr>
      </w:pPr>
    </w:p>
    <w:p w14:paraId="68AE31F4" w14:textId="72BA7149" w:rsidR="00893D5B" w:rsidRDefault="00893D5B" w:rsidP="00893D5B">
      <w:pPr>
        <w:spacing w:line="259" w:lineRule="auto"/>
        <w:jc w:val="both"/>
        <w:rPr>
          <w:rFonts w:eastAsia="Calibri"/>
          <w:sz w:val="22"/>
          <w:szCs w:val="22"/>
          <w:lang w:eastAsia="en-US"/>
        </w:rPr>
      </w:pPr>
      <w:r w:rsidRPr="000250FA">
        <w:rPr>
          <w:rFonts w:eastAsia="Calibri"/>
          <w:b/>
          <w:sz w:val="22"/>
          <w:szCs w:val="22"/>
          <w:lang w:eastAsia="en-US"/>
        </w:rPr>
        <w:t>2/B. §</w:t>
      </w:r>
      <w:r w:rsidRPr="000250FA">
        <w:rPr>
          <w:rStyle w:val="Lbjegyzet-hivatkozs"/>
          <w:rFonts w:eastAsia="Calibri"/>
          <w:b/>
          <w:sz w:val="22"/>
          <w:szCs w:val="22"/>
          <w:lang w:eastAsia="en-US"/>
        </w:rPr>
        <w:footnoteReference w:id="21"/>
      </w:r>
      <w:r w:rsidRPr="000250FA">
        <w:rPr>
          <w:rFonts w:eastAsia="Calibri"/>
          <w:b/>
          <w:sz w:val="22"/>
          <w:szCs w:val="22"/>
          <w:lang w:eastAsia="en-US"/>
        </w:rPr>
        <w:t xml:space="preserve"> </w:t>
      </w:r>
      <w:proofErr w:type="gramStart"/>
      <w:r w:rsidRPr="000250FA">
        <w:rPr>
          <w:rFonts w:eastAsia="Calibri"/>
          <w:sz w:val="22"/>
          <w:szCs w:val="22"/>
          <w:lang w:eastAsia="en-US"/>
        </w:rPr>
        <w:t>A</w:t>
      </w:r>
      <w:proofErr w:type="gramEnd"/>
      <w:r w:rsidRPr="000250FA">
        <w:rPr>
          <w:rFonts w:eastAsia="Calibri"/>
          <w:sz w:val="22"/>
          <w:szCs w:val="22"/>
          <w:lang w:eastAsia="en-US"/>
        </w:rPr>
        <w:t xml:space="preserve"> munkáltatói jogkör gyakorlása során tilos hátrányos megkülönböztetést alkalmazni a teljes munkaidőben és részmunkaidőben foglalkoztatott közalkalmazottak között.</w:t>
      </w:r>
    </w:p>
    <w:p w14:paraId="7598F4F4" w14:textId="75478AC1" w:rsidR="00C510A3" w:rsidRDefault="00C510A3" w:rsidP="00893D5B">
      <w:pPr>
        <w:spacing w:line="259" w:lineRule="auto"/>
        <w:jc w:val="both"/>
        <w:rPr>
          <w:rFonts w:eastAsia="Calibri"/>
          <w:sz w:val="22"/>
          <w:szCs w:val="22"/>
          <w:lang w:eastAsia="en-US"/>
        </w:rPr>
      </w:pPr>
    </w:p>
    <w:p w14:paraId="61E5E637" w14:textId="203935BF" w:rsidR="00C510A3" w:rsidRPr="00BD6AF1" w:rsidRDefault="00C510A3" w:rsidP="00C510A3">
      <w:pPr>
        <w:contextualSpacing/>
        <w:jc w:val="both"/>
        <w:rPr>
          <w:sz w:val="22"/>
          <w:szCs w:val="22"/>
        </w:rPr>
      </w:pPr>
      <w:r w:rsidRPr="00BD6AF1">
        <w:rPr>
          <w:b/>
          <w:sz w:val="22"/>
          <w:szCs w:val="22"/>
        </w:rPr>
        <w:t>2/C. §</w:t>
      </w:r>
      <w:r w:rsidR="00BD6AF1">
        <w:rPr>
          <w:rStyle w:val="Lbjegyzet-hivatkozs"/>
          <w:b/>
          <w:sz w:val="22"/>
          <w:szCs w:val="22"/>
        </w:rPr>
        <w:footnoteReference w:id="22"/>
      </w:r>
      <w:r w:rsidRPr="00C510A3">
        <w:rPr>
          <w:b/>
          <w:i/>
          <w:sz w:val="22"/>
          <w:szCs w:val="22"/>
        </w:rPr>
        <w:t xml:space="preserve"> </w:t>
      </w:r>
      <w:r w:rsidRPr="00BD6AF1">
        <w:rPr>
          <w:sz w:val="22"/>
          <w:szCs w:val="22"/>
        </w:rPr>
        <w:t xml:space="preserve">(1) Az Egyetemmel közalkalmazotti jogviszonyban, munkavégzésre irányuló egyéb jogviszonyban álló személy (e § alkalmazásában a továbbiakban munkavállaló) az Egyetem, mint munkáltató által a munkavégzéshez biztosított </w:t>
      </w:r>
      <w:proofErr w:type="gramStart"/>
      <w:r w:rsidRPr="00BD6AF1">
        <w:rPr>
          <w:sz w:val="22"/>
          <w:szCs w:val="22"/>
        </w:rPr>
        <w:t>információ</w:t>
      </w:r>
      <w:proofErr w:type="gramEnd"/>
      <w:r w:rsidRPr="00BD6AF1">
        <w:rPr>
          <w:sz w:val="22"/>
          <w:szCs w:val="22"/>
        </w:rPr>
        <w:t xml:space="preserve">technológiai vagy számítástechnikai eszközt, rendszert (a továbbiakban: számítástechnikai eszköz) – a (2) bekezdésben meghatározott kivétellel – kizárólag a közalkalmazotti vagy munkavégzésre irányuló egyéb jogviszony teljesítése érdekében használhatja. </w:t>
      </w:r>
    </w:p>
    <w:p w14:paraId="164F85F9" w14:textId="77777777" w:rsidR="00C510A3" w:rsidRPr="00BD6AF1" w:rsidRDefault="00C510A3" w:rsidP="00C510A3">
      <w:pPr>
        <w:contextualSpacing/>
        <w:jc w:val="both"/>
        <w:rPr>
          <w:sz w:val="22"/>
          <w:szCs w:val="22"/>
        </w:rPr>
      </w:pPr>
    </w:p>
    <w:p w14:paraId="4BBDA61E" w14:textId="215007FF" w:rsidR="00C510A3" w:rsidRPr="00BD6AF1" w:rsidRDefault="00C510A3" w:rsidP="00C510A3">
      <w:pPr>
        <w:contextualSpacing/>
        <w:jc w:val="both"/>
        <w:rPr>
          <w:sz w:val="22"/>
          <w:szCs w:val="22"/>
        </w:rPr>
      </w:pPr>
      <w:r w:rsidRPr="00BD6AF1">
        <w:rPr>
          <w:sz w:val="22"/>
          <w:szCs w:val="22"/>
        </w:rPr>
        <w:t xml:space="preserve">(2) Az Egyetem által a munkavégzéshez biztosított mobiltelefon készüléket és mobiltelekommunikációs szolgáltatást, valamint – munkaidőn kívül – a hordozható számítástechnikai eszközöket (laptop, </w:t>
      </w:r>
      <w:r w:rsidRPr="00BD6AF1">
        <w:rPr>
          <w:sz w:val="22"/>
          <w:szCs w:val="22"/>
        </w:rPr>
        <w:lastRenderedPageBreak/>
        <w:t>táblagép) a munkavállaló a fennálló jogviszonya teljesítésétől eltérő célra is használhatja, egyéb számítástechnikai eszköz esetében a jogviszony teljesítésétől eltérő célra történő használat a munkáltatói jogkör gyakorlója előzetes írásbeli engedélye alapján történhet. Jelen szabályzat, illetve a munkáltató felhatalmazása visszavonása esetén a munkavállaló köteles a munkáltató által meghatározott határidőig gondoskodni a magáncélú tartalmak eltávolításáról.</w:t>
      </w:r>
    </w:p>
    <w:p w14:paraId="6133FB0A" w14:textId="77777777" w:rsidR="00C510A3" w:rsidRPr="00BD6AF1" w:rsidRDefault="00C510A3" w:rsidP="00C510A3">
      <w:pPr>
        <w:contextualSpacing/>
        <w:jc w:val="both"/>
        <w:rPr>
          <w:sz w:val="22"/>
          <w:szCs w:val="22"/>
        </w:rPr>
      </w:pPr>
    </w:p>
    <w:p w14:paraId="459ABA72" w14:textId="03D36E1D" w:rsidR="00C510A3" w:rsidRPr="00BD6AF1" w:rsidRDefault="00C510A3" w:rsidP="00C510A3">
      <w:pPr>
        <w:contextualSpacing/>
        <w:jc w:val="both"/>
        <w:rPr>
          <w:sz w:val="22"/>
          <w:szCs w:val="22"/>
        </w:rPr>
      </w:pPr>
      <w:r w:rsidRPr="00BD6AF1">
        <w:rPr>
          <w:sz w:val="22"/>
          <w:szCs w:val="22"/>
        </w:rPr>
        <w:t>(3) Számítástechnikai eszköz a közalkalmazotti vagy munkavégzésre irányuló egyéb jogviszony teljesítése érdekében történő használattól eltérő célú használata a munkavégzést nem hátráltathatja.</w:t>
      </w:r>
    </w:p>
    <w:p w14:paraId="0CCEE067" w14:textId="77777777" w:rsidR="00C510A3" w:rsidRPr="00BD6AF1" w:rsidRDefault="00C510A3" w:rsidP="00C510A3">
      <w:pPr>
        <w:contextualSpacing/>
        <w:jc w:val="both"/>
        <w:rPr>
          <w:sz w:val="22"/>
          <w:szCs w:val="22"/>
        </w:rPr>
      </w:pPr>
    </w:p>
    <w:p w14:paraId="5BEF7051" w14:textId="2232AACB" w:rsidR="00C510A3" w:rsidRPr="00BD6AF1" w:rsidRDefault="00C510A3" w:rsidP="00C510A3">
      <w:pPr>
        <w:contextualSpacing/>
        <w:jc w:val="both"/>
        <w:rPr>
          <w:sz w:val="22"/>
          <w:szCs w:val="22"/>
        </w:rPr>
      </w:pPr>
      <w:r w:rsidRPr="00BD6AF1">
        <w:rPr>
          <w:sz w:val="22"/>
          <w:szCs w:val="22"/>
        </w:rPr>
        <w:t>(4) A munkavállaló a fennálló jogviszonya teljesítése érdekében saját számítástechnikai eszközt a munkáltatói jogkör gyakorlója előzetes írásbeli engedélye alapján használhat. Engedély kizárólag olyan számítástechnikai eszköz tekintetében adható, amely megfelel az egyetemi biztonsági előírásoknak és beállításoknak.</w:t>
      </w:r>
    </w:p>
    <w:p w14:paraId="39303086" w14:textId="77777777" w:rsidR="00BD6AF1" w:rsidRPr="00BD6AF1" w:rsidRDefault="00BD6AF1" w:rsidP="00C510A3">
      <w:pPr>
        <w:contextualSpacing/>
        <w:jc w:val="both"/>
        <w:rPr>
          <w:sz w:val="22"/>
          <w:szCs w:val="22"/>
        </w:rPr>
      </w:pPr>
    </w:p>
    <w:p w14:paraId="0BB4C984" w14:textId="43C00943" w:rsidR="00C510A3" w:rsidRPr="00BD6AF1" w:rsidRDefault="00C510A3" w:rsidP="00C510A3">
      <w:pPr>
        <w:contextualSpacing/>
        <w:jc w:val="both"/>
        <w:rPr>
          <w:sz w:val="22"/>
          <w:szCs w:val="22"/>
        </w:rPr>
      </w:pPr>
      <w:r w:rsidRPr="00BD6AF1">
        <w:rPr>
          <w:sz w:val="22"/>
          <w:szCs w:val="22"/>
        </w:rPr>
        <w:t>(5) Számítástechnikai eszköz közalkalmazotti vagy munkavégzésre irányuló egyéb jogviszony teljesítésétől eltérő célra történő használata esetén a munkavállaló köteles az egyéb célú használat során keletkezett adatokat a közalkalmazotti vagy munkavégzésre irányuló egyéb jogviszonnyal összefüggésben keletkezet adatoktól elkülönítve, és egyértelmű jelzéssel ellátva tárolni.</w:t>
      </w:r>
    </w:p>
    <w:p w14:paraId="2F9FEEBD" w14:textId="0A5917DC" w:rsidR="00893D5B" w:rsidRPr="000250FA" w:rsidRDefault="00893D5B" w:rsidP="00893D5B">
      <w:pPr>
        <w:tabs>
          <w:tab w:val="left" w:pos="9781"/>
        </w:tabs>
        <w:ind w:right="-144"/>
        <w:rPr>
          <w:strike/>
          <w:sz w:val="22"/>
          <w:szCs w:val="22"/>
        </w:rPr>
      </w:pPr>
    </w:p>
    <w:p w14:paraId="25969FCE" w14:textId="77777777" w:rsidR="00893D5B" w:rsidRPr="000250FA" w:rsidRDefault="00893D5B" w:rsidP="00893D5B">
      <w:pPr>
        <w:pStyle w:val="Cmsor3"/>
      </w:pPr>
      <w:bookmarkStart w:id="20" w:name="_Toc432753518"/>
      <w:bookmarkStart w:id="21" w:name="_Toc444603547"/>
      <w:bookmarkStart w:id="22" w:name="_Toc445200807"/>
      <w:bookmarkStart w:id="23" w:name="_Toc58569529"/>
      <w:r w:rsidRPr="000250FA">
        <w:t>Az Egyetemen létesíthető munkakörök</w:t>
      </w:r>
      <w:bookmarkEnd w:id="20"/>
      <w:bookmarkEnd w:id="21"/>
      <w:bookmarkEnd w:id="22"/>
      <w:bookmarkEnd w:id="23"/>
    </w:p>
    <w:p w14:paraId="1E7D5ED4" w14:textId="77777777" w:rsidR="00893D5B" w:rsidRPr="000250FA" w:rsidRDefault="00893D5B" w:rsidP="00893D5B">
      <w:pPr>
        <w:tabs>
          <w:tab w:val="left" w:pos="9781"/>
        </w:tabs>
        <w:ind w:right="-144"/>
        <w:jc w:val="center"/>
        <w:rPr>
          <w:b/>
          <w:iCs/>
          <w:sz w:val="22"/>
          <w:szCs w:val="22"/>
        </w:rPr>
      </w:pPr>
    </w:p>
    <w:p w14:paraId="4AABBF4F" w14:textId="77777777" w:rsidR="00893D5B" w:rsidRPr="000250FA" w:rsidRDefault="00893D5B" w:rsidP="00893D5B">
      <w:pPr>
        <w:jc w:val="both"/>
        <w:rPr>
          <w:sz w:val="22"/>
          <w:szCs w:val="22"/>
        </w:rPr>
      </w:pPr>
      <w:r w:rsidRPr="000250FA">
        <w:rPr>
          <w:b/>
          <w:sz w:val="22"/>
          <w:szCs w:val="22"/>
        </w:rPr>
        <w:t>3. §</w:t>
      </w:r>
      <w:r w:rsidRPr="000250FA">
        <w:rPr>
          <w:sz w:val="22"/>
          <w:szCs w:val="22"/>
        </w:rPr>
        <w:t xml:space="preserve"> (1)</w:t>
      </w:r>
      <w:r w:rsidRPr="000250FA">
        <w:rPr>
          <w:rStyle w:val="Lbjegyzet-hivatkozs"/>
          <w:sz w:val="22"/>
          <w:szCs w:val="22"/>
        </w:rPr>
        <w:footnoteReference w:id="23"/>
      </w:r>
      <w:r w:rsidRPr="000250FA">
        <w:rPr>
          <w:sz w:val="22"/>
          <w:szCs w:val="22"/>
        </w:rPr>
        <w:t xml:space="preserve"> </w:t>
      </w:r>
      <w:r w:rsidRPr="000250FA">
        <w:rPr>
          <w:rStyle w:val="Lbjegyzet-hivatkozs"/>
          <w:sz w:val="22"/>
          <w:szCs w:val="22"/>
        </w:rPr>
        <w:footnoteReference w:id="24"/>
      </w:r>
      <w:r w:rsidRPr="000250FA">
        <w:rPr>
          <w:sz w:val="22"/>
          <w:szCs w:val="22"/>
        </w:rPr>
        <w:t xml:space="preserve"> Az Egyetemen az oktatással összefüggő feladatok oktatói és tanári, valamint önálló kutatói feladatok ellátására létrehozott tudományos kutatói munkakörben láthatók el. </w:t>
      </w:r>
    </w:p>
    <w:p w14:paraId="39D720CD" w14:textId="77777777" w:rsidR="00893D5B" w:rsidRPr="000250FA" w:rsidRDefault="00893D5B" w:rsidP="00893D5B">
      <w:pPr>
        <w:jc w:val="both"/>
        <w:rPr>
          <w:sz w:val="22"/>
          <w:szCs w:val="22"/>
        </w:rPr>
      </w:pPr>
    </w:p>
    <w:p w14:paraId="0D122FEB" w14:textId="77777777" w:rsidR="00893D5B" w:rsidRPr="000250FA" w:rsidRDefault="00893D5B" w:rsidP="00893D5B">
      <w:pPr>
        <w:jc w:val="both"/>
        <w:rPr>
          <w:sz w:val="22"/>
          <w:szCs w:val="22"/>
        </w:rPr>
      </w:pPr>
      <w:r w:rsidRPr="000250FA">
        <w:rPr>
          <w:sz w:val="22"/>
          <w:szCs w:val="22"/>
        </w:rPr>
        <w:t>(2)</w:t>
      </w:r>
      <w:r w:rsidRPr="000250FA">
        <w:rPr>
          <w:rStyle w:val="Lbjegyzet-hivatkozs"/>
          <w:sz w:val="22"/>
          <w:szCs w:val="22"/>
        </w:rPr>
        <w:footnoteReference w:id="25"/>
      </w:r>
      <w:r w:rsidRPr="000250FA">
        <w:rPr>
          <w:sz w:val="22"/>
          <w:szCs w:val="22"/>
        </w:rPr>
        <w:t xml:space="preserve"> Az oktatók, tudományos kutatók és a tanárok munkájának segítésére az Egyetem ügyvivő-szakértői és ügyintézői, a működésével összefüggő feladatok ellátására pénzügyi-gazdasági, műszaki-szolgáltató, szakmai-szolgáltató, ügyviteli, kisegítői munkakörben (a továbbiakban együtt: igazgatási munkakörök) foglalkoztatottakat vesz igénybe.</w:t>
      </w:r>
    </w:p>
    <w:p w14:paraId="0DC4FCE0" w14:textId="77777777" w:rsidR="00893D5B" w:rsidRPr="000250FA" w:rsidRDefault="00893D5B" w:rsidP="00893D5B">
      <w:pPr>
        <w:jc w:val="both"/>
        <w:rPr>
          <w:sz w:val="22"/>
          <w:szCs w:val="22"/>
        </w:rPr>
      </w:pPr>
    </w:p>
    <w:p w14:paraId="5925E12F" w14:textId="77777777" w:rsidR="00893D5B" w:rsidRPr="000250FA" w:rsidRDefault="00893D5B" w:rsidP="00893D5B">
      <w:pPr>
        <w:jc w:val="both"/>
        <w:rPr>
          <w:sz w:val="22"/>
          <w:szCs w:val="22"/>
        </w:rPr>
      </w:pPr>
      <w:r w:rsidRPr="000250FA">
        <w:rPr>
          <w:sz w:val="22"/>
          <w:szCs w:val="22"/>
        </w:rPr>
        <w:t>(3)</w:t>
      </w:r>
      <w:r w:rsidRPr="000250FA">
        <w:rPr>
          <w:rStyle w:val="Lbjegyzet-hivatkozs"/>
          <w:sz w:val="22"/>
          <w:szCs w:val="22"/>
        </w:rPr>
        <w:footnoteReference w:id="26"/>
      </w:r>
      <w:r w:rsidRPr="000250FA">
        <w:rPr>
          <w:sz w:val="22"/>
          <w:szCs w:val="22"/>
        </w:rPr>
        <w:t xml:space="preserve"> Az Egyetem által létrehozott köznevelési, közművelődési, közgyűjteményi, egészségügyi szolgáltatónál foglalkoztatottakra az adott ágazatra, feladatra, tevékenységre meghatározott rendelkezéseket kell alkalmazni.</w:t>
      </w:r>
    </w:p>
    <w:p w14:paraId="1D3CB0AD" w14:textId="77777777" w:rsidR="00893D5B" w:rsidRPr="000250FA" w:rsidRDefault="00893D5B" w:rsidP="00893D5B">
      <w:pPr>
        <w:jc w:val="both"/>
        <w:rPr>
          <w:sz w:val="22"/>
          <w:szCs w:val="22"/>
        </w:rPr>
      </w:pPr>
    </w:p>
    <w:p w14:paraId="3C52A634" w14:textId="77777777" w:rsidR="00893D5B" w:rsidRPr="000250FA" w:rsidRDefault="00893D5B" w:rsidP="00893D5B">
      <w:pPr>
        <w:jc w:val="both"/>
        <w:rPr>
          <w:sz w:val="22"/>
          <w:szCs w:val="22"/>
        </w:rPr>
      </w:pPr>
      <w:r w:rsidRPr="000250FA">
        <w:rPr>
          <w:sz w:val="22"/>
          <w:szCs w:val="22"/>
        </w:rPr>
        <w:t>(4)</w:t>
      </w:r>
      <w:r w:rsidRPr="000250FA">
        <w:rPr>
          <w:rStyle w:val="Lbjegyzet-hivatkozs"/>
          <w:sz w:val="22"/>
          <w:szCs w:val="22"/>
        </w:rPr>
        <w:footnoteReference w:id="27"/>
      </w:r>
      <w:r w:rsidRPr="000250FA">
        <w:rPr>
          <w:sz w:val="22"/>
          <w:szCs w:val="22"/>
        </w:rPr>
        <w:t xml:space="preserve"> Az oktatói, tudományos kutatói és tanári munkakörökkel kapcsolatos részletes szabályokat a szabályzat Harmadik része, a nem oktatói, kutatói tanári munkakörökre vonatkozó részletes szabályokat a Negyedik része tartalmazza.</w:t>
      </w:r>
    </w:p>
    <w:p w14:paraId="49BEEC10" w14:textId="77777777" w:rsidR="00893D5B" w:rsidRPr="000250FA" w:rsidRDefault="00893D5B" w:rsidP="00893D5B">
      <w:pPr>
        <w:jc w:val="both"/>
        <w:rPr>
          <w:sz w:val="22"/>
          <w:szCs w:val="22"/>
        </w:rPr>
      </w:pPr>
    </w:p>
    <w:p w14:paraId="3C72ED1E" w14:textId="77777777" w:rsidR="00893D5B" w:rsidRPr="000250FA" w:rsidRDefault="00893D5B" w:rsidP="00893D5B">
      <w:pPr>
        <w:jc w:val="both"/>
        <w:rPr>
          <w:sz w:val="22"/>
          <w:szCs w:val="22"/>
        </w:rPr>
      </w:pPr>
      <w:r w:rsidRPr="000250FA">
        <w:rPr>
          <w:sz w:val="22"/>
          <w:szCs w:val="22"/>
        </w:rPr>
        <w:t>(5)</w:t>
      </w:r>
      <w:r w:rsidRPr="000250FA">
        <w:rPr>
          <w:rStyle w:val="Lbjegyzet-hivatkozs"/>
          <w:sz w:val="22"/>
          <w:szCs w:val="22"/>
        </w:rPr>
        <w:footnoteReference w:id="28"/>
      </w:r>
      <w:r w:rsidRPr="000250FA">
        <w:rPr>
          <w:sz w:val="22"/>
          <w:szCs w:val="22"/>
        </w:rPr>
        <w:t xml:space="preserve"> A doktorandusz hallgatói munkaszerződés alapján kötelezhető munkavégzésre az </w:t>
      </w:r>
      <w:proofErr w:type="gramStart"/>
      <w:r w:rsidRPr="000250FA">
        <w:rPr>
          <w:sz w:val="22"/>
          <w:szCs w:val="22"/>
        </w:rPr>
        <w:t>egyetem oktatási</w:t>
      </w:r>
      <w:proofErr w:type="gramEnd"/>
      <w:r w:rsidRPr="000250FA">
        <w:rPr>
          <w:sz w:val="22"/>
          <w:szCs w:val="22"/>
        </w:rPr>
        <w:t>, tudományos tevékenysége körében.</w:t>
      </w:r>
    </w:p>
    <w:p w14:paraId="1FFF606E" w14:textId="77777777" w:rsidR="00893D5B" w:rsidRPr="000250FA" w:rsidRDefault="00893D5B" w:rsidP="00893D5B">
      <w:pPr>
        <w:tabs>
          <w:tab w:val="left" w:pos="9781"/>
        </w:tabs>
        <w:ind w:right="-144"/>
        <w:jc w:val="both"/>
        <w:rPr>
          <w:b/>
          <w:sz w:val="22"/>
          <w:szCs w:val="22"/>
        </w:rPr>
      </w:pPr>
    </w:p>
    <w:p w14:paraId="23232F35" w14:textId="77777777" w:rsidR="00893D5B" w:rsidRPr="000250FA" w:rsidRDefault="00893D5B" w:rsidP="00893D5B">
      <w:pPr>
        <w:pStyle w:val="Cmsor1"/>
      </w:pPr>
      <w:bookmarkStart w:id="24" w:name="_Toc432753519"/>
      <w:bookmarkStart w:id="25" w:name="_Toc444603548"/>
      <w:bookmarkStart w:id="26" w:name="_Toc445200808"/>
      <w:bookmarkStart w:id="27" w:name="_Toc58569530"/>
      <w:r w:rsidRPr="000250FA">
        <w:t>MÁSODIK RÉSZ</w:t>
      </w:r>
      <w:bookmarkEnd w:id="24"/>
      <w:bookmarkEnd w:id="25"/>
      <w:bookmarkEnd w:id="26"/>
      <w:bookmarkEnd w:id="27"/>
    </w:p>
    <w:p w14:paraId="17D6D687" w14:textId="77777777" w:rsidR="00893D5B" w:rsidRPr="000250FA" w:rsidRDefault="00893D5B" w:rsidP="00893D5B">
      <w:pPr>
        <w:rPr>
          <w:sz w:val="22"/>
          <w:szCs w:val="22"/>
        </w:rPr>
      </w:pPr>
    </w:p>
    <w:p w14:paraId="27F0BD74" w14:textId="77777777" w:rsidR="00893D5B" w:rsidRPr="000250FA" w:rsidRDefault="00893D5B" w:rsidP="00893D5B">
      <w:pPr>
        <w:pStyle w:val="Cmsor2"/>
      </w:pPr>
      <w:bookmarkStart w:id="28" w:name="_Toc432753520"/>
      <w:bookmarkStart w:id="29" w:name="_Toc444603549"/>
      <w:bookmarkStart w:id="30" w:name="_Toc445200809"/>
      <w:bookmarkStart w:id="31" w:name="_Toc58569531"/>
      <w:r w:rsidRPr="000250FA">
        <w:t>A közalkalmazotti jogviszonyra vonatkozó általános szabályok</w:t>
      </w:r>
      <w:bookmarkEnd w:id="28"/>
      <w:bookmarkEnd w:id="29"/>
      <w:bookmarkEnd w:id="30"/>
      <w:bookmarkEnd w:id="31"/>
    </w:p>
    <w:p w14:paraId="59A0DEC2" w14:textId="77777777" w:rsidR="00893D5B" w:rsidRPr="000250FA" w:rsidRDefault="00893D5B" w:rsidP="00893D5B">
      <w:pPr>
        <w:rPr>
          <w:sz w:val="22"/>
          <w:szCs w:val="22"/>
        </w:rPr>
      </w:pPr>
    </w:p>
    <w:p w14:paraId="0B8EAD98" w14:textId="77777777" w:rsidR="00893D5B" w:rsidRPr="000250FA" w:rsidRDefault="00893D5B" w:rsidP="00893D5B">
      <w:pPr>
        <w:pStyle w:val="Cmsor3"/>
      </w:pPr>
      <w:bookmarkStart w:id="32" w:name="_Toc432753521"/>
      <w:bookmarkStart w:id="33" w:name="_Toc444603550"/>
      <w:bookmarkStart w:id="34" w:name="_Toc445200810"/>
      <w:bookmarkStart w:id="35" w:name="_Toc58569532"/>
      <w:r w:rsidRPr="000250FA">
        <w:t>I. fejezet - A közalkalmazotti jogviszony alanyai, létesítése és módosítása</w:t>
      </w:r>
      <w:bookmarkEnd w:id="32"/>
      <w:bookmarkEnd w:id="33"/>
      <w:bookmarkEnd w:id="34"/>
      <w:bookmarkEnd w:id="35"/>
    </w:p>
    <w:p w14:paraId="7BA65005" w14:textId="77777777" w:rsidR="00893D5B" w:rsidRPr="000250FA" w:rsidRDefault="00893D5B" w:rsidP="00893D5B">
      <w:pPr>
        <w:tabs>
          <w:tab w:val="left" w:pos="9781"/>
        </w:tabs>
        <w:ind w:right="-144"/>
        <w:jc w:val="both"/>
        <w:rPr>
          <w:sz w:val="22"/>
          <w:szCs w:val="22"/>
        </w:rPr>
      </w:pPr>
    </w:p>
    <w:p w14:paraId="3658CBAC" w14:textId="77777777" w:rsidR="00893D5B" w:rsidRPr="000250FA" w:rsidRDefault="00893D5B" w:rsidP="00893D5B">
      <w:pPr>
        <w:tabs>
          <w:tab w:val="left" w:pos="9781"/>
        </w:tabs>
        <w:ind w:right="-144"/>
        <w:jc w:val="both"/>
        <w:rPr>
          <w:sz w:val="22"/>
          <w:szCs w:val="22"/>
        </w:rPr>
      </w:pPr>
      <w:r w:rsidRPr="000250FA">
        <w:rPr>
          <w:b/>
          <w:sz w:val="22"/>
          <w:szCs w:val="22"/>
        </w:rPr>
        <w:lastRenderedPageBreak/>
        <w:t>4. §</w:t>
      </w:r>
      <w:r w:rsidRPr="000250FA">
        <w:rPr>
          <w:rStyle w:val="Lbjegyzet-hivatkozs"/>
          <w:sz w:val="22"/>
          <w:szCs w:val="22"/>
        </w:rPr>
        <w:footnoteReference w:id="29"/>
      </w:r>
      <w:r w:rsidRPr="000250FA">
        <w:rPr>
          <w:sz w:val="22"/>
          <w:szCs w:val="22"/>
        </w:rPr>
        <w:t xml:space="preserve"> (1)</w:t>
      </w:r>
      <w:r w:rsidRPr="000250FA">
        <w:rPr>
          <w:b/>
          <w:i/>
          <w:sz w:val="22"/>
          <w:szCs w:val="22"/>
        </w:rPr>
        <w:t xml:space="preserve"> </w:t>
      </w:r>
      <w:r w:rsidRPr="000250FA">
        <w:rPr>
          <w:sz w:val="22"/>
          <w:szCs w:val="22"/>
        </w:rPr>
        <w:t>A közalkalmazotti jogviszony alanyai: a munkáltató és a közalkalmazott.</w:t>
      </w:r>
    </w:p>
    <w:p w14:paraId="078A6911" w14:textId="77777777" w:rsidR="00893D5B" w:rsidRPr="000250FA" w:rsidRDefault="00893D5B" w:rsidP="00893D5B">
      <w:pPr>
        <w:tabs>
          <w:tab w:val="left" w:pos="9781"/>
        </w:tabs>
        <w:ind w:right="-144"/>
        <w:jc w:val="both"/>
        <w:rPr>
          <w:sz w:val="22"/>
          <w:szCs w:val="22"/>
        </w:rPr>
      </w:pPr>
    </w:p>
    <w:p w14:paraId="63ED7403"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30"/>
      </w:r>
      <w:r w:rsidRPr="000250FA">
        <w:rPr>
          <w:sz w:val="22"/>
          <w:szCs w:val="22"/>
        </w:rPr>
        <w:t xml:space="preserve"> Közalkalmazotti jogviszony</w:t>
      </w:r>
    </w:p>
    <w:p w14:paraId="278871D4" w14:textId="77777777" w:rsidR="00893D5B" w:rsidRPr="000250FA" w:rsidRDefault="00893D5B" w:rsidP="00893D5B">
      <w:pPr>
        <w:tabs>
          <w:tab w:val="left" w:pos="9781"/>
        </w:tabs>
        <w:ind w:right="-144"/>
        <w:jc w:val="both"/>
        <w:rPr>
          <w:sz w:val="22"/>
          <w:szCs w:val="22"/>
        </w:rPr>
      </w:pPr>
    </w:p>
    <w:p w14:paraId="3883AA95" w14:textId="77777777" w:rsidR="00893D5B" w:rsidRPr="000250FA" w:rsidRDefault="00893D5B" w:rsidP="00893D5B">
      <w:pPr>
        <w:tabs>
          <w:tab w:val="left" w:pos="9781"/>
        </w:tabs>
        <w:ind w:left="540" w:right="-144"/>
        <w:jc w:val="both"/>
        <w:rPr>
          <w:sz w:val="22"/>
          <w:szCs w:val="22"/>
        </w:rPr>
      </w:pPr>
      <w:proofErr w:type="gramStart"/>
      <w:r w:rsidRPr="000250FA">
        <w:rPr>
          <w:sz w:val="22"/>
          <w:szCs w:val="22"/>
        </w:rPr>
        <w:t>a</w:t>
      </w:r>
      <w:proofErr w:type="gramEnd"/>
      <w:r w:rsidRPr="000250FA">
        <w:rPr>
          <w:sz w:val="22"/>
          <w:szCs w:val="22"/>
        </w:rPr>
        <w:t>) büntetlen előéletű, a tevékenység folytatását kizáró foglalkozástól eltiltás hatálya alatt nem álló,</w:t>
      </w:r>
    </w:p>
    <w:p w14:paraId="2E33E46E" w14:textId="77777777" w:rsidR="00893D5B" w:rsidRPr="000250FA" w:rsidRDefault="00893D5B" w:rsidP="00893D5B">
      <w:pPr>
        <w:tabs>
          <w:tab w:val="left" w:pos="9781"/>
        </w:tabs>
        <w:ind w:left="540" w:right="-144"/>
        <w:jc w:val="both"/>
        <w:rPr>
          <w:sz w:val="22"/>
          <w:szCs w:val="22"/>
        </w:rPr>
      </w:pPr>
      <w:r w:rsidRPr="000250FA">
        <w:rPr>
          <w:sz w:val="22"/>
          <w:szCs w:val="22"/>
        </w:rPr>
        <w:t xml:space="preserve">b) </w:t>
      </w:r>
      <w:proofErr w:type="spellStart"/>
      <w:r w:rsidRPr="000250FA">
        <w:rPr>
          <w:sz w:val="22"/>
          <w:szCs w:val="22"/>
        </w:rPr>
        <w:t>tizennyolcadik</w:t>
      </w:r>
      <w:proofErr w:type="spellEnd"/>
      <w:r w:rsidRPr="000250FA">
        <w:rPr>
          <w:sz w:val="22"/>
          <w:szCs w:val="22"/>
        </w:rPr>
        <w:t xml:space="preserve"> életévét betöltött,</w:t>
      </w:r>
    </w:p>
    <w:p w14:paraId="17CF22AF" w14:textId="77777777" w:rsidR="00893D5B" w:rsidRPr="000250FA" w:rsidRDefault="00893D5B" w:rsidP="00893D5B">
      <w:pPr>
        <w:tabs>
          <w:tab w:val="left" w:pos="9781"/>
        </w:tabs>
        <w:ind w:left="540" w:right="-144"/>
        <w:jc w:val="both"/>
        <w:rPr>
          <w:sz w:val="22"/>
          <w:szCs w:val="22"/>
        </w:rPr>
      </w:pPr>
      <w:r w:rsidRPr="000250FA">
        <w:rPr>
          <w:sz w:val="22"/>
          <w:szCs w:val="22"/>
        </w:rPr>
        <w:t>c) magyar állampolgárságú vagy külön jogszabály szerint a szabad mozgás és tartózkodás jogával rendelkező, illetve letelepedett vagy bevándorolt</w:t>
      </w:r>
    </w:p>
    <w:p w14:paraId="00725B6F" w14:textId="77777777" w:rsidR="00893D5B" w:rsidRPr="000250FA" w:rsidRDefault="00827537" w:rsidP="00893D5B">
      <w:pPr>
        <w:tabs>
          <w:tab w:val="left" w:pos="9781"/>
        </w:tabs>
        <w:ind w:left="540" w:right="-144"/>
        <w:jc w:val="both"/>
        <w:rPr>
          <w:sz w:val="22"/>
          <w:szCs w:val="22"/>
        </w:rPr>
      </w:pPr>
      <w:r>
        <w:rPr>
          <w:sz w:val="22"/>
          <w:szCs w:val="22"/>
        </w:rPr>
        <w:t>d</w:t>
      </w:r>
      <w:r w:rsidR="00893D5B" w:rsidRPr="000250FA">
        <w:rPr>
          <w:sz w:val="22"/>
          <w:szCs w:val="22"/>
        </w:rPr>
        <w:t>)</w:t>
      </w:r>
      <w:r w:rsidR="00893D5B" w:rsidRPr="000250FA">
        <w:rPr>
          <w:rStyle w:val="Lbjegyzet-hivatkozs"/>
          <w:sz w:val="22"/>
          <w:szCs w:val="22"/>
        </w:rPr>
        <w:footnoteReference w:id="31"/>
      </w:r>
      <w:r w:rsidR="00893D5B" w:rsidRPr="000250FA">
        <w:rPr>
          <w:sz w:val="22"/>
          <w:szCs w:val="22"/>
        </w:rPr>
        <w:t xml:space="preserve"> állam elleni bűncselekmény [a Büntető Törvénykönyvről szóló 2012. évi C. törvény (a továbbiakban: Btk.) </w:t>
      </w:r>
      <w:proofErr w:type="gramStart"/>
      <w:r w:rsidR="00893D5B" w:rsidRPr="000250FA">
        <w:rPr>
          <w:sz w:val="22"/>
          <w:szCs w:val="22"/>
        </w:rPr>
        <w:t>XXIV. Fejezet, illetve a Büntető Törvénykönyvről szóló 1978. évi IV. törvény (a továbbiakban: 1978. évi IV. törvény) X. fejezet], igazságszolgáltatás elleni bűncselekmény (Btk. XXVI. Fejezet, illetve az 1978. évi IV. törvény XV. fejezet VI. cím), korrupciós bűncselekmény (Btk. XXVII. Fejezet) vagy közélet tisztasága, valamint a nemzetközi közélet tisztasága elleni bűncselekmény (1978. évi IV. törvény XV. fejezet VII. és VIII. cím), hivatali bűncselekmény (Btk. XXVIII. Fejezet, illetve az 1978. évi IV. törvény XV. fejezet IV. cím), illetve közbizalom elleni bűncselekmény (Btk. XXXIII. Fejezet,</w:t>
      </w:r>
      <w:proofErr w:type="gramEnd"/>
      <w:r w:rsidR="00893D5B" w:rsidRPr="000250FA">
        <w:rPr>
          <w:sz w:val="22"/>
          <w:szCs w:val="22"/>
        </w:rPr>
        <w:t xml:space="preserve"> </w:t>
      </w:r>
      <w:proofErr w:type="gramStart"/>
      <w:r w:rsidR="00893D5B" w:rsidRPr="000250FA">
        <w:rPr>
          <w:sz w:val="22"/>
          <w:szCs w:val="22"/>
        </w:rPr>
        <w:t>illetve</w:t>
      </w:r>
      <w:proofErr w:type="gramEnd"/>
      <w:r w:rsidR="00893D5B" w:rsidRPr="000250FA">
        <w:rPr>
          <w:sz w:val="22"/>
          <w:szCs w:val="22"/>
        </w:rPr>
        <w:t xml:space="preserve"> az 1978. évi IV. törvény XVI. fejezet III. cím) miatt indult büntetőeljárás hatálya alatt nem álló</w:t>
      </w:r>
    </w:p>
    <w:p w14:paraId="3E2A6C38" w14:textId="77777777" w:rsidR="00893D5B" w:rsidRPr="000250FA" w:rsidRDefault="00893D5B" w:rsidP="00893D5B">
      <w:pPr>
        <w:tabs>
          <w:tab w:val="left" w:pos="9781"/>
        </w:tabs>
        <w:ind w:left="540" w:right="-144"/>
        <w:jc w:val="both"/>
        <w:rPr>
          <w:sz w:val="22"/>
          <w:szCs w:val="22"/>
        </w:rPr>
      </w:pPr>
    </w:p>
    <w:p w14:paraId="7C867157" w14:textId="77777777" w:rsidR="00893D5B" w:rsidRPr="000250FA" w:rsidRDefault="00893D5B" w:rsidP="00893D5B">
      <w:pPr>
        <w:tabs>
          <w:tab w:val="left" w:pos="9781"/>
        </w:tabs>
        <w:ind w:right="-144"/>
        <w:jc w:val="both"/>
        <w:rPr>
          <w:sz w:val="22"/>
          <w:szCs w:val="22"/>
        </w:rPr>
      </w:pPr>
      <w:proofErr w:type="gramStart"/>
      <w:r w:rsidRPr="000250FA">
        <w:rPr>
          <w:sz w:val="22"/>
          <w:szCs w:val="22"/>
        </w:rPr>
        <w:t>személlyel</w:t>
      </w:r>
      <w:proofErr w:type="gramEnd"/>
      <w:r w:rsidRPr="000250FA">
        <w:rPr>
          <w:sz w:val="22"/>
          <w:szCs w:val="22"/>
        </w:rPr>
        <w:t xml:space="preserve"> létesíthető, aki rendelkezik az előírt végzettséggel és szakképzettséggel.</w:t>
      </w:r>
    </w:p>
    <w:p w14:paraId="4CB70978" w14:textId="77777777" w:rsidR="00893D5B" w:rsidRPr="000250FA" w:rsidRDefault="00893D5B" w:rsidP="00893D5B">
      <w:pPr>
        <w:tabs>
          <w:tab w:val="left" w:pos="9781"/>
        </w:tabs>
        <w:ind w:right="-144"/>
        <w:jc w:val="both"/>
        <w:rPr>
          <w:sz w:val="22"/>
          <w:szCs w:val="22"/>
        </w:rPr>
      </w:pPr>
    </w:p>
    <w:p w14:paraId="24F32BF8" w14:textId="77777777" w:rsidR="00893D5B" w:rsidRPr="000250FA" w:rsidRDefault="00893D5B" w:rsidP="00893D5B">
      <w:pPr>
        <w:tabs>
          <w:tab w:val="left" w:pos="9781"/>
        </w:tabs>
        <w:ind w:right="-144"/>
        <w:jc w:val="both"/>
        <w:rPr>
          <w:sz w:val="22"/>
          <w:szCs w:val="22"/>
        </w:rPr>
      </w:pPr>
      <w:r w:rsidRPr="000250FA">
        <w:rPr>
          <w:sz w:val="22"/>
          <w:szCs w:val="22"/>
        </w:rPr>
        <w:t xml:space="preserve">(3) A (2) bekezdés b) pontjától eltérően közalkalmazotti jogviszony egészségügyi szakképzettséget, szakképesítést igénylő munkakör betöltése érdekében </w:t>
      </w:r>
      <w:proofErr w:type="spellStart"/>
      <w:r w:rsidRPr="000250FA">
        <w:rPr>
          <w:sz w:val="22"/>
          <w:szCs w:val="22"/>
        </w:rPr>
        <w:t>tizennyolcadik</w:t>
      </w:r>
      <w:proofErr w:type="spellEnd"/>
      <w:r w:rsidRPr="000250FA">
        <w:rPr>
          <w:sz w:val="22"/>
          <w:szCs w:val="22"/>
        </w:rPr>
        <w:t xml:space="preserve"> életévét be nem töltött személlyel is létesíthető, amennyiben a közalkalmazotti jogviszony létesítésekor a közalkalmazott az előírt szakképzettség, szakképesítés megszerzésére irányuló képzésben vesz részt.</w:t>
      </w:r>
    </w:p>
    <w:p w14:paraId="1FEA87BC" w14:textId="77777777" w:rsidR="00893D5B" w:rsidRPr="000250FA" w:rsidRDefault="00893D5B" w:rsidP="00893D5B">
      <w:pPr>
        <w:tabs>
          <w:tab w:val="left" w:pos="9781"/>
        </w:tabs>
        <w:ind w:right="-144"/>
        <w:jc w:val="both"/>
        <w:rPr>
          <w:sz w:val="22"/>
          <w:szCs w:val="22"/>
        </w:rPr>
      </w:pPr>
    </w:p>
    <w:p w14:paraId="03660B72" w14:textId="77777777" w:rsidR="00893D5B" w:rsidRPr="000250FA" w:rsidRDefault="00893D5B" w:rsidP="00893D5B">
      <w:pPr>
        <w:tabs>
          <w:tab w:val="left" w:pos="9781"/>
        </w:tabs>
        <w:ind w:right="-144"/>
        <w:jc w:val="both"/>
        <w:rPr>
          <w:sz w:val="22"/>
          <w:szCs w:val="22"/>
        </w:rPr>
      </w:pPr>
      <w:r w:rsidRPr="000250FA">
        <w:rPr>
          <w:sz w:val="22"/>
          <w:szCs w:val="22"/>
        </w:rPr>
        <w:t>(4) A (2) bekezdés c) pontjától eltérően közalkalmazotti jogviszony az egészségügyi szakképzettséget, szakképesítést igénylő munkakör betöltése érdekében - a munkavállalás feltételei tekintetében jogszabályban meghatározott feltételek fennállása esetén - a harmadik országbeli állampolgárok beutazásáról és tartózkodásáról szóló 2007. évi II. törvény alapján három hónapot meghaladó tartózkodásra jogosult személlyel is létesíthető.</w:t>
      </w:r>
    </w:p>
    <w:p w14:paraId="7CD1C736" w14:textId="77777777" w:rsidR="00893D5B" w:rsidRPr="000250FA" w:rsidRDefault="00893D5B" w:rsidP="00893D5B">
      <w:pPr>
        <w:tabs>
          <w:tab w:val="left" w:pos="9781"/>
        </w:tabs>
        <w:ind w:right="-144"/>
        <w:jc w:val="both"/>
        <w:rPr>
          <w:sz w:val="22"/>
          <w:szCs w:val="22"/>
        </w:rPr>
      </w:pPr>
    </w:p>
    <w:p w14:paraId="16D468AB" w14:textId="77777777" w:rsidR="00893D5B" w:rsidRPr="000250FA" w:rsidRDefault="00893D5B" w:rsidP="00893D5B">
      <w:pPr>
        <w:tabs>
          <w:tab w:val="left" w:pos="9781"/>
        </w:tabs>
        <w:ind w:right="-144"/>
        <w:jc w:val="both"/>
        <w:rPr>
          <w:sz w:val="22"/>
          <w:szCs w:val="22"/>
        </w:rPr>
      </w:pPr>
      <w:r w:rsidRPr="000250FA">
        <w:rPr>
          <w:sz w:val="22"/>
          <w:szCs w:val="22"/>
        </w:rPr>
        <w:t>(5)</w:t>
      </w:r>
      <w:r w:rsidRPr="000250FA">
        <w:rPr>
          <w:rStyle w:val="Lbjegyzet-hivatkozs"/>
          <w:sz w:val="22"/>
          <w:szCs w:val="22"/>
        </w:rPr>
        <w:footnoteReference w:id="32"/>
      </w:r>
      <w:r w:rsidRPr="000250FA">
        <w:rPr>
          <w:sz w:val="22"/>
          <w:szCs w:val="22"/>
        </w:rPr>
        <w:t xml:space="preserve"> Közalkalmazotti jogviszony nem létesíthető</w:t>
      </w:r>
    </w:p>
    <w:p w14:paraId="6DC019F2" w14:textId="77777777" w:rsidR="00893D5B" w:rsidRPr="000250FA" w:rsidRDefault="00893D5B" w:rsidP="00893D5B">
      <w:pPr>
        <w:tabs>
          <w:tab w:val="left" w:pos="9781"/>
        </w:tabs>
        <w:ind w:left="708" w:right="-144"/>
        <w:jc w:val="both"/>
        <w:rPr>
          <w:sz w:val="22"/>
          <w:szCs w:val="22"/>
        </w:rPr>
      </w:pPr>
      <w:proofErr w:type="gramStart"/>
      <w:r w:rsidRPr="000250FA">
        <w:rPr>
          <w:iCs/>
          <w:sz w:val="22"/>
          <w:szCs w:val="22"/>
        </w:rPr>
        <w:t>a</w:t>
      </w:r>
      <w:proofErr w:type="gramEnd"/>
      <w:r w:rsidRPr="000250FA">
        <w:rPr>
          <w:iCs/>
          <w:sz w:val="22"/>
          <w:szCs w:val="22"/>
        </w:rPr>
        <w:t xml:space="preserve">) </w:t>
      </w:r>
      <w:r w:rsidRPr="000250FA">
        <w:rPr>
          <w:sz w:val="22"/>
          <w:szCs w:val="22"/>
        </w:rPr>
        <w:t>a büntetőeljárás jogerős befejezéséig azzal, aki</w:t>
      </w:r>
    </w:p>
    <w:p w14:paraId="7DB05118" w14:textId="77777777" w:rsidR="00893D5B" w:rsidRPr="000250FA" w:rsidRDefault="00893D5B" w:rsidP="00893D5B">
      <w:pPr>
        <w:tabs>
          <w:tab w:val="left" w:pos="9781"/>
        </w:tabs>
        <w:ind w:left="708" w:right="-144"/>
        <w:jc w:val="both"/>
        <w:rPr>
          <w:sz w:val="22"/>
          <w:szCs w:val="22"/>
        </w:rPr>
      </w:pPr>
      <w:proofErr w:type="spellStart"/>
      <w:r w:rsidRPr="000250FA">
        <w:rPr>
          <w:iCs/>
          <w:sz w:val="22"/>
          <w:szCs w:val="22"/>
        </w:rPr>
        <w:t>aa</w:t>
      </w:r>
      <w:proofErr w:type="spellEnd"/>
      <w:r w:rsidRPr="000250FA">
        <w:rPr>
          <w:iCs/>
          <w:sz w:val="22"/>
          <w:szCs w:val="22"/>
        </w:rPr>
        <w:t xml:space="preserve">) </w:t>
      </w:r>
      <w:r w:rsidRPr="000250FA">
        <w:rPr>
          <w:sz w:val="22"/>
          <w:szCs w:val="22"/>
        </w:rPr>
        <w:t xml:space="preserve">a 2013. június 30-ig hatályban volt emberölés [1978. évi IV. törvény 166. § (2) bekezdés </w:t>
      </w:r>
      <w:r w:rsidRPr="000250FA">
        <w:rPr>
          <w:iCs/>
          <w:sz w:val="22"/>
          <w:szCs w:val="22"/>
        </w:rPr>
        <w:t xml:space="preserve">i) </w:t>
      </w:r>
      <w:r w:rsidRPr="000250FA">
        <w:rPr>
          <w:sz w:val="22"/>
          <w:szCs w:val="22"/>
        </w:rPr>
        <w:t xml:space="preserve">pont], öngyilkosságban való közreműködés [1978. évi IV. törvény 168. § (2) bekezdés], személyi szabadság megsértése [1978. évi IV. törvény 175. § (3) bekezdés </w:t>
      </w:r>
      <w:r w:rsidRPr="000250FA">
        <w:rPr>
          <w:iCs/>
          <w:sz w:val="22"/>
          <w:szCs w:val="22"/>
        </w:rPr>
        <w:t xml:space="preserve">e) </w:t>
      </w:r>
      <w:r w:rsidRPr="000250FA">
        <w:rPr>
          <w:sz w:val="22"/>
          <w:szCs w:val="22"/>
        </w:rPr>
        <w:t xml:space="preserve">pont], emberkereskedelem [1978. évi IV. törvény 175/B. § (2) bekezdés </w:t>
      </w:r>
      <w:r w:rsidRPr="000250FA">
        <w:rPr>
          <w:iCs/>
          <w:sz w:val="22"/>
          <w:szCs w:val="22"/>
        </w:rPr>
        <w:t xml:space="preserve">a) </w:t>
      </w:r>
      <w:r w:rsidRPr="000250FA">
        <w:rPr>
          <w:sz w:val="22"/>
          <w:szCs w:val="22"/>
        </w:rPr>
        <w:t xml:space="preserve">pont és (5) bekezdés], családi állás megváltoztatása [1978. évi IV. törvény 193. § (2) bekezdés </w:t>
      </w:r>
      <w:r w:rsidRPr="000250FA">
        <w:rPr>
          <w:iCs/>
          <w:sz w:val="22"/>
          <w:szCs w:val="22"/>
        </w:rPr>
        <w:t xml:space="preserve">b) </w:t>
      </w:r>
      <w:r w:rsidRPr="000250FA">
        <w:rPr>
          <w:sz w:val="22"/>
          <w:szCs w:val="22"/>
        </w:rPr>
        <w:t xml:space="preserve">pont], kiskorú veszélyeztetése [1978. évi IV. törvény 195. § (1)-(3) bekezdés], erőszakos közösülés [1978. évi IV. törvény 197. § (2) bekezdés </w:t>
      </w:r>
      <w:r w:rsidRPr="000250FA">
        <w:rPr>
          <w:iCs/>
          <w:sz w:val="22"/>
          <w:szCs w:val="22"/>
        </w:rPr>
        <w:t xml:space="preserve">a) </w:t>
      </w:r>
      <w:r w:rsidRPr="000250FA">
        <w:rPr>
          <w:sz w:val="22"/>
          <w:szCs w:val="22"/>
        </w:rPr>
        <w:t xml:space="preserve">pont és (3) bekezdés], szemérem elleni erőszak [1978. évi IV. törvény 198. § (2) bekezdés </w:t>
      </w:r>
      <w:r w:rsidRPr="000250FA">
        <w:rPr>
          <w:iCs/>
          <w:sz w:val="22"/>
          <w:szCs w:val="22"/>
        </w:rPr>
        <w:t xml:space="preserve">a) </w:t>
      </w:r>
      <w:r w:rsidRPr="000250FA">
        <w:rPr>
          <w:sz w:val="22"/>
          <w:szCs w:val="22"/>
        </w:rPr>
        <w:t>pont és (3) bekezdés], megrontás (1978. évi IV. törvény 201-202/</w:t>
      </w:r>
      <w:proofErr w:type="gramStart"/>
      <w:r w:rsidRPr="000250FA">
        <w:rPr>
          <w:sz w:val="22"/>
          <w:szCs w:val="22"/>
        </w:rPr>
        <w:t>A</w:t>
      </w:r>
      <w:proofErr w:type="gramEnd"/>
      <w:r w:rsidRPr="000250FA">
        <w:rPr>
          <w:sz w:val="22"/>
          <w:szCs w:val="22"/>
        </w:rPr>
        <w:t xml:space="preserve">. §), tiltott pornográf felvétellel visszaélés (1978. évi IV. törvény 204. §), üzletszerű kéjelgés elősegítése [1978. évi IV. törvény 205. § (3) bekezdés </w:t>
      </w:r>
      <w:r w:rsidRPr="000250FA">
        <w:rPr>
          <w:iCs/>
          <w:sz w:val="22"/>
          <w:szCs w:val="22"/>
        </w:rPr>
        <w:t xml:space="preserve">a) </w:t>
      </w:r>
      <w:r w:rsidRPr="000250FA">
        <w:rPr>
          <w:sz w:val="22"/>
          <w:szCs w:val="22"/>
        </w:rPr>
        <w:t xml:space="preserve">pont], visszaélés kábítószerrel [1978. évi IV. törvény 282/B. § (1) bekezdés, (2) bekezdés </w:t>
      </w:r>
      <w:r w:rsidRPr="000250FA">
        <w:rPr>
          <w:iCs/>
          <w:sz w:val="22"/>
          <w:szCs w:val="22"/>
        </w:rPr>
        <w:t xml:space="preserve">a) </w:t>
      </w:r>
      <w:r w:rsidRPr="000250FA">
        <w:rPr>
          <w:sz w:val="22"/>
          <w:szCs w:val="22"/>
        </w:rPr>
        <w:t xml:space="preserve">és </w:t>
      </w:r>
      <w:r w:rsidRPr="000250FA">
        <w:rPr>
          <w:iCs/>
          <w:sz w:val="22"/>
          <w:szCs w:val="22"/>
        </w:rPr>
        <w:t xml:space="preserve">c) </w:t>
      </w:r>
      <w:r w:rsidRPr="000250FA">
        <w:rPr>
          <w:sz w:val="22"/>
          <w:szCs w:val="22"/>
        </w:rPr>
        <w:t xml:space="preserve">pont, 282/B. § (5) bekezdés és (7) bekezdés </w:t>
      </w:r>
      <w:r w:rsidRPr="000250FA">
        <w:rPr>
          <w:iCs/>
          <w:sz w:val="22"/>
          <w:szCs w:val="22"/>
        </w:rPr>
        <w:t xml:space="preserve">a) </w:t>
      </w:r>
      <w:r w:rsidRPr="000250FA">
        <w:rPr>
          <w:sz w:val="22"/>
          <w:szCs w:val="22"/>
        </w:rPr>
        <w:t>pont],</w:t>
      </w:r>
    </w:p>
    <w:p w14:paraId="70241368" w14:textId="77777777" w:rsidR="00893D5B" w:rsidRPr="000250FA" w:rsidRDefault="00893D5B" w:rsidP="00893D5B">
      <w:pPr>
        <w:tabs>
          <w:tab w:val="left" w:pos="9214"/>
        </w:tabs>
        <w:ind w:left="708" w:right="-144"/>
        <w:jc w:val="both"/>
        <w:rPr>
          <w:sz w:val="22"/>
          <w:szCs w:val="22"/>
        </w:rPr>
      </w:pPr>
      <w:proofErr w:type="gramStart"/>
      <w:r w:rsidRPr="000250FA">
        <w:rPr>
          <w:iCs/>
          <w:sz w:val="22"/>
          <w:szCs w:val="22"/>
        </w:rPr>
        <w:t xml:space="preserve">ab) </w:t>
      </w:r>
      <w:r w:rsidRPr="000250FA">
        <w:rPr>
          <w:sz w:val="22"/>
          <w:szCs w:val="22"/>
        </w:rPr>
        <w:t xml:space="preserve">tiltott toborzás [Btk. 146. § (3) bekezdés], emberölés [Btk. 160. § (2) bekezdés </w:t>
      </w:r>
      <w:r w:rsidRPr="000250FA">
        <w:rPr>
          <w:iCs/>
          <w:sz w:val="22"/>
          <w:szCs w:val="22"/>
        </w:rPr>
        <w:t xml:space="preserve">i) </w:t>
      </w:r>
      <w:r w:rsidRPr="000250FA">
        <w:rPr>
          <w:sz w:val="22"/>
          <w:szCs w:val="22"/>
        </w:rPr>
        <w:t xml:space="preserve">pont], öngyilkosságban közreműködés [Btk. 162. § (2) bekezdés], emberi test tiltott felhasználása [Btk. 175. § (3) bekezdés </w:t>
      </w:r>
      <w:r w:rsidRPr="000250FA">
        <w:rPr>
          <w:iCs/>
          <w:sz w:val="22"/>
          <w:szCs w:val="22"/>
        </w:rPr>
        <w:t xml:space="preserve">a) </w:t>
      </w:r>
      <w:r w:rsidRPr="000250FA">
        <w:rPr>
          <w:sz w:val="22"/>
          <w:szCs w:val="22"/>
        </w:rPr>
        <w:t xml:space="preserve">pont], kábítószer-kereskedelem [Btk. 177. § (1) bekezdés </w:t>
      </w:r>
      <w:r w:rsidRPr="000250FA">
        <w:rPr>
          <w:iCs/>
          <w:sz w:val="22"/>
          <w:szCs w:val="22"/>
        </w:rPr>
        <w:t xml:space="preserve">a) </w:t>
      </w:r>
      <w:r w:rsidRPr="000250FA">
        <w:rPr>
          <w:sz w:val="22"/>
          <w:szCs w:val="22"/>
        </w:rPr>
        <w:t xml:space="preserve">és </w:t>
      </w:r>
      <w:r w:rsidRPr="000250FA">
        <w:rPr>
          <w:iCs/>
          <w:sz w:val="22"/>
          <w:szCs w:val="22"/>
        </w:rPr>
        <w:t xml:space="preserve">b) </w:t>
      </w:r>
      <w:r w:rsidRPr="000250FA">
        <w:rPr>
          <w:sz w:val="22"/>
          <w:szCs w:val="22"/>
        </w:rPr>
        <w:t xml:space="preserve">pont], kábítószer birtoklása [Btk. 179. § (1) bekezdés </w:t>
      </w:r>
      <w:r w:rsidRPr="000250FA">
        <w:rPr>
          <w:iCs/>
          <w:sz w:val="22"/>
          <w:szCs w:val="22"/>
        </w:rPr>
        <w:t xml:space="preserve">a) </w:t>
      </w:r>
      <w:r w:rsidRPr="000250FA">
        <w:rPr>
          <w:sz w:val="22"/>
          <w:szCs w:val="22"/>
        </w:rPr>
        <w:t>pont és (2) bekezdés], kóros szenvedélykeltés (Btk. 181.</w:t>
      </w:r>
      <w:proofErr w:type="gramEnd"/>
      <w:r w:rsidRPr="000250FA">
        <w:rPr>
          <w:sz w:val="22"/>
          <w:szCs w:val="22"/>
        </w:rPr>
        <w:t xml:space="preserve"> §), teljesítményfokozó szerrel visszaélés [Btk. 185. § (3) és (5) bekezdés], emberrablás [Btk. 190. § (2) bekezdés </w:t>
      </w:r>
      <w:r w:rsidRPr="000250FA">
        <w:rPr>
          <w:iCs/>
          <w:sz w:val="22"/>
          <w:szCs w:val="22"/>
        </w:rPr>
        <w:t xml:space="preserve">a) </w:t>
      </w:r>
      <w:r w:rsidRPr="000250FA">
        <w:rPr>
          <w:sz w:val="22"/>
          <w:szCs w:val="22"/>
        </w:rPr>
        <w:t xml:space="preserve">pont és (3) bekezdés </w:t>
      </w:r>
      <w:r w:rsidRPr="000250FA">
        <w:rPr>
          <w:iCs/>
          <w:sz w:val="22"/>
          <w:szCs w:val="22"/>
        </w:rPr>
        <w:t xml:space="preserve">a) </w:t>
      </w:r>
      <w:r w:rsidRPr="000250FA">
        <w:rPr>
          <w:sz w:val="22"/>
          <w:szCs w:val="22"/>
        </w:rPr>
        <w:t xml:space="preserve">pont], emberkereskedelem [Btk. 192. § (4) </w:t>
      </w:r>
      <w:r w:rsidRPr="000250FA">
        <w:rPr>
          <w:sz w:val="22"/>
          <w:szCs w:val="22"/>
        </w:rPr>
        <w:lastRenderedPageBreak/>
        <w:t xml:space="preserve">bekezdés </w:t>
      </w:r>
      <w:r w:rsidRPr="000250FA">
        <w:rPr>
          <w:iCs/>
          <w:sz w:val="22"/>
          <w:szCs w:val="22"/>
        </w:rPr>
        <w:t xml:space="preserve">a) </w:t>
      </w:r>
      <w:r w:rsidRPr="000250FA">
        <w:rPr>
          <w:sz w:val="22"/>
          <w:szCs w:val="22"/>
        </w:rPr>
        <w:t xml:space="preserve">pont, (5) és (6) bekezdés], kényszermunka [Btk. 193. § (2) bekezdés </w:t>
      </w:r>
      <w:r w:rsidRPr="000250FA">
        <w:rPr>
          <w:iCs/>
          <w:sz w:val="22"/>
          <w:szCs w:val="22"/>
        </w:rPr>
        <w:t xml:space="preserve">c) </w:t>
      </w:r>
      <w:r w:rsidRPr="000250FA">
        <w:rPr>
          <w:sz w:val="22"/>
          <w:szCs w:val="22"/>
        </w:rPr>
        <w:t xml:space="preserve">pont], személyi szabadság megsértése [Btk. 194. § (2) bekezdés </w:t>
      </w:r>
      <w:r w:rsidRPr="000250FA">
        <w:rPr>
          <w:iCs/>
          <w:sz w:val="22"/>
          <w:szCs w:val="22"/>
        </w:rPr>
        <w:t xml:space="preserve">a) </w:t>
      </w:r>
      <w:r w:rsidRPr="000250FA">
        <w:rPr>
          <w:sz w:val="22"/>
          <w:szCs w:val="22"/>
        </w:rPr>
        <w:t xml:space="preserve">pont és (3) bekezdés], szexuális kényszerítés [Btk. 196. § (2) bekezdés </w:t>
      </w:r>
      <w:r w:rsidRPr="000250FA">
        <w:rPr>
          <w:iCs/>
          <w:sz w:val="22"/>
          <w:szCs w:val="22"/>
        </w:rPr>
        <w:t xml:space="preserve">a) </w:t>
      </w:r>
      <w:r w:rsidRPr="000250FA">
        <w:rPr>
          <w:sz w:val="22"/>
          <w:szCs w:val="22"/>
        </w:rPr>
        <w:t xml:space="preserve">pont és (3) bekezdés], szexuális erőszak [Btk. 197. § (2) bekezdés, (3) bekezdés </w:t>
      </w:r>
      <w:r w:rsidRPr="000250FA">
        <w:rPr>
          <w:iCs/>
          <w:sz w:val="22"/>
          <w:szCs w:val="22"/>
        </w:rPr>
        <w:t xml:space="preserve">a) </w:t>
      </w:r>
      <w:r w:rsidRPr="000250FA">
        <w:rPr>
          <w:sz w:val="22"/>
          <w:szCs w:val="22"/>
        </w:rPr>
        <w:t xml:space="preserve">pont és (4) bekezdés], szexuális visszaélés (Btk. 198. §), kerítés [Btk. 200. § (2) bekezdés és (4) bekezdés </w:t>
      </w:r>
      <w:r w:rsidRPr="000250FA">
        <w:rPr>
          <w:iCs/>
          <w:sz w:val="22"/>
          <w:szCs w:val="22"/>
        </w:rPr>
        <w:t xml:space="preserve">a) </w:t>
      </w:r>
      <w:r w:rsidRPr="000250FA">
        <w:rPr>
          <w:sz w:val="22"/>
          <w:szCs w:val="22"/>
        </w:rPr>
        <w:t xml:space="preserve">pont], prostitúció elősegítése [Btk. 201. § (1) bekezdés </w:t>
      </w:r>
      <w:r w:rsidRPr="000250FA">
        <w:rPr>
          <w:iCs/>
          <w:sz w:val="22"/>
          <w:szCs w:val="22"/>
        </w:rPr>
        <w:t xml:space="preserve">c) </w:t>
      </w:r>
      <w:r w:rsidRPr="000250FA">
        <w:rPr>
          <w:sz w:val="22"/>
          <w:szCs w:val="22"/>
        </w:rPr>
        <w:t xml:space="preserve">pont és (2) bekezdés], gyermekprostitúció kihasználása (Btk. 203. §), gyermekpornográfia (Btk. 204. §), szeméremsértés [Btk. 205. § (2) bekezdés], kiskorú veszélyeztetése (Btk. 208. §), gyermekmunka (Btk. 209. §), családi jogállás megsértése [Btk. 213. § (2) bekezdés </w:t>
      </w:r>
      <w:r w:rsidRPr="000250FA">
        <w:rPr>
          <w:iCs/>
          <w:sz w:val="22"/>
          <w:szCs w:val="22"/>
        </w:rPr>
        <w:t xml:space="preserve">b) </w:t>
      </w:r>
      <w:r w:rsidRPr="000250FA">
        <w:rPr>
          <w:sz w:val="22"/>
          <w:szCs w:val="22"/>
        </w:rPr>
        <w:t>pont]</w:t>
      </w:r>
    </w:p>
    <w:p w14:paraId="33096934" w14:textId="77777777" w:rsidR="00893D5B" w:rsidRPr="000250FA" w:rsidRDefault="00893D5B" w:rsidP="00893D5B">
      <w:pPr>
        <w:tabs>
          <w:tab w:val="left" w:pos="9781"/>
        </w:tabs>
        <w:ind w:left="708" w:right="-144"/>
        <w:jc w:val="both"/>
        <w:rPr>
          <w:sz w:val="22"/>
          <w:szCs w:val="22"/>
        </w:rPr>
      </w:pPr>
      <w:proofErr w:type="gramStart"/>
      <w:r w:rsidRPr="000250FA">
        <w:rPr>
          <w:sz w:val="22"/>
          <w:szCs w:val="22"/>
        </w:rPr>
        <w:t>bűncselekmény</w:t>
      </w:r>
      <w:proofErr w:type="gramEnd"/>
      <w:r w:rsidRPr="000250FA">
        <w:rPr>
          <w:sz w:val="22"/>
          <w:szCs w:val="22"/>
        </w:rPr>
        <w:t xml:space="preserve"> elkövetésének megalapozott gyanúja miatt büntetőeljárás hatálya alatt áll,</w:t>
      </w:r>
    </w:p>
    <w:p w14:paraId="0B15C370" w14:textId="77777777" w:rsidR="00893D5B" w:rsidRPr="000250FA" w:rsidRDefault="00893D5B" w:rsidP="00893D5B">
      <w:pPr>
        <w:tabs>
          <w:tab w:val="left" w:pos="9781"/>
        </w:tabs>
        <w:ind w:left="708" w:right="-144"/>
        <w:jc w:val="both"/>
        <w:rPr>
          <w:sz w:val="22"/>
          <w:szCs w:val="22"/>
        </w:rPr>
      </w:pPr>
      <w:r w:rsidRPr="000250FA">
        <w:rPr>
          <w:iCs/>
          <w:sz w:val="22"/>
          <w:szCs w:val="22"/>
        </w:rPr>
        <w:t xml:space="preserve">b) </w:t>
      </w:r>
      <w:r w:rsidRPr="000250FA">
        <w:rPr>
          <w:sz w:val="22"/>
          <w:szCs w:val="22"/>
        </w:rPr>
        <w:t>azzal, aki a Btk. 52. § (3) bekezdése szerinti foglalkozástól eltiltás hatálya alatt áll, vagy</w:t>
      </w:r>
    </w:p>
    <w:p w14:paraId="5CF76778" w14:textId="77777777" w:rsidR="00893D5B" w:rsidRPr="000250FA" w:rsidRDefault="00893D5B" w:rsidP="00893D5B">
      <w:pPr>
        <w:tabs>
          <w:tab w:val="left" w:pos="9781"/>
        </w:tabs>
        <w:ind w:left="708" w:right="-144"/>
        <w:jc w:val="both"/>
        <w:rPr>
          <w:sz w:val="22"/>
          <w:szCs w:val="22"/>
        </w:rPr>
      </w:pPr>
      <w:r w:rsidRPr="000250FA">
        <w:rPr>
          <w:iCs/>
          <w:sz w:val="22"/>
          <w:szCs w:val="22"/>
        </w:rPr>
        <w:t xml:space="preserve">c) </w:t>
      </w:r>
      <w:r w:rsidRPr="000250FA">
        <w:rPr>
          <w:sz w:val="22"/>
          <w:szCs w:val="22"/>
        </w:rPr>
        <w:t xml:space="preserve">azzal, aki az </w:t>
      </w:r>
      <w:r w:rsidRPr="000250FA">
        <w:rPr>
          <w:iCs/>
          <w:sz w:val="22"/>
          <w:szCs w:val="22"/>
        </w:rPr>
        <w:t xml:space="preserve">a) </w:t>
      </w:r>
      <w:r w:rsidRPr="000250FA">
        <w:rPr>
          <w:sz w:val="22"/>
          <w:szCs w:val="22"/>
        </w:rPr>
        <w:t>pontban meghatározott bűncselekmények elkövetése miatt kényszergyógykezelés alatt áll.</w:t>
      </w:r>
    </w:p>
    <w:p w14:paraId="1A4940E3" w14:textId="77777777" w:rsidR="00893D5B" w:rsidRPr="000250FA" w:rsidRDefault="00893D5B" w:rsidP="00893D5B">
      <w:pPr>
        <w:tabs>
          <w:tab w:val="left" w:pos="9781"/>
        </w:tabs>
        <w:ind w:left="708" w:right="-144"/>
        <w:jc w:val="both"/>
        <w:rPr>
          <w:sz w:val="22"/>
          <w:szCs w:val="22"/>
        </w:rPr>
      </w:pPr>
    </w:p>
    <w:p w14:paraId="074AF339"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33"/>
      </w:r>
      <w:r w:rsidRPr="000250FA">
        <w:rPr>
          <w:sz w:val="22"/>
          <w:szCs w:val="22"/>
        </w:rPr>
        <w:t xml:space="preserve"> Közalkalmazotti jogviszony nem létesíthető azzal, akivel szemben a (5) bekezdés </w:t>
      </w:r>
      <w:r w:rsidRPr="000250FA">
        <w:rPr>
          <w:iCs/>
          <w:sz w:val="22"/>
          <w:szCs w:val="22"/>
        </w:rPr>
        <w:t xml:space="preserve">a) </w:t>
      </w:r>
      <w:r w:rsidRPr="000250FA">
        <w:rPr>
          <w:sz w:val="22"/>
          <w:szCs w:val="22"/>
        </w:rPr>
        <w:t>pontjában meghatározott</w:t>
      </w:r>
    </w:p>
    <w:p w14:paraId="6161925E" w14:textId="77777777" w:rsidR="00893D5B" w:rsidRPr="000250FA" w:rsidRDefault="00893D5B" w:rsidP="00893D5B">
      <w:pPr>
        <w:tabs>
          <w:tab w:val="left" w:pos="9781"/>
        </w:tabs>
        <w:ind w:left="708" w:right="-144"/>
        <w:jc w:val="both"/>
        <w:rPr>
          <w:sz w:val="22"/>
          <w:szCs w:val="22"/>
        </w:rPr>
      </w:pPr>
      <w:proofErr w:type="gramStart"/>
      <w:r w:rsidRPr="000250FA">
        <w:rPr>
          <w:iCs/>
          <w:sz w:val="22"/>
          <w:szCs w:val="22"/>
        </w:rPr>
        <w:t>a</w:t>
      </w:r>
      <w:proofErr w:type="gramEnd"/>
      <w:r w:rsidRPr="000250FA">
        <w:rPr>
          <w:iCs/>
          <w:sz w:val="22"/>
          <w:szCs w:val="22"/>
        </w:rPr>
        <w:t xml:space="preserve">) </w:t>
      </w:r>
      <w:r w:rsidRPr="000250FA">
        <w:rPr>
          <w:sz w:val="22"/>
          <w:szCs w:val="22"/>
        </w:rPr>
        <w:t>szándékos bűncselekmény miatt végrehajtandó szabadságvesztést szabtak ki,</w:t>
      </w:r>
    </w:p>
    <w:p w14:paraId="773916FB" w14:textId="77777777" w:rsidR="00893D5B" w:rsidRPr="000250FA" w:rsidRDefault="00893D5B" w:rsidP="00893D5B">
      <w:pPr>
        <w:tabs>
          <w:tab w:val="left" w:pos="9781"/>
        </w:tabs>
        <w:ind w:left="708" w:right="-144"/>
        <w:jc w:val="both"/>
        <w:rPr>
          <w:sz w:val="22"/>
          <w:szCs w:val="22"/>
        </w:rPr>
      </w:pPr>
      <w:proofErr w:type="spellStart"/>
      <w:r w:rsidRPr="000250FA">
        <w:rPr>
          <w:iCs/>
          <w:sz w:val="22"/>
          <w:szCs w:val="22"/>
        </w:rPr>
        <w:t>aa</w:t>
      </w:r>
      <w:proofErr w:type="spellEnd"/>
      <w:r w:rsidRPr="000250FA">
        <w:rPr>
          <w:iCs/>
          <w:sz w:val="22"/>
          <w:szCs w:val="22"/>
        </w:rPr>
        <w:t xml:space="preserve">) </w:t>
      </w:r>
      <w:r w:rsidRPr="000250FA">
        <w:rPr>
          <w:sz w:val="22"/>
          <w:szCs w:val="22"/>
        </w:rPr>
        <w:t>öt évet el nem érő szabadságvesztés esetén a mentesítés beálltától számított öt évig,</w:t>
      </w:r>
    </w:p>
    <w:p w14:paraId="64339E88" w14:textId="77777777" w:rsidR="00893D5B" w:rsidRPr="000250FA" w:rsidRDefault="00893D5B" w:rsidP="00893D5B">
      <w:pPr>
        <w:tabs>
          <w:tab w:val="left" w:pos="9781"/>
        </w:tabs>
        <w:ind w:left="708" w:right="-144"/>
        <w:jc w:val="both"/>
        <w:rPr>
          <w:sz w:val="22"/>
          <w:szCs w:val="22"/>
        </w:rPr>
      </w:pPr>
      <w:proofErr w:type="gramStart"/>
      <w:r w:rsidRPr="000250FA">
        <w:rPr>
          <w:iCs/>
          <w:sz w:val="22"/>
          <w:szCs w:val="22"/>
        </w:rPr>
        <w:t>ab</w:t>
      </w:r>
      <w:proofErr w:type="gramEnd"/>
      <w:r w:rsidRPr="000250FA">
        <w:rPr>
          <w:iCs/>
          <w:sz w:val="22"/>
          <w:szCs w:val="22"/>
        </w:rPr>
        <w:t xml:space="preserve">) </w:t>
      </w:r>
      <w:proofErr w:type="spellStart"/>
      <w:r w:rsidRPr="000250FA">
        <w:rPr>
          <w:sz w:val="22"/>
          <w:szCs w:val="22"/>
        </w:rPr>
        <w:t>ötévi</w:t>
      </w:r>
      <w:proofErr w:type="spellEnd"/>
      <w:r w:rsidRPr="000250FA">
        <w:rPr>
          <w:sz w:val="22"/>
          <w:szCs w:val="22"/>
        </w:rPr>
        <w:t xml:space="preserve"> vagy azt meghaladó szabadságvesztés esetén a mentesítés beálltától számított nyolc évig;</w:t>
      </w:r>
    </w:p>
    <w:p w14:paraId="2B55B148" w14:textId="77777777" w:rsidR="00893D5B" w:rsidRPr="000250FA" w:rsidRDefault="00893D5B" w:rsidP="00893D5B">
      <w:pPr>
        <w:tabs>
          <w:tab w:val="left" w:pos="9781"/>
        </w:tabs>
        <w:ind w:left="708" w:right="-144"/>
        <w:jc w:val="both"/>
        <w:rPr>
          <w:sz w:val="22"/>
          <w:szCs w:val="22"/>
        </w:rPr>
      </w:pPr>
      <w:r w:rsidRPr="000250FA">
        <w:rPr>
          <w:iCs/>
          <w:sz w:val="22"/>
          <w:szCs w:val="22"/>
        </w:rPr>
        <w:t xml:space="preserve">b) </w:t>
      </w:r>
      <w:r w:rsidRPr="000250FA">
        <w:rPr>
          <w:sz w:val="22"/>
          <w:szCs w:val="22"/>
        </w:rPr>
        <w:t>szándékos bűncselekmény miatt közérdekű munkát vagy pénzbüntetést szabtak ki, a mentesítés beálltától számított két évig;</w:t>
      </w:r>
    </w:p>
    <w:p w14:paraId="117EE3E3" w14:textId="77777777" w:rsidR="00893D5B" w:rsidRPr="000250FA" w:rsidRDefault="00893D5B" w:rsidP="00893D5B">
      <w:pPr>
        <w:tabs>
          <w:tab w:val="left" w:pos="9781"/>
        </w:tabs>
        <w:ind w:left="708" w:right="-144"/>
        <w:jc w:val="both"/>
        <w:rPr>
          <w:sz w:val="22"/>
          <w:szCs w:val="22"/>
        </w:rPr>
      </w:pPr>
      <w:r w:rsidRPr="000250FA">
        <w:rPr>
          <w:iCs/>
          <w:sz w:val="22"/>
          <w:szCs w:val="22"/>
        </w:rPr>
        <w:t xml:space="preserve">c) </w:t>
      </w:r>
      <w:r w:rsidRPr="000250FA">
        <w:rPr>
          <w:sz w:val="22"/>
          <w:szCs w:val="22"/>
        </w:rPr>
        <w:t>szándékos bűncselekmény miatt végrehajtásában felfüggesztett szabadságvesztést szabtak ki, a mentesítés beálltától számított három évig.</w:t>
      </w:r>
    </w:p>
    <w:p w14:paraId="4BF92EF1" w14:textId="77777777" w:rsidR="00893D5B" w:rsidRPr="000250FA" w:rsidRDefault="00893D5B" w:rsidP="00893D5B">
      <w:pPr>
        <w:tabs>
          <w:tab w:val="left" w:pos="9781"/>
        </w:tabs>
        <w:ind w:left="708" w:right="-144"/>
        <w:jc w:val="both"/>
        <w:rPr>
          <w:strike/>
          <w:sz w:val="22"/>
          <w:szCs w:val="22"/>
        </w:rPr>
      </w:pPr>
    </w:p>
    <w:p w14:paraId="318AA539" w14:textId="77777777" w:rsidR="00893D5B" w:rsidRPr="000250FA" w:rsidRDefault="00893D5B" w:rsidP="00893D5B">
      <w:pPr>
        <w:tabs>
          <w:tab w:val="left" w:pos="9781"/>
        </w:tabs>
        <w:ind w:right="-144"/>
        <w:jc w:val="both"/>
        <w:rPr>
          <w:sz w:val="22"/>
          <w:szCs w:val="22"/>
        </w:rPr>
      </w:pPr>
      <w:r w:rsidRPr="000250FA">
        <w:rPr>
          <w:sz w:val="22"/>
          <w:szCs w:val="22"/>
        </w:rPr>
        <w:t xml:space="preserve">(7) </w:t>
      </w:r>
      <w:r w:rsidRPr="000250FA">
        <w:rPr>
          <w:rStyle w:val="Lbjegyzet-hivatkozs"/>
          <w:sz w:val="22"/>
          <w:szCs w:val="22"/>
        </w:rPr>
        <w:footnoteReference w:id="34"/>
      </w:r>
      <w:r w:rsidRPr="000250FA">
        <w:rPr>
          <w:sz w:val="22"/>
          <w:szCs w:val="22"/>
        </w:rPr>
        <w:t xml:space="preserve"> Nem létesíthető foglalkoztatásra irányuló jogviszony olyan személlyel, aki egy éven belül a Magyar Felsőoktatási Akkreditációs Bizottság Egyetemet érintő döntése meghozatalában részt vett.</w:t>
      </w:r>
    </w:p>
    <w:p w14:paraId="2EF15519" w14:textId="77777777" w:rsidR="00893D5B" w:rsidRPr="000250FA" w:rsidRDefault="00893D5B" w:rsidP="00893D5B">
      <w:pPr>
        <w:tabs>
          <w:tab w:val="left" w:pos="9781"/>
        </w:tabs>
        <w:ind w:left="708" w:right="-144"/>
        <w:jc w:val="both"/>
        <w:rPr>
          <w:sz w:val="22"/>
          <w:szCs w:val="22"/>
        </w:rPr>
      </w:pPr>
    </w:p>
    <w:p w14:paraId="7B5A6E4E" w14:textId="77777777" w:rsidR="00893D5B" w:rsidRPr="000250FA" w:rsidRDefault="00893D5B" w:rsidP="00893D5B">
      <w:pPr>
        <w:tabs>
          <w:tab w:val="left" w:pos="9781"/>
        </w:tabs>
        <w:ind w:right="-144"/>
        <w:jc w:val="both"/>
        <w:rPr>
          <w:sz w:val="22"/>
          <w:szCs w:val="22"/>
        </w:rPr>
      </w:pPr>
      <w:r w:rsidRPr="000250FA">
        <w:rPr>
          <w:b/>
          <w:sz w:val="22"/>
          <w:szCs w:val="22"/>
        </w:rPr>
        <w:t>4/A. §</w:t>
      </w:r>
      <w:r w:rsidRPr="000250FA">
        <w:rPr>
          <w:rStyle w:val="Lbjegyzet-hivatkozs"/>
          <w:b/>
          <w:sz w:val="22"/>
          <w:szCs w:val="22"/>
        </w:rPr>
        <w:footnoteReference w:id="35"/>
      </w:r>
      <w:r w:rsidRPr="00827537">
        <w:rPr>
          <w:sz w:val="22"/>
          <w:szCs w:val="22"/>
          <w:vertAlign w:val="superscript"/>
        </w:rPr>
        <w:t>,</w:t>
      </w:r>
      <w:r w:rsidRPr="000250FA">
        <w:rPr>
          <w:rStyle w:val="Lbjegyzet-hivatkozs"/>
          <w:b/>
          <w:sz w:val="22"/>
          <w:szCs w:val="22"/>
        </w:rPr>
        <w:footnoteReference w:id="36"/>
      </w:r>
      <w:r w:rsidRPr="000250FA">
        <w:rPr>
          <w:sz w:val="22"/>
          <w:szCs w:val="22"/>
        </w:rPr>
        <w:t xml:space="preserve"> (1) A közalkalmazotti jogviszonyt létesíteni szándékozó személy hatósági bizonyítvánnyal igazolja, hogy büntetlen előéletű,  továbbá, hogy nem áll a 4.§ (5) bekezdés szerinti büntetőeljárás hatálya alatt</w:t>
      </w:r>
    </w:p>
    <w:p w14:paraId="57469873" w14:textId="77777777" w:rsidR="00893D5B" w:rsidRPr="000250FA" w:rsidRDefault="00893D5B" w:rsidP="00893D5B">
      <w:pPr>
        <w:tabs>
          <w:tab w:val="left" w:pos="9781"/>
        </w:tabs>
        <w:ind w:right="-144"/>
        <w:jc w:val="both"/>
        <w:rPr>
          <w:sz w:val="22"/>
          <w:szCs w:val="22"/>
        </w:rPr>
      </w:pPr>
    </w:p>
    <w:p w14:paraId="4A536631"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37"/>
      </w:r>
      <w:r w:rsidRPr="000250FA">
        <w:rPr>
          <w:sz w:val="22"/>
          <w:szCs w:val="22"/>
        </w:rPr>
        <w:t xml:space="preserve"> Az Egyetem az (1) bekezdés szerinti feltétel ellenőrzése céljából kezeli a felsőoktatásban az (1) bekezdés szerinti személy azon személyes adatait, amelyeket a bűnügyi nyilvántartó szerv által kiállított hatósági bizonyítvány tartalmaz. A megismert személyes adatokat az Egyetem az alkalmazás létesítésével összefüggésben meghozott döntés időpontjáig vagy - alkalmazás esetén - annak megszűnését vagy megszüntetését követő hatodik hónap végéig kezeli.</w:t>
      </w:r>
    </w:p>
    <w:p w14:paraId="7C844DA6" w14:textId="77777777" w:rsidR="00893D5B" w:rsidRPr="000250FA" w:rsidRDefault="00893D5B" w:rsidP="00893D5B">
      <w:pPr>
        <w:tabs>
          <w:tab w:val="left" w:pos="9781"/>
        </w:tabs>
        <w:ind w:right="-144"/>
        <w:jc w:val="both"/>
        <w:rPr>
          <w:sz w:val="22"/>
          <w:szCs w:val="22"/>
        </w:rPr>
      </w:pPr>
    </w:p>
    <w:p w14:paraId="7AA3D010" w14:textId="77777777" w:rsidR="00893D5B" w:rsidRPr="000250FA" w:rsidRDefault="00893D5B" w:rsidP="00893D5B">
      <w:pPr>
        <w:jc w:val="both"/>
        <w:rPr>
          <w:bCs/>
          <w:sz w:val="22"/>
          <w:szCs w:val="22"/>
        </w:rPr>
      </w:pPr>
      <w:r w:rsidRPr="000250FA">
        <w:rPr>
          <w:b/>
          <w:sz w:val="22"/>
          <w:szCs w:val="22"/>
        </w:rPr>
        <w:t>5. §</w:t>
      </w:r>
      <w:r w:rsidRPr="000250FA">
        <w:rPr>
          <w:sz w:val="22"/>
          <w:szCs w:val="22"/>
        </w:rPr>
        <w:t xml:space="preserve"> (1) </w:t>
      </w:r>
      <w:r w:rsidRPr="000250FA">
        <w:rPr>
          <w:bCs/>
          <w:sz w:val="22"/>
          <w:szCs w:val="22"/>
        </w:rPr>
        <w:t>Közalkalmazotti jogviszony - a 107. § (2) bekezdésben meghatározott kivételektől eltekintve - pályázat alapján létesíthető. Csak olyan közalkalmazottat lehet kinevezni, aki a pályázaton részt vett és a pályázati feltételeknek megfelelt.</w:t>
      </w:r>
    </w:p>
    <w:p w14:paraId="7971F244" w14:textId="77777777" w:rsidR="00893D5B" w:rsidRPr="000250FA" w:rsidRDefault="00893D5B" w:rsidP="00893D5B">
      <w:pPr>
        <w:tabs>
          <w:tab w:val="left" w:pos="9781"/>
        </w:tabs>
        <w:autoSpaceDE w:val="0"/>
        <w:autoSpaceDN w:val="0"/>
        <w:adjustRightInd w:val="0"/>
        <w:ind w:right="-144"/>
        <w:jc w:val="both"/>
        <w:rPr>
          <w:sz w:val="22"/>
          <w:szCs w:val="22"/>
        </w:rPr>
      </w:pPr>
    </w:p>
    <w:p w14:paraId="23680FAB"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w:t>
      </w:r>
      <w:r w:rsidRPr="000250FA">
        <w:rPr>
          <w:rStyle w:val="Lbjegyzet-hivatkozs"/>
          <w:sz w:val="22"/>
          <w:szCs w:val="22"/>
        </w:rPr>
        <w:footnoteReference w:id="38"/>
      </w:r>
      <w:r w:rsidRPr="000250FA">
        <w:rPr>
          <w:sz w:val="22"/>
          <w:szCs w:val="22"/>
        </w:rPr>
        <w:t xml:space="preserve"> </w:t>
      </w:r>
      <w:r w:rsidRPr="000250FA">
        <w:rPr>
          <w:rStyle w:val="Lbjegyzet-hivatkozs"/>
          <w:sz w:val="22"/>
          <w:szCs w:val="22"/>
        </w:rPr>
        <w:footnoteReference w:id="39"/>
      </w:r>
      <w:r w:rsidRPr="000250FA">
        <w:rPr>
          <w:sz w:val="22"/>
          <w:szCs w:val="22"/>
        </w:rPr>
        <w:t>A pályázati eljárás részletes szabályait a Hatodik rész, valamint rektori és kancellári együttes utasítás határozza meg.</w:t>
      </w:r>
    </w:p>
    <w:p w14:paraId="6A2DDB6D" w14:textId="77777777" w:rsidR="00893D5B" w:rsidRPr="000250FA" w:rsidRDefault="00893D5B" w:rsidP="00893D5B">
      <w:pPr>
        <w:tabs>
          <w:tab w:val="left" w:pos="9781"/>
        </w:tabs>
        <w:ind w:right="-144"/>
        <w:jc w:val="both"/>
        <w:rPr>
          <w:sz w:val="22"/>
          <w:szCs w:val="22"/>
        </w:rPr>
      </w:pPr>
    </w:p>
    <w:p w14:paraId="7C47C94C" w14:textId="77777777" w:rsidR="00893D5B" w:rsidRPr="000250FA" w:rsidRDefault="00893D5B" w:rsidP="00893D5B">
      <w:pPr>
        <w:tabs>
          <w:tab w:val="left" w:pos="9781"/>
        </w:tabs>
        <w:ind w:right="-144"/>
        <w:jc w:val="both"/>
        <w:rPr>
          <w:sz w:val="22"/>
          <w:szCs w:val="22"/>
        </w:rPr>
      </w:pPr>
      <w:r w:rsidRPr="000250FA">
        <w:rPr>
          <w:b/>
          <w:bCs/>
          <w:sz w:val="22"/>
          <w:szCs w:val="22"/>
        </w:rPr>
        <w:t>5/</w:t>
      </w:r>
      <w:proofErr w:type="gramStart"/>
      <w:r w:rsidRPr="000250FA">
        <w:rPr>
          <w:b/>
          <w:bCs/>
          <w:sz w:val="22"/>
          <w:szCs w:val="22"/>
        </w:rPr>
        <w:t>A.</w:t>
      </w:r>
      <w:proofErr w:type="gramEnd"/>
      <w:r w:rsidRPr="000250FA">
        <w:rPr>
          <w:b/>
          <w:bCs/>
          <w:sz w:val="22"/>
          <w:szCs w:val="22"/>
        </w:rPr>
        <w:t xml:space="preserve"> § </w:t>
      </w:r>
      <w:r w:rsidRPr="000250FA">
        <w:rPr>
          <w:bCs/>
          <w:sz w:val="22"/>
          <w:szCs w:val="22"/>
        </w:rPr>
        <w:t xml:space="preserve">(1) A közalkalmazotti jogviszony határozatlan időre történő kinevezéssel és annak elfogadásával jön létre. </w:t>
      </w:r>
    </w:p>
    <w:p w14:paraId="69026D9B" w14:textId="77777777" w:rsidR="00893D5B" w:rsidRPr="000250FA" w:rsidRDefault="00893D5B" w:rsidP="00893D5B">
      <w:pPr>
        <w:tabs>
          <w:tab w:val="left" w:pos="9781"/>
        </w:tabs>
        <w:ind w:right="-144"/>
        <w:jc w:val="both"/>
        <w:rPr>
          <w:strike/>
          <w:sz w:val="22"/>
          <w:szCs w:val="22"/>
        </w:rPr>
      </w:pPr>
    </w:p>
    <w:p w14:paraId="1D33BD09" w14:textId="77777777" w:rsidR="00893D5B" w:rsidRPr="000250FA" w:rsidRDefault="00893D5B" w:rsidP="00893D5B">
      <w:pPr>
        <w:tabs>
          <w:tab w:val="left" w:pos="9781"/>
        </w:tabs>
        <w:ind w:right="-144"/>
        <w:jc w:val="both"/>
        <w:rPr>
          <w:sz w:val="22"/>
          <w:szCs w:val="22"/>
        </w:rPr>
      </w:pPr>
      <w:r w:rsidRPr="000250FA">
        <w:rPr>
          <w:sz w:val="22"/>
          <w:szCs w:val="22"/>
        </w:rPr>
        <w:lastRenderedPageBreak/>
        <w:t xml:space="preserve">(2) Az (1) bekezdéstől eltérően határozott idejű közalkalmazotti jogviszony létesíthető: </w:t>
      </w:r>
    </w:p>
    <w:p w14:paraId="64E7C10F" w14:textId="77777777" w:rsidR="00893D5B" w:rsidRPr="000250FA" w:rsidRDefault="00893D5B" w:rsidP="00893D5B">
      <w:pPr>
        <w:tabs>
          <w:tab w:val="left" w:pos="9781"/>
        </w:tabs>
        <w:ind w:left="561" w:right="-144"/>
        <w:jc w:val="both"/>
        <w:rPr>
          <w:sz w:val="22"/>
          <w:szCs w:val="22"/>
        </w:rPr>
      </w:pPr>
    </w:p>
    <w:p w14:paraId="29E63E88" w14:textId="77777777" w:rsidR="00893D5B" w:rsidRPr="000250FA" w:rsidRDefault="00893D5B" w:rsidP="00893D5B">
      <w:pPr>
        <w:tabs>
          <w:tab w:val="left" w:pos="9781"/>
        </w:tabs>
        <w:ind w:left="709" w:right="-144" w:hanging="283"/>
        <w:jc w:val="both"/>
        <w:rPr>
          <w:sz w:val="22"/>
          <w:szCs w:val="22"/>
        </w:rPr>
      </w:pPr>
      <w:proofErr w:type="gramStart"/>
      <w:r w:rsidRPr="000250FA">
        <w:rPr>
          <w:sz w:val="22"/>
          <w:szCs w:val="22"/>
        </w:rPr>
        <w:t>a</w:t>
      </w:r>
      <w:proofErr w:type="gramEnd"/>
      <w:r w:rsidRPr="000250FA">
        <w:rPr>
          <w:sz w:val="22"/>
          <w:szCs w:val="22"/>
        </w:rPr>
        <w:t>) helyettesítés céljából,</w:t>
      </w:r>
    </w:p>
    <w:p w14:paraId="00F9B855" w14:textId="77777777" w:rsidR="00893D5B" w:rsidRPr="000250FA" w:rsidRDefault="00893D5B" w:rsidP="00893D5B">
      <w:pPr>
        <w:tabs>
          <w:tab w:val="left" w:pos="9781"/>
        </w:tabs>
        <w:ind w:left="709" w:right="-144" w:hanging="283"/>
        <w:jc w:val="both"/>
        <w:rPr>
          <w:sz w:val="22"/>
          <w:szCs w:val="22"/>
        </w:rPr>
      </w:pPr>
      <w:r w:rsidRPr="000250FA">
        <w:rPr>
          <w:sz w:val="22"/>
          <w:szCs w:val="22"/>
        </w:rPr>
        <w:t xml:space="preserve">b) meghatározott munka elvégzésére, illetve feladat ellátására, </w:t>
      </w:r>
    </w:p>
    <w:p w14:paraId="07214EF4" w14:textId="77777777" w:rsidR="00893D5B" w:rsidRPr="000250FA" w:rsidRDefault="00893D5B" w:rsidP="00893D5B">
      <w:pPr>
        <w:tabs>
          <w:tab w:val="left" w:pos="9781"/>
        </w:tabs>
        <w:ind w:left="709" w:right="-144" w:hanging="283"/>
        <w:jc w:val="both"/>
        <w:rPr>
          <w:bCs/>
          <w:sz w:val="22"/>
          <w:szCs w:val="22"/>
        </w:rPr>
      </w:pPr>
      <w:r w:rsidRPr="000250FA">
        <w:rPr>
          <w:sz w:val="22"/>
          <w:szCs w:val="22"/>
        </w:rPr>
        <w:t xml:space="preserve">c) </w:t>
      </w:r>
      <w:r w:rsidRPr="000250FA">
        <w:rPr>
          <w:rStyle w:val="Lbjegyzet-hivatkozs"/>
          <w:sz w:val="22"/>
          <w:szCs w:val="22"/>
        </w:rPr>
        <w:footnoteReference w:id="40"/>
      </w:r>
    </w:p>
    <w:p w14:paraId="23DE915A" w14:textId="77777777" w:rsidR="00893D5B" w:rsidRPr="000250FA" w:rsidRDefault="00893D5B" w:rsidP="00893D5B">
      <w:pPr>
        <w:tabs>
          <w:tab w:val="left" w:pos="9781"/>
        </w:tabs>
        <w:ind w:left="709" w:right="-144" w:hanging="283"/>
        <w:jc w:val="both"/>
        <w:rPr>
          <w:sz w:val="22"/>
          <w:szCs w:val="22"/>
        </w:rPr>
      </w:pPr>
      <w:r w:rsidRPr="000250FA">
        <w:rPr>
          <w:sz w:val="22"/>
          <w:szCs w:val="22"/>
        </w:rPr>
        <w:t>d) egy alkalommal legfeljebb egy tanévre szóló egyetemi és főiskolai tanári, egyetemi és főiskolai docensi munkakör betöltésére (meghívott oktató).</w:t>
      </w:r>
    </w:p>
    <w:p w14:paraId="2C7AFD34" w14:textId="77777777" w:rsidR="00893D5B" w:rsidRPr="000250FA" w:rsidRDefault="00893D5B" w:rsidP="00893D5B">
      <w:pPr>
        <w:tabs>
          <w:tab w:val="left" w:pos="9781"/>
        </w:tabs>
        <w:ind w:right="-144"/>
        <w:jc w:val="both"/>
        <w:rPr>
          <w:bCs/>
          <w:sz w:val="22"/>
          <w:szCs w:val="22"/>
        </w:rPr>
      </w:pPr>
    </w:p>
    <w:p w14:paraId="05508B60" w14:textId="77777777" w:rsidR="00893D5B" w:rsidRPr="000250FA" w:rsidRDefault="00893D5B" w:rsidP="00893D5B">
      <w:pPr>
        <w:tabs>
          <w:tab w:val="left" w:pos="9781"/>
        </w:tabs>
        <w:ind w:right="-144"/>
        <w:jc w:val="both"/>
        <w:rPr>
          <w:bCs/>
          <w:sz w:val="22"/>
          <w:szCs w:val="22"/>
        </w:rPr>
      </w:pPr>
      <w:r w:rsidRPr="000250FA">
        <w:rPr>
          <w:bCs/>
          <w:sz w:val="22"/>
          <w:szCs w:val="22"/>
        </w:rPr>
        <w:t>(3)</w:t>
      </w:r>
      <w:r w:rsidRPr="000250FA">
        <w:rPr>
          <w:rStyle w:val="Lbjegyzet-hivatkozs"/>
          <w:bCs/>
          <w:sz w:val="22"/>
          <w:szCs w:val="22"/>
        </w:rPr>
        <w:footnoteReference w:id="41"/>
      </w:r>
      <w:r w:rsidRPr="000250FA">
        <w:rPr>
          <w:bCs/>
          <w:sz w:val="22"/>
          <w:szCs w:val="22"/>
        </w:rPr>
        <w:t xml:space="preserve"> Határozott idejű közalkalmazotti jogviszony létesítése esetén annak tartamát </w:t>
      </w:r>
      <w:proofErr w:type="spellStart"/>
      <w:r w:rsidRPr="000250FA">
        <w:rPr>
          <w:bCs/>
          <w:sz w:val="22"/>
          <w:szCs w:val="22"/>
        </w:rPr>
        <w:t>naptárilag</w:t>
      </w:r>
      <w:proofErr w:type="spellEnd"/>
      <w:r w:rsidRPr="000250FA">
        <w:rPr>
          <w:bCs/>
          <w:sz w:val="22"/>
          <w:szCs w:val="22"/>
        </w:rPr>
        <w:t xml:space="preserve">, vagy más alkalmas módon kell meghatározni. A közalkalmazotti jogviszonyt határozatlan </w:t>
      </w:r>
      <w:proofErr w:type="spellStart"/>
      <w:r w:rsidRPr="000250FA">
        <w:rPr>
          <w:bCs/>
          <w:sz w:val="22"/>
          <w:szCs w:val="22"/>
        </w:rPr>
        <w:t>idejűnek</w:t>
      </w:r>
      <w:proofErr w:type="spellEnd"/>
      <w:r w:rsidRPr="000250FA">
        <w:rPr>
          <w:bCs/>
          <w:sz w:val="22"/>
          <w:szCs w:val="22"/>
        </w:rPr>
        <w:t xml:space="preserve"> kell tekinteni, ha a határozott idejű közalkalmazotti jogviszony nem felel meg a (2) bekezdés a- b) pontjaiban foglalt feltételeknek.</w:t>
      </w:r>
    </w:p>
    <w:p w14:paraId="7DFF84AD" w14:textId="77777777" w:rsidR="00893D5B" w:rsidRPr="000250FA" w:rsidRDefault="00893D5B" w:rsidP="00893D5B">
      <w:pPr>
        <w:tabs>
          <w:tab w:val="left" w:pos="9781"/>
        </w:tabs>
        <w:ind w:right="-144"/>
        <w:jc w:val="both"/>
        <w:rPr>
          <w:bCs/>
          <w:sz w:val="22"/>
          <w:szCs w:val="22"/>
        </w:rPr>
      </w:pPr>
    </w:p>
    <w:p w14:paraId="4E91DC24" w14:textId="77777777" w:rsidR="00893D5B" w:rsidRPr="000250FA" w:rsidRDefault="00893D5B" w:rsidP="00893D5B">
      <w:pPr>
        <w:tabs>
          <w:tab w:val="left" w:pos="9781"/>
        </w:tabs>
        <w:ind w:right="-144"/>
        <w:jc w:val="both"/>
        <w:rPr>
          <w:bCs/>
          <w:sz w:val="22"/>
          <w:szCs w:val="22"/>
        </w:rPr>
      </w:pPr>
      <w:r w:rsidRPr="000250FA">
        <w:rPr>
          <w:bCs/>
          <w:sz w:val="22"/>
          <w:szCs w:val="22"/>
        </w:rPr>
        <w:t xml:space="preserve">(4) A kinevezést és annak elfogadását írásba kell foglalni. A kinevezési okmánynak tartalmaznia kell a közalkalmazott: </w:t>
      </w:r>
    </w:p>
    <w:p w14:paraId="4CB739E7" w14:textId="77777777" w:rsidR="00893D5B" w:rsidRPr="000250FA" w:rsidRDefault="00893D5B" w:rsidP="00893D5B">
      <w:pPr>
        <w:tabs>
          <w:tab w:val="left" w:pos="9781"/>
        </w:tabs>
        <w:ind w:right="-144"/>
        <w:jc w:val="both"/>
        <w:rPr>
          <w:sz w:val="22"/>
          <w:szCs w:val="22"/>
        </w:rPr>
      </w:pPr>
    </w:p>
    <w:p w14:paraId="2C35312E" w14:textId="77777777" w:rsidR="00893D5B" w:rsidRPr="000250FA" w:rsidRDefault="00893D5B" w:rsidP="00893D5B">
      <w:pPr>
        <w:ind w:left="709" w:hanging="283"/>
        <w:jc w:val="both"/>
        <w:rPr>
          <w:bCs/>
          <w:sz w:val="22"/>
          <w:szCs w:val="22"/>
        </w:rPr>
      </w:pPr>
      <w:proofErr w:type="gramStart"/>
      <w:r w:rsidRPr="000250FA">
        <w:rPr>
          <w:bCs/>
          <w:sz w:val="22"/>
          <w:szCs w:val="22"/>
        </w:rPr>
        <w:t>a</w:t>
      </w:r>
      <w:proofErr w:type="gramEnd"/>
      <w:r w:rsidRPr="000250FA">
        <w:rPr>
          <w:bCs/>
          <w:sz w:val="22"/>
          <w:szCs w:val="22"/>
        </w:rPr>
        <w:t xml:space="preserve">) besorolásának alapjául szolgáló fizetési osztályt és fokozatot, illetményét, </w:t>
      </w:r>
    </w:p>
    <w:p w14:paraId="0FAC7885" w14:textId="77777777" w:rsidR="00893D5B" w:rsidRPr="000250FA" w:rsidRDefault="00893D5B" w:rsidP="00893D5B">
      <w:pPr>
        <w:ind w:left="709" w:hanging="283"/>
        <w:jc w:val="both"/>
        <w:rPr>
          <w:bCs/>
          <w:sz w:val="22"/>
          <w:szCs w:val="22"/>
        </w:rPr>
      </w:pPr>
      <w:r w:rsidRPr="000250FA">
        <w:rPr>
          <w:bCs/>
          <w:sz w:val="22"/>
          <w:szCs w:val="22"/>
        </w:rPr>
        <w:t>b) munkakörét,</w:t>
      </w:r>
    </w:p>
    <w:p w14:paraId="669852BE" w14:textId="77777777" w:rsidR="00893D5B" w:rsidRPr="000250FA" w:rsidRDefault="00893D5B" w:rsidP="00893D5B">
      <w:pPr>
        <w:ind w:left="709" w:hanging="283"/>
        <w:jc w:val="both"/>
        <w:rPr>
          <w:bCs/>
          <w:i/>
          <w:sz w:val="22"/>
          <w:szCs w:val="22"/>
        </w:rPr>
      </w:pPr>
      <w:r w:rsidRPr="000250FA">
        <w:rPr>
          <w:bCs/>
          <w:sz w:val="22"/>
          <w:szCs w:val="22"/>
        </w:rPr>
        <w:t xml:space="preserve">c) </w:t>
      </w:r>
      <w:r w:rsidRPr="000250FA">
        <w:rPr>
          <w:rStyle w:val="Lbjegyzet-hivatkozs"/>
          <w:bCs/>
          <w:sz w:val="22"/>
          <w:szCs w:val="22"/>
        </w:rPr>
        <w:footnoteReference w:id="42"/>
      </w:r>
      <w:r w:rsidRPr="000250FA">
        <w:rPr>
          <w:bCs/>
          <w:i/>
          <w:sz w:val="22"/>
          <w:szCs w:val="22"/>
        </w:rPr>
        <w:t xml:space="preserve"> </w:t>
      </w:r>
      <w:r w:rsidRPr="000250FA">
        <w:rPr>
          <w:bCs/>
          <w:sz w:val="22"/>
          <w:szCs w:val="22"/>
        </w:rPr>
        <w:t>munkavégzés helyét,</w:t>
      </w:r>
    </w:p>
    <w:p w14:paraId="7CAB2759" w14:textId="77777777" w:rsidR="00893D5B" w:rsidRPr="000250FA" w:rsidRDefault="00893D5B" w:rsidP="00893D5B">
      <w:pPr>
        <w:ind w:left="709" w:hanging="283"/>
        <w:jc w:val="both"/>
        <w:rPr>
          <w:bCs/>
          <w:sz w:val="22"/>
          <w:szCs w:val="22"/>
        </w:rPr>
      </w:pPr>
      <w:r w:rsidRPr="000250FA">
        <w:rPr>
          <w:bCs/>
          <w:sz w:val="22"/>
          <w:szCs w:val="22"/>
        </w:rPr>
        <w:t xml:space="preserve">d) </w:t>
      </w:r>
      <w:r w:rsidRPr="000250FA">
        <w:rPr>
          <w:rStyle w:val="Lbjegyzet-hivatkozs"/>
          <w:bCs/>
          <w:sz w:val="22"/>
          <w:szCs w:val="22"/>
        </w:rPr>
        <w:footnoteReference w:id="43"/>
      </w:r>
    </w:p>
    <w:p w14:paraId="4D1189DA" w14:textId="77777777" w:rsidR="00893D5B" w:rsidRPr="000250FA" w:rsidRDefault="00893D5B" w:rsidP="00893D5B">
      <w:pPr>
        <w:rPr>
          <w:b/>
          <w:bCs/>
          <w:sz w:val="22"/>
          <w:szCs w:val="22"/>
        </w:rPr>
      </w:pPr>
    </w:p>
    <w:p w14:paraId="34E2483D" w14:textId="77777777" w:rsidR="00893D5B" w:rsidRPr="000250FA" w:rsidRDefault="00893D5B" w:rsidP="00893D5B">
      <w:pPr>
        <w:tabs>
          <w:tab w:val="left" w:pos="9781"/>
        </w:tabs>
        <w:ind w:right="-144"/>
        <w:jc w:val="both"/>
        <w:rPr>
          <w:sz w:val="22"/>
          <w:szCs w:val="22"/>
        </w:rPr>
      </w:pPr>
      <w:r w:rsidRPr="000250FA">
        <w:rPr>
          <w:sz w:val="22"/>
          <w:szCs w:val="22"/>
        </w:rPr>
        <w:t>(5) A kinevezési okmány a jogviszonnyal kapcsolatos egyéb kérdésekről is rendelkezhet.</w:t>
      </w:r>
    </w:p>
    <w:p w14:paraId="67FA100B" w14:textId="77777777" w:rsidR="00893D5B" w:rsidRPr="000250FA" w:rsidRDefault="00893D5B" w:rsidP="00893D5B">
      <w:pPr>
        <w:tabs>
          <w:tab w:val="left" w:pos="9781"/>
        </w:tabs>
        <w:ind w:right="-144"/>
        <w:jc w:val="both"/>
        <w:rPr>
          <w:b/>
          <w:i/>
          <w:sz w:val="22"/>
          <w:szCs w:val="22"/>
        </w:rPr>
      </w:pPr>
    </w:p>
    <w:p w14:paraId="7F466590"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44"/>
      </w:r>
      <w:r w:rsidRPr="000250FA">
        <w:rPr>
          <w:sz w:val="22"/>
          <w:szCs w:val="22"/>
        </w:rPr>
        <w:t xml:space="preserve"> Az illetmény vonatkozásában a kinevezési okmány tartalmát jelen szabályzat 133. § (2) bekezdés és 134. § (3) bekezdése határozza meg. Ettől érvényesen eltérni nem lehet.</w:t>
      </w:r>
    </w:p>
    <w:p w14:paraId="4AB330E9" w14:textId="77777777" w:rsidR="00893D5B" w:rsidRPr="000250FA" w:rsidRDefault="00893D5B" w:rsidP="00893D5B">
      <w:pPr>
        <w:tabs>
          <w:tab w:val="left" w:pos="9781"/>
        </w:tabs>
        <w:ind w:right="-144"/>
        <w:jc w:val="both"/>
        <w:rPr>
          <w:sz w:val="22"/>
          <w:szCs w:val="22"/>
        </w:rPr>
      </w:pPr>
    </w:p>
    <w:p w14:paraId="57682E30" w14:textId="6946878A" w:rsidR="00893D5B" w:rsidRPr="000250FA" w:rsidRDefault="00893D5B" w:rsidP="00893D5B">
      <w:pPr>
        <w:tabs>
          <w:tab w:val="left" w:pos="9781"/>
        </w:tabs>
        <w:ind w:right="-144"/>
        <w:jc w:val="both"/>
        <w:rPr>
          <w:sz w:val="22"/>
          <w:szCs w:val="22"/>
        </w:rPr>
      </w:pPr>
      <w:r w:rsidRPr="000250FA">
        <w:rPr>
          <w:b/>
          <w:sz w:val="22"/>
          <w:szCs w:val="22"/>
        </w:rPr>
        <w:t>6. §</w:t>
      </w:r>
      <w:r w:rsidRPr="000250FA">
        <w:rPr>
          <w:sz w:val="22"/>
          <w:szCs w:val="22"/>
        </w:rPr>
        <w:t xml:space="preserve"> (1)</w:t>
      </w:r>
      <w:r w:rsidRPr="000250FA">
        <w:rPr>
          <w:rStyle w:val="Lbjegyzet-hivatkozs"/>
          <w:sz w:val="22"/>
          <w:szCs w:val="22"/>
        </w:rPr>
        <w:footnoteReference w:id="45"/>
      </w:r>
      <w:r w:rsidRPr="000250FA">
        <w:rPr>
          <w:sz w:val="22"/>
          <w:szCs w:val="22"/>
        </w:rPr>
        <w:t xml:space="preserve"> </w:t>
      </w:r>
      <w:r w:rsidRPr="000250FA">
        <w:rPr>
          <w:rStyle w:val="Lbjegyzet-hivatkozs"/>
          <w:sz w:val="22"/>
          <w:szCs w:val="22"/>
        </w:rPr>
        <w:footnoteReference w:id="46"/>
      </w:r>
      <w:r w:rsidRPr="000250FA">
        <w:rPr>
          <w:sz w:val="22"/>
          <w:szCs w:val="22"/>
        </w:rPr>
        <w:t xml:space="preserve"> </w:t>
      </w:r>
      <w:r w:rsidRPr="000250FA">
        <w:rPr>
          <w:rStyle w:val="Lbjegyzet-hivatkozs"/>
          <w:sz w:val="22"/>
          <w:szCs w:val="22"/>
        </w:rPr>
        <w:footnoteReference w:id="47"/>
      </w:r>
      <w:r w:rsidRPr="000250FA">
        <w:rPr>
          <w:sz w:val="22"/>
          <w:szCs w:val="22"/>
        </w:rPr>
        <w:t>A munkáltató köteles valamennyi közalkalmazott részére a kinevezéssel egyidejűleg munkaköri leírást készíteni. A munkaköri leírást a munkakörhöz kapcsolódó egyetemi szabályok figyelembe vételével a munkáltatói jogkör gyakorlója határozza meg a PTE munkaköri mátrixának megfelelő formában és tartalommal és azt a közalkalmazotti jogviszony kezdetétől számított, illetőleg a munkaköri feladatokat érintő módosítás esetén 15 napon</w:t>
      </w:r>
      <w:r w:rsidRPr="000250FA">
        <w:rPr>
          <w:b/>
          <w:i/>
          <w:sz w:val="22"/>
          <w:szCs w:val="22"/>
        </w:rPr>
        <w:t xml:space="preserve"> </w:t>
      </w:r>
      <w:r w:rsidRPr="000250FA">
        <w:rPr>
          <w:sz w:val="22"/>
          <w:szCs w:val="22"/>
        </w:rPr>
        <w:t xml:space="preserve">belül a közalkalmazottal írásban közli. A munkaköri leírás átvételét a közalkalmazott aláírásával igazolja. A munkaköri leírás egy eredeti példányát a Humánpolitikai </w:t>
      </w:r>
      <w:r w:rsidR="00154DF0" w:rsidRPr="00BD6AF1">
        <w:rPr>
          <w:bCs/>
          <w:iCs/>
          <w:sz w:val="22"/>
          <w:szCs w:val="22"/>
        </w:rPr>
        <w:t>Főosztályhoz</w:t>
      </w:r>
      <w:r w:rsidR="00154DF0">
        <w:rPr>
          <w:sz w:val="22"/>
          <w:szCs w:val="22"/>
        </w:rPr>
        <w:t xml:space="preserve"> </w:t>
      </w:r>
      <w:r w:rsidRPr="000250FA">
        <w:rPr>
          <w:sz w:val="22"/>
          <w:szCs w:val="22"/>
        </w:rPr>
        <w:t xml:space="preserve">haladéktalanul el kell juttatni megőrzés céljából. A munkaköri leírásban a kinevezés szerinti munkakör mellett – amennyiben az szükséges és indokolt - annak </w:t>
      </w:r>
      <w:proofErr w:type="gramStart"/>
      <w:r w:rsidRPr="000250FA">
        <w:rPr>
          <w:sz w:val="22"/>
          <w:szCs w:val="22"/>
        </w:rPr>
        <w:t>specifikációját</w:t>
      </w:r>
      <w:proofErr w:type="gramEnd"/>
      <w:r w:rsidRPr="000250FA">
        <w:rPr>
          <w:sz w:val="22"/>
          <w:szCs w:val="22"/>
        </w:rPr>
        <w:t xml:space="preserve"> jelentő beosztást is fel kell tüntetni és a kinevezés szerinti munkakör munkaköri feladatain túl a beosztás specifikált feladatait is meg kell határozni. Amennyiben a közalkalmazott átmenetileg (más munkahelyen és/vagy más munkakörben) végez olyan feladatot, amely munkaköri leírásában meghatározottakhoz képest eltérő, az adott tevékenységre vonatkozó szabályokat vele írásban közölni kell. A munkaköri leírás mintát a HR Kézikönyv tartalmazza.</w:t>
      </w:r>
    </w:p>
    <w:p w14:paraId="52C0D595" w14:textId="77777777" w:rsidR="00893D5B" w:rsidRPr="000250FA" w:rsidRDefault="00893D5B" w:rsidP="00893D5B">
      <w:pPr>
        <w:tabs>
          <w:tab w:val="left" w:pos="9781"/>
        </w:tabs>
        <w:ind w:right="-144"/>
        <w:jc w:val="both"/>
        <w:rPr>
          <w:sz w:val="22"/>
          <w:szCs w:val="22"/>
        </w:rPr>
      </w:pPr>
    </w:p>
    <w:p w14:paraId="4ACE8F6B"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48"/>
      </w:r>
      <w:r w:rsidRPr="000250FA">
        <w:rPr>
          <w:sz w:val="22"/>
          <w:szCs w:val="22"/>
        </w:rPr>
        <w:t xml:space="preserve"> </w:t>
      </w:r>
      <w:r w:rsidRPr="000250FA">
        <w:rPr>
          <w:rStyle w:val="Lbjegyzet-hivatkozs"/>
          <w:sz w:val="22"/>
          <w:szCs w:val="22"/>
        </w:rPr>
        <w:footnoteReference w:id="49"/>
      </w:r>
      <w:r w:rsidRPr="000250FA">
        <w:rPr>
          <w:sz w:val="22"/>
          <w:szCs w:val="22"/>
        </w:rPr>
        <w:t xml:space="preserve"> A munkaköri leírásnak tartalmaznia kell különösen: </w:t>
      </w:r>
    </w:p>
    <w:p w14:paraId="7160D0FD" w14:textId="77777777" w:rsidR="00893D5B" w:rsidRPr="000250FA" w:rsidRDefault="00893D5B" w:rsidP="00893D5B">
      <w:pPr>
        <w:tabs>
          <w:tab w:val="left" w:pos="9781"/>
        </w:tabs>
        <w:ind w:left="561" w:right="-144"/>
        <w:jc w:val="both"/>
        <w:rPr>
          <w:sz w:val="22"/>
          <w:szCs w:val="22"/>
        </w:rPr>
      </w:pPr>
    </w:p>
    <w:p w14:paraId="2A3E60F0" w14:textId="77777777" w:rsidR="00893D5B" w:rsidRPr="000250FA" w:rsidRDefault="00893D5B" w:rsidP="00912564">
      <w:pPr>
        <w:numPr>
          <w:ilvl w:val="0"/>
          <w:numId w:val="4"/>
        </w:numPr>
        <w:jc w:val="both"/>
        <w:rPr>
          <w:sz w:val="22"/>
          <w:szCs w:val="22"/>
        </w:rPr>
      </w:pPr>
      <w:r w:rsidRPr="000250FA">
        <w:rPr>
          <w:sz w:val="22"/>
          <w:szCs w:val="22"/>
        </w:rPr>
        <w:lastRenderedPageBreak/>
        <w:t xml:space="preserve">a közalkalmazott munkakörének megnevezését és munkaköri beosztását (ha az a munkaköri megnevezéstől eltér), a munkakör és beosztás célját, valamint az ellátandó feladatok részletezését, </w:t>
      </w:r>
    </w:p>
    <w:p w14:paraId="3619A7BD" w14:textId="77777777" w:rsidR="00893D5B" w:rsidRPr="000250FA" w:rsidRDefault="00893D5B" w:rsidP="00912564">
      <w:pPr>
        <w:numPr>
          <w:ilvl w:val="0"/>
          <w:numId w:val="4"/>
        </w:numPr>
        <w:jc w:val="both"/>
        <w:rPr>
          <w:sz w:val="22"/>
          <w:szCs w:val="22"/>
        </w:rPr>
      </w:pPr>
      <w:r w:rsidRPr="000250FA">
        <w:rPr>
          <w:sz w:val="22"/>
          <w:szCs w:val="22"/>
        </w:rPr>
        <w:t>munkakörrel</w:t>
      </w:r>
      <w:r w:rsidRPr="000250FA">
        <w:t xml:space="preserve">, </w:t>
      </w:r>
      <w:r w:rsidRPr="000250FA">
        <w:rPr>
          <w:sz w:val="22"/>
          <w:szCs w:val="22"/>
        </w:rPr>
        <w:t>beosztással társult felelősséget.</w:t>
      </w:r>
    </w:p>
    <w:p w14:paraId="1144BB41" w14:textId="77777777" w:rsidR="00893D5B" w:rsidRPr="000250FA" w:rsidRDefault="00893D5B" w:rsidP="00893D5B">
      <w:pPr>
        <w:tabs>
          <w:tab w:val="left" w:pos="9781"/>
        </w:tabs>
        <w:ind w:right="-144"/>
        <w:jc w:val="both"/>
        <w:rPr>
          <w:sz w:val="22"/>
          <w:szCs w:val="22"/>
        </w:rPr>
      </w:pPr>
    </w:p>
    <w:p w14:paraId="14D06BEE" w14:textId="77777777" w:rsidR="00893D5B" w:rsidRPr="000250FA" w:rsidRDefault="00893D5B" w:rsidP="00893D5B">
      <w:pPr>
        <w:tabs>
          <w:tab w:val="left" w:pos="9781"/>
        </w:tabs>
        <w:ind w:right="-144"/>
        <w:jc w:val="both"/>
        <w:rPr>
          <w:b/>
          <w:i/>
          <w:sz w:val="22"/>
          <w:szCs w:val="22"/>
        </w:rPr>
      </w:pPr>
      <w:r w:rsidRPr="000250FA">
        <w:rPr>
          <w:sz w:val="22"/>
          <w:szCs w:val="22"/>
        </w:rPr>
        <w:t>(3) A munkaköri leírást szükség szerint, de legalább évente felül kell vizsgálni, és indokolt esetben a szükséges módosításokat el kell végezni. A munkaköri leírások elkészítésénél és módosításánál, valamint felülvizsgálatánál jelen szabályzat 2/</w:t>
      </w:r>
      <w:proofErr w:type="gramStart"/>
      <w:r w:rsidRPr="000250FA">
        <w:rPr>
          <w:sz w:val="22"/>
          <w:szCs w:val="22"/>
        </w:rPr>
        <w:t>A</w:t>
      </w:r>
      <w:proofErr w:type="gramEnd"/>
      <w:r w:rsidRPr="000250FA">
        <w:rPr>
          <w:sz w:val="22"/>
          <w:szCs w:val="22"/>
        </w:rPr>
        <w:t>. § szerint kell eljárni.</w:t>
      </w:r>
    </w:p>
    <w:p w14:paraId="1AC94F99" w14:textId="77777777" w:rsidR="00893D5B" w:rsidRPr="000250FA" w:rsidRDefault="00893D5B" w:rsidP="00893D5B">
      <w:pPr>
        <w:tabs>
          <w:tab w:val="left" w:pos="9781"/>
        </w:tabs>
        <w:ind w:right="-144"/>
        <w:jc w:val="both"/>
        <w:rPr>
          <w:sz w:val="22"/>
          <w:szCs w:val="22"/>
        </w:rPr>
      </w:pPr>
    </w:p>
    <w:p w14:paraId="37FF54A8" w14:textId="77777777" w:rsidR="00893D5B" w:rsidRPr="000250FA" w:rsidRDefault="00893D5B" w:rsidP="00893D5B">
      <w:pPr>
        <w:tabs>
          <w:tab w:val="left" w:pos="9781"/>
        </w:tabs>
        <w:ind w:right="-144"/>
        <w:jc w:val="both"/>
        <w:rPr>
          <w:sz w:val="22"/>
          <w:szCs w:val="22"/>
        </w:rPr>
      </w:pPr>
      <w:r w:rsidRPr="000250FA">
        <w:rPr>
          <w:sz w:val="22"/>
          <w:szCs w:val="22"/>
        </w:rPr>
        <w:t>(4)</w:t>
      </w:r>
      <w:r w:rsidRPr="000250FA">
        <w:rPr>
          <w:sz w:val="22"/>
          <w:szCs w:val="22"/>
          <w:vertAlign w:val="superscript"/>
        </w:rPr>
        <w:footnoteReference w:id="50"/>
      </w:r>
      <w:r w:rsidRPr="000250FA">
        <w:rPr>
          <w:sz w:val="22"/>
          <w:szCs w:val="22"/>
        </w:rPr>
        <w:t xml:space="preserve"> </w:t>
      </w:r>
      <w:r w:rsidRPr="000250FA">
        <w:rPr>
          <w:rStyle w:val="Lbjegyzet-hivatkozs"/>
          <w:sz w:val="22"/>
          <w:szCs w:val="22"/>
        </w:rPr>
        <w:footnoteReference w:id="51"/>
      </w:r>
      <w:r w:rsidRPr="000250FA">
        <w:rPr>
          <w:sz w:val="22"/>
          <w:szCs w:val="22"/>
        </w:rPr>
        <w:t xml:space="preserve">A munkaköri leíráshoz Előlap és kiegészítő rendelkezések </w:t>
      </w:r>
      <w:proofErr w:type="gramStart"/>
      <w:r w:rsidRPr="000250FA">
        <w:rPr>
          <w:sz w:val="22"/>
          <w:szCs w:val="22"/>
        </w:rPr>
        <w:t>dokumentum</w:t>
      </w:r>
      <w:proofErr w:type="gramEnd"/>
      <w:r w:rsidRPr="000250FA">
        <w:rPr>
          <w:sz w:val="22"/>
          <w:szCs w:val="22"/>
        </w:rPr>
        <w:t xml:space="preserve"> kapcsolódik, mely a munkakör (beosztást) és a munkakört betöltő személyt rendeli egymáshoz. E </w:t>
      </w:r>
      <w:proofErr w:type="gramStart"/>
      <w:r w:rsidRPr="000250FA">
        <w:rPr>
          <w:sz w:val="22"/>
          <w:szCs w:val="22"/>
        </w:rPr>
        <w:t>dokumentum</w:t>
      </w:r>
      <w:proofErr w:type="gramEnd"/>
      <w:r w:rsidRPr="000250FA">
        <w:rPr>
          <w:sz w:val="22"/>
          <w:szCs w:val="22"/>
        </w:rPr>
        <w:t xml:space="preserve"> tartalmazza különösen:</w:t>
      </w:r>
    </w:p>
    <w:p w14:paraId="595F9416" w14:textId="77777777" w:rsidR="00893D5B" w:rsidRPr="000250FA" w:rsidRDefault="00893D5B" w:rsidP="00F83E93">
      <w:pPr>
        <w:numPr>
          <w:ilvl w:val="0"/>
          <w:numId w:val="133"/>
        </w:numPr>
        <w:jc w:val="both"/>
        <w:rPr>
          <w:sz w:val="22"/>
          <w:szCs w:val="22"/>
        </w:rPr>
      </w:pPr>
      <w:r w:rsidRPr="000250FA">
        <w:rPr>
          <w:sz w:val="22"/>
          <w:szCs w:val="22"/>
        </w:rPr>
        <w:tab/>
        <w:t xml:space="preserve">a </w:t>
      </w:r>
      <w:proofErr w:type="spellStart"/>
      <w:r w:rsidRPr="000250FA">
        <w:rPr>
          <w:sz w:val="22"/>
          <w:szCs w:val="22"/>
        </w:rPr>
        <w:t>függelmi</w:t>
      </w:r>
      <w:proofErr w:type="spellEnd"/>
      <w:r w:rsidRPr="000250FA">
        <w:rPr>
          <w:sz w:val="22"/>
          <w:szCs w:val="22"/>
        </w:rPr>
        <w:t xml:space="preserve"> viszonyokat,</w:t>
      </w:r>
    </w:p>
    <w:p w14:paraId="42C0EEC7" w14:textId="77777777" w:rsidR="00893D5B" w:rsidRPr="000250FA" w:rsidRDefault="00893D5B" w:rsidP="00F83E93">
      <w:pPr>
        <w:numPr>
          <w:ilvl w:val="0"/>
          <w:numId w:val="133"/>
        </w:numPr>
        <w:jc w:val="both"/>
        <w:rPr>
          <w:sz w:val="22"/>
          <w:szCs w:val="22"/>
        </w:rPr>
      </w:pPr>
      <w:r w:rsidRPr="000250FA">
        <w:rPr>
          <w:sz w:val="22"/>
          <w:szCs w:val="22"/>
        </w:rPr>
        <w:tab/>
        <w:t>a helyettesítésre vonatkozó rendelkezéseket,</w:t>
      </w:r>
    </w:p>
    <w:p w14:paraId="7E951983" w14:textId="77777777" w:rsidR="00893D5B" w:rsidRPr="000250FA" w:rsidRDefault="00893D5B" w:rsidP="00912564">
      <w:pPr>
        <w:numPr>
          <w:ilvl w:val="0"/>
          <w:numId w:val="4"/>
        </w:numPr>
        <w:ind w:left="709" w:firstLine="0"/>
        <w:jc w:val="both"/>
        <w:rPr>
          <w:sz w:val="22"/>
          <w:szCs w:val="22"/>
        </w:rPr>
      </w:pPr>
      <w:r w:rsidRPr="000250FA">
        <w:rPr>
          <w:sz w:val="22"/>
          <w:szCs w:val="22"/>
        </w:rPr>
        <w:t>kiegészítő rendelkezéseket a munkaköri leírásban meghatározott feladatokhoz képest.</w:t>
      </w:r>
    </w:p>
    <w:p w14:paraId="3900B2E6" w14:textId="77777777" w:rsidR="00893D5B" w:rsidRPr="000250FA" w:rsidRDefault="00893D5B" w:rsidP="00893D5B">
      <w:pPr>
        <w:ind w:left="709"/>
        <w:jc w:val="both"/>
        <w:rPr>
          <w:sz w:val="22"/>
          <w:szCs w:val="22"/>
        </w:rPr>
      </w:pPr>
    </w:p>
    <w:p w14:paraId="6ADBE237" w14:textId="77777777" w:rsidR="00893D5B" w:rsidRPr="000250FA" w:rsidRDefault="00893D5B" w:rsidP="00893D5B">
      <w:pPr>
        <w:jc w:val="both"/>
        <w:rPr>
          <w:sz w:val="22"/>
          <w:szCs w:val="22"/>
        </w:rPr>
      </w:pPr>
      <w:r w:rsidRPr="000250FA">
        <w:rPr>
          <w:sz w:val="22"/>
          <w:szCs w:val="22"/>
        </w:rPr>
        <w:t xml:space="preserve">(5) </w:t>
      </w:r>
      <w:r w:rsidRPr="000250FA">
        <w:rPr>
          <w:rStyle w:val="Lbjegyzet-hivatkozs"/>
          <w:sz w:val="22"/>
          <w:szCs w:val="22"/>
        </w:rPr>
        <w:footnoteReference w:id="52"/>
      </w:r>
      <w:r w:rsidRPr="000250FA">
        <w:rPr>
          <w:sz w:val="22"/>
          <w:szCs w:val="22"/>
        </w:rPr>
        <w:t xml:space="preserve">A munkaköri leíráshoz kapcsolódó „Előlap és kiegészítő melléklet” tartalmazza továbbá a meglévő munkaköri feladatok szükséges mérséklésére vonatkozó munkáltatói rendelkezést és annak időtartamát, amennyiben az Európai Unió által </w:t>
      </w:r>
      <w:proofErr w:type="gramStart"/>
      <w:r w:rsidRPr="000250FA">
        <w:rPr>
          <w:sz w:val="22"/>
          <w:szCs w:val="22"/>
        </w:rPr>
        <w:t>finanszírozott</w:t>
      </w:r>
      <w:proofErr w:type="gramEnd"/>
      <w:r w:rsidRPr="000250FA">
        <w:rPr>
          <w:sz w:val="22"/>
          <w:szCs w:val="22"/>
        </w:rPr>
        <w:t xml:space="preserve"> pályázati forrásból megvalósuló projekt keretében a közalkalmazott munkaköri feladatként pályázathoz kapcsolódó feladatot lát el.  </w:t>
      </w:r>
    </w:p>
    <w:p w14:paraId="10824ED2" w14:textId="77777777" w:rsidR="00893D5B" w:rsidRPr="000250FA" w:rsidRDefault="00893D5B" w:rsidP="00893D5B">
      <w:pPr>
        <w:tabs>
          <w:tab w:val="left" w:pos="9781"/>
        </w:tabs>
        <w:ind w:right="-144"/>
        <w:jc w:val="both"/>
        <w:rPr>
          <w:sz w:val="22"/>
          <w:szCs w:val="22"/>
        </w:rPr>
      </w:pPr>
    </w:p>
    <w:p w14:paraId="7216850F" w14:textId="77777777" w:rsidR="00893D5B" w:rsidRPr="000250FA" w:rsidRDefault="00893D5B" w:rsidP="00893D5B">
      <w:pPr>
        <w:jc w:val="both"/>
        <w:rPr>
          <w:sz w:val="22"/>
          <w:szCs w:val="22"/>
        </w:rPr>
      </w:pPr>
      <w:r w:rsidRPr="000250FA">
        <w:rPr>
          <w:b/>
          <w:sz w:val="22"/>
          <w:szCs w:val="22"/>
        </w:rPr>
        <w:t>7. §</w:t>
      </w:r>
      <w:r w:rsidRPr="00827537">
        <w:rPr>
          <w:rStyle w:val="Lbjegyzet-hivatkozs"/>
          <w:sz w:val="22"/>
          <w:szCs w:val="22"/>
        </w:rPr>
        <w:footnoteReference w:id="53"/>
      </w:r>
      <w:r w:rsidRPr="00827537">
        <w:rPr>
          <w:sz w:val="22"/>
          <w:szCs w:val="22"/>
        </w:rPr>
        <w:t xml:space="preserve"> </w:t>
      </w:r>
      <w:r w:rsidRPr="00827537">
        <w:rPr>
          <w:rStyle w:val="Lbjegyzet-hivatkozs"/>
          <w:sz w:val="22"/>
          <w:szCs w:val="22"/>
        </w:rPr>
        <w:footnoteReference w:id="54"/>
      </w:r>
      <w:r w:rsidRPr="00827537">
        <w:rPr>
          <w:sz w:val="22"/>
          <w:szCs w:val="22"/>
        </w:rPr>
        <w:t xml:space="preserve"> </w:t>
      </w:r>
      <w:r w:rsidRPr="00827537">
        <w:rPr>
          <w:rStyle w:val="Lbjegyzet-hivatkozs"/>
          <w:sz w:val="22"/>
          <w:szCs w:val="22"/>
        </w:rPr>
        <w:footnoteReference w:id="55"/>
      </w:r>
      <w:r w:rsidRPr="00827537">
        <w:rPr>
          <w:sz w:val="22"/>
          <w:szCs w:val="22"/>
        </w:rPr>
        <w:t xml:space="preserve"> </w:t>
      </w:r>
      <w:r w:rsidRPr="000250FA">
        <w:rPr>
          <w:sz w:val="22"/>
          <w:szCs w:val="22"/>
        </w:rPr>
        <w:t xml:space="preserve">(1) A munkáltató a kinevezési okmányban köteles meghatározni, hogy a munkakör betöltéséhez szükséges feltételeket az oktatónak, kutatónak, tanárnak, egyéb munkakörben dolgozónak milyen </w:t>
      </w:r>
      <w:proofErr w:type="gramStart"/>
      <w:r w:rsidRPr="000250FA">
        <w:rPr>
          <w:sz w:val="22"/>
          <w:szCs w:val="22"/>
        </w:rPr>
        <w:t>időszak(</w:t>
      </w:r>
      <w:proofErr w:type="gramEnd"/>
      <w:r w:rsidRPr="000250FA">
        <w:rPr>
          <w:sz w:val="22"/>
          <w:szCs w:val="22"/>
        </w:rPr>
        <w:t>ok) alatt kell teljesítenie, továbbá fel kell hívnia a figyelmet a 86. §-</w:t>
      </w:r>
      <w:proofErr w:type="spellStart"/>
      <w:r w:rsidRPr="000250FA">
        <w:rPr>
          <w:sz w:val="22"/>
          <w:szCs w:val="22"/>
        </w:rPr>
        <w:t>ban</w:t>
      </w:r>
      <w:proofErr w:type="spellEnd"/>
      <w:r w:rsidRPr="000250FA">
        <w:rPr>
          <w:sz w:val="22"/>
          <w:szCs w:val="22"/>
        </w:rPr>
        <w:t xml:space="preserve"> meghatározott jogkövetkezményekre. </w:t>
      </w:r>
    </w:p>
    <w:p w14:paraId="64FB882F" w14:textId="77777777" w:rsidR="00893D5B" w:rsidRPr="000250FA" w:rsidRDefault="00893D5B" w:rsidP="00893D5B">
      <w:pPr>
        <w:tabs>
          <w:tab w:val="left" w:pos="9781"/>
        </w:tabs>
        <w:ind w:right="-144"/>
        <w:jc w:val="both"/>
        <w:rPr>
          <w:sz w:val="22"/>
          <w:szCs w:val="22"/>
        </w:rPr>
      </w:pPr>
    </w:p>
    <w:p w14:paraId="20A4571B" w14:textId="77777777" w:rsidR="00893D5B" w:rsidRPr="000250FA" w:rsidRDefault="00893D5B" w:rsidP="00893D5B">
      <w:pPr>
        <w:jc w:val="both"/>
        <w:rPr>
          <w:sz w:val="22"/>
          <w:szCs w:val="22"/>
        </w:rPr>
      </w:pPr>
      <w:r w:rsidRPr="000250FA">
        <w:rPr>
          <w:sz w:val="22"/>
          <w:szCs w:val="22"/>
        </w:rPr>
        <w:t>(2) A kinevezés</w:t>
      </w:r>
      <w:r w:rsidRPr="000250FA">
        <w:rPr>
          <w:b/>
          <w:i/>
          <w:sz w:val="22"/>
          <w:szCs w:val="22"/>
        </w:rPr>
        <w:t xml:space="preserve">, </w:t>
      </w:r>
      <w:r w:rsidRPr="000250FA">
        <w:rPr>
          <w:sz w:val="22"/>
          <w:szCs w:val="22"/>
        </w:rPr>
        <w:t>illetőleg a munkába állás előtt a 9. §-</w:t>
      </w:r>
      <w:proofErr w:type="spellStart"/>
      <w:r w:rsidRPr="000250FA">
        <w:rPr>
          <w:sz w:val="22"/>
          <w:szCs w:val="22"/>
        </w:rPr>
        <w:t>ban</w:t>
      </w:r>
      <w:proofErr w:type="spellEnd"/>
      <w:r w:rsidRPr="000250FA">
        <w:rPr>
          <w:sz w:val="22"/>
          <w:szCs w:val="22"/>
        </w:rPr>
        <w:t xml:space="preserve"> meghatározottak fennálltáról meg kell győződni. A kinevezés elválaszthatatlan részét képezi </w:t>
      </w:r>
    </w:p>
    <w:p w14:paraId="5BAE6D17" w14:textId="77777777" w:rsidR="00893D5B" w:rsidRPr="000250FA" w:rsidRDefault="00893D5B" w:rsidP="00893D5B">
      <w:pPr>
        <w:rPr>
          <w:sz w:val="22"/>
          <w:szCs w:val="22"/>
        </w:rPr>
      </w:pPr>
    </w:p>
    <w:p w14:paraId="4D9BF3BB" w14:textId="77777777" w:rsidR="00893D5B" w:rsidRPr="000250FA" w:rsidRDefault="00893D5B" w:rsidP="00912564">
      <w:pPr>
        <w:numPr>
          <w:ilvl w:val="0"/>
          <w:numId w:val="5"/>
        </w:numPr>
        <w:jc w:val="both"/>
        <w:rPr>
          <w:sz w:val="22"/>
          <w:szCs w:val="22"/>
        </w:rPr>
      </w:pPr>
      <w:r w:rsidRPr="000250FA">
        <w:rPr>
          <w:sz w:val="22"/>
          <w:szCs w:val="22"/>
        </w:rPr>
        <w:t>a titoktartási nyilatkozat,</w:t>
      </w:r>
    </w:p>
    <w:p w14:paraId="72E227BE" w14:textId="77777777" w:rsidR="00893D5B" w:rsidRPr="000250FA" w:rsidRDefault="00893D5B" w:rsidP="00912564">
      <w:pPr>
        <w:numPr>
          <w:ilvl w:val="0"/>
          <w:numId w:val="5"/>
        </w:numPr>
        <w:jc w:val="both"/>
        <w:rPr>
          <w:sz w:val="22"/>
          <w:szCs w:val="22"/>
        </w:rPr>
      </w:pPr>
      <w:r w:rsidRPr="000250FA">
        <w:rPr>
          <w:sz w:val="22"/>
          <w:szCs w:val="22"/>
        </w:rPr>
        <w:t xml:space="preserve">oktatók esetében az oktatói nyilatkozat, </w:t>
      </w:r>
    </w:p>
    <w:p w14:paraId="691BA9EB" w14:textId="77777777" w:rsidR="00893D5B" w:rsidRPr="000250FA" w:rsidRDefault="00893D5B" w:rsidP="00912564">
      <w:pPr>
        <w:numPr>
          <w:ilvl w:val="0"/>
          <w:numId w:val="5"/>
        </w:numPr>
        <w:jc w:val="both"/>
        <w:rPr>
          <w:sz w:val="22"/>
          <w:szCs w:val="22"/>
        </w:rPr>
      </w:pPr>
      <w:r w:rsidRPr="000250FA">
        <w:rPr>
          <w:sz w:val="22"/>
          <w:szCs w:val="22"/>
        </w:rPr>
        <w:t>jelen szakasz (3) bekezdésében meghatározott nyilatkozat.</w:t>
      </w:r>
    </w:p>
    <w:p w14:paraId="65528CFD" w14:textId="77777777" w:rsidR="00893D5B" w:rsidRPr="000250FA" w:rsidRDefault="00893D5B" w:rsidP="00893D5B">
      <w:pPr>
        <w:rPr>
          <w:sz w:val="22"/>
          <w:szCs w:val="22"/>
        </w:rPr>
      </w:pPr>
    </w:p>
    <w:p w14:paraId="2AF79FFA" w14:textId="77777777" w:rsidR="00893D5B" w:rsidRPr="000250FA" w:rsidRDefault="00893D5B" w:rsidP="00893D5B">
      <w:pPr>
        <w:jc w:val="both"/>
        <w:rPr>
          <w:sz w:val="22"/>
          <w:szCs w:val="22"/>
        </w:rPr>
      </w:pPr>
      <w:r w:rsidRPr="000250FA">
        <w:rPr>
          <w:sz w:val="22"/>
          <w:szCs w:val="22"/>
        </w:rPr>
        <w:t>(3)</w:t>
      </w:r>
      <w:r w:rsidRPr="000250FA">
        <w:rPr>
          <w:rStyle w:val="Lbjegyzet-hivatkozs"/>
          <w:sz w:val="22"/>
          <w:szCs w:val="22"/>
        </w:rPr>
        <w:footnoteReference w:id="56"/>
      </w:r>
      <w:r w:rsidRPr="000250FA">
        <w:rPr>
          <w:sz w:val="22"/>
          <w:szCs w:val="22"/>
        </w:rPr>
        <w:t xml:space="preserve"> A kinevezés előtt a közalkalmazott köteles nyilatkozni a további munkavégzésre irányuló jogviszonyairól, valamint az összeférhetetlenségről. A nyilatkozatra a munkáltató köteles felvezetni annak tudomásul vételét, hozzájárulását, illetőleg összeférhetetlenség esetén a további jogviszonyra vonatkozó tiltást. A nyilatkozatok mintáit a HR Kézikönyv tartalmazza.</w:t>
      </w:r>
    </w:p>
    <w:p w14:paraId="78C0FA08" w14:textId="77777777" w:rsidR="00893D5B" w:rsidRPr="000250FA" w:rsidRDefault="00893D5B" w:rsidP="00893D5B">
      <w:pPr>
        <w:rPr>
          <w:sz w:val="22"/>
          <w:szCs w:val="22"/>
        </w:rPr>
      </w:pPr>
    </w:p>
    <w:p w14:paraId="1E44F84C" w14:textId="5F442561" w:rsidR="00893D5B" w:rsidRPr="000250FA" w:rsidRDefault="00893D5B" w:rsidP="00893D5B">
      <w:pPr>
        <w:jc w:val="both"/>
        <w:rPr>
          <w:bCs/>
          <w:sz w:val="22"/>
          <w:szCs w:val="22"/>
        </w:rPr>
      </w:pPr>
      <w:r w:rsidRPr="000250FA">
        <w:rPr>
          <w:b/>
          <w:bCs/>
          <w:sz w:val="22"/>
          <w:szCs w:val="22"/>
        </w:rPr>
        <w:t>(</w:t>
      </w:r>
      <w:r w:rsidRPr="000250FA">
        <w:rPr>
          <w:bCs/>
          <w:sz w:val="22"/>
          <w:szCs w:val="22"/>
        </w:rPr>
        <w:t>4)</w:t>
      </w:r>
      <w:r w:rsidRPr="000250FA">
        <w:rPr>
          <w:rStyle w:val="Lbjegyzet-hivatkozs"/>
          <w:bCs/>
          <w:sz w:val="22"/>
          <w:szCs w:val="22"/>
        </w:rPr>
        <w:footnoteReference w:id="57"/>
      </w:r>
      <w:r w:rsidRPr="000250FA">
        <w:rPr>
          <w:bCs/>
          <w:sz w:val="22"/>
          <w:szCs w:val="22"/>
        </w:rPr>
        <w:t xml:space="preserve"> Mt. 46.§ (1) bekezdésben foglaltak alapján a munkáltató a </w:t>
      </w:r>
      <w:r w:rsidR="008F3214" w:rsidRPr="00BD6AF1">
        <w:rPr>
          <w:iCs/>
          <w:sz w:val="22"/>
          <w:szCs w:val="22"/>
        </w:rPr>
        <w:t>HFO</w:t>
      </w:r>
      <w:r w:rsidR="008F3214">
        <w:rPr>
          <w:bCs/>
          <w:sz w:val="22"/>
          <w:szCs w:val="22"/>
        </w:rPr>
        <w:t xml:space="preserve"> </w:t>
      </w:r>
      <w:r w:rsidRPr="000250FA">
        <w:rPr>
          <w:bCs/>
          <w:sz w:val="22"/>
          <w:szCs w:val="22"/>
        </w:rPr>
        <w:t>útján</w:t>
      </w:r>
      <w:r w:rsidRPr="000250FA">
        <w:rPr>
          <w:bCs/>
          <w:i/>
          <w:sz w:val="22"/>
          <w:szCs w:val="22"/>
        </w:rPr>
        <w:t xml:space="preserve"> </w:t>
      </w:r>
      <w:r w:rsidRPr="000250FA">
        <w:rPr>
          <w:bCs/>
          <w:sz w:val="22"/>
          <w:szCs w:val="22"/>
        </w:rPr>
        <w:t>a közalkalmazottat írásban köteles tájékoztatni</w:t>
      </w:r>
    </w:p>
    <w:p w14:paraId="56F64AF5" w14:textId="77777777" w:rsidR="00893D5B" w:rsidRPr="000250FA" w:rsidRDefault="00893D5B" w:rsidP="00893D5B">
      <w:pPr>
        <w:jc w:val="both"/>
        <w:rPr>
          <w:bCs/>
          <w:iCs/>
          <w:sz w:val="22"/>
          <w:szCs w:val="22"/>
        </w:rPr>
      </w:pPr>
    </w:p>
    <w:p w14:paraId="41A6808E" w14:textId="77777777" w:rsidR="00893D5B" w:rsidRPr="000250FA" w:rsidRDefault="00893D5B" w:rsidP="00912564">
      <w:pPr>
        <w:numPr>
          <w:ilvl w:val="0"/>
          <w:numId w:val="6"/>
        </w:numPr>
        <w:jc w:val="both"/>
        <w:rPr>
          <w:bCs/>
          <w:sz w:val="22"/>
          <w:szCs w:val="22"/>
        </w:rPr>
      </w:pPr>
      <w:r w:rsidRPr="000250FA">
        <w:rPr>
          <w:bCs/>
          <w:sz w:val="22"/>
          <w:szCs w:val="22"/>
        </w:rPr>
        <w:t>a napi munkaidőről,</w:t>
      </w:r>
    </w:p>
    <w:p w14:paraId="2B9EA27A" w14:textId="77777777" w:rsidR="00893D5B" w:rsidRPr="000250FA" w:rsidRDefault="00893D5B" w:rsidP="00912564">
      <w:pPr>
        <w:numPr>
          <w:ilvl w:val="0"/>
          <w:numId w:val="6"/>
        </w:numPr>
        <w:jc w:val="both"/>
        <w:rPr>
          <w:bCs/>
          <w:sz w:val="22"/>
          <w:szCs w:val="22"/>
        </w:rPr>
      </w:pPr>
      <w:r w:rsidRPr="000250FA">
        <w:rPr>
          <w:bCs/>
          <w:sz w:val="22"/>
          <w:szCs w:val="22"/>
        </w:rPr>
        <w:t>a díjazásáról és annak elemeiről,</w:t>
      </w:r>
    </w:p>
    <w:p w14:paraId="7FCBE275" w14:textId="77777777" w:rsidR="00893D5B" w:rsidRPr="000250FA" w:rsidRDefault="00893D5B" w:rsidP="00912564">
      <w:pPr>
        <w:numPr>
          <w:ilvl w:val="0"/>
          <w:numId w:val="6"/>
        </w:numPr>
        <w:jc w:val="both"/>
        <w:rPr>
          <w:bCs/>
          <w:sz w:val="22"/>
          <w:szCs w:val="22"/>
        </w:rPr>
      </w:pPr>
      <w:r w:rsidRPr="000250FA">
        <w:rPr>
          <w:bCs/>
          <w:sz w:val="22"/>
          <w:szCs w:val="22"/>
        </w:rPr>
        <w:t>az illetményfizetés napjáról,</w:t>
      </w:r>
    </w:p>
    <w:p w14:paraId="4BBB8EED" w14:textId="77777777" w:rsidR="00893D5B" w:rsidRPr="000250FA" w:rsidRDefault="00893D5B" w:rsidP="00912564">
      <w:pPr>
        <w:numPr>
          <w:ilvl w:val="0"/>
          <w:numId w:val="6"/>
        </w:numPr>
        <w:jc w:val="both"/>
        <w:rPr>
          <w:bCs/>
          <w:sz w:val="22"/>
          <w:szCs w:val="22"/>
        </w:rPr>
      </w:pPr>
    </w:p>
    <w:p w14:paraId="7566EDA4" w14:textId="77777777" w:rsidR="00893D5B" w:rsidRPr="000250FA" w:rsidRDefault="00893D5B" w:rsidP="00912564">
      <w:pPr>
        <w:numPr>
          <w:ilvl w:val="0"/>
          <w:numId w:val="6"/>
        </w:numPr>
        <w:jc w:val="both"/>
        <w:rPr>
          <w:bCs/>
          <w:sz w:val="22"/>
          <w:szCs w:val="22"/>
        </w:rPr>
      </w:pPr>
      <w:r w:rsidRPr="000250FA">
        <w:rPr>
          <w:bCs/>
          <w:sz w:val="22"/>
          <w:szCs w:val="22"/>
        </w:rPr>
        <w:t>a szabadság mértékének számítási módjáról és kiadásának, illetve</w:t>
      </w:r>
    </w:p>
    <w:p w14:paraId="08B79ABA" w14:textId="77777777" w:rsidR="00893D5B" w:rsidRPr="000250FA" w:rsidRDefault="00893D5B" w:rsidP="00912564">
      <w:pPr>
        <w:numPr>
          <w:ilvl w:val="0"/>
          <w:numId w:val="6"/>
        </w:numPr>
        <w:jc w:val="both"/>
        <w:rPr>
          <w:bCs/>
          <w:sz w:val="22"/>
          <w:szCs w:val="22"/>
        </w:rPr>
      </w:pPr>
      <w:r w:rsidRPr="000250FA">
        <w:rPr>
          <w:bCs/>
          <w:sz w:val="22"/>
          <w:szCs w:val="22"/>
        </w:rPr>
        <w:lastRenderedPageBreak/>
        <w:t>a munkáltatóra és a közalkalmazottra irányadó felmentési idő megállapításának szabályairól,</w:t>
      </w:r>
    </w:p>
    <w:p w14:paraId="06B785A6" w14:textId="77777777" w:rsidR="00893D5B" w:rsidRPr="000250FA" w:rsidRDefault="00893D5B" w:rsidP="00912564">
      <w:pPr>
        <w:numPr>
          <w:ilvl w:val="0"/>
          <w:numId w:val="6"/>
        </w:numPr>
        <w:jc w:val="both"/>
        <w:rPr>
          <w:bCs/>
          <w:sz w:val="22"/>
          <w:szCs w:val="22"/>
        </w:rPr>
      </w:pPr>
      <w:r w:rsidRPr="000250FA">
        <w:rPr>
          <w:bCs/>
          <w:sz w:val="22"/>
          <w:szCs w:val="22"/>
        </w:rPr>
        <w:t xml:space="preserve">arról, hogy a munkáltató </w:t>
      </w:r>
      <w:proofErr w:type="gramStart"/>
      <w:r w:rsidRPr="000250FA">
        <w:rPr>
          <w:bCs/>
          <w:sz w:val="22"/>
          <w:szCs w:val="22"/>
        </w:rPr>
        <w:t>kollektív</w:t>
      </w:r>
      <w:proofErr w:type="gramEnd"/>
      <w:r w:rsidRPr="000250FA">
        <w:rPr>
          <w:bCs/>
          <w:sz w:val="22"/>
          <w:szCs w:val="22"/>
        </w:rPr>
        <w:t xml:space="preserve"> szerződés hatálya alá tartozik-e, valamint</w:t>
      </w:r>
    </w:p>
    <w:p w14:paraId="498EEDFF" w14:textId="77777777" w:rsidR="00893D5B" w:rsidRPr="000250FA" w:rsidRDefault="00893D5B" w:rsidP="00912564">
      <w:pPr>
        <w:numPr>
          <w:ilvl w:val="0"/>
          <w:numId w:val="6"/>
        </w:numPr>
        <w:jc w:val="both"/>
        <w:rPr>
          <w:bCs/>
          <w:sz w:val="22"/>
          <w:szCs w:val="22"/>
        </w:rPr>
      </w:pPr>
      <w:r w:rsidRPr="000250FA">
        <w:rPr>
          <w:bCs/>
          <w:sz w:val="22"/>
          <w:szCs w:val="22"/>
        </w:rPr>
        <w:t>a munkáltatónál képviselettel rendelkező szakszervezet, illetve Közalkalmazotti Tanács megnevezéséről,</w:t>
      </w:r>
    </w:p>
    <w:p w14:paraId="0B4D2E6D" w14:textId="77777777" w:rsidR="00893D5B" w:rsidRPr="000250FA" w:rsidRDefault="00893D5B" w:rsidP="00912564">
      <w:pPr>
        <w:numPr>
          <w:ilvl w:val="0"/>
          <w:numId w:val="6"/>
        </w:numPr>
        <w:jc w:val="both"/>
        <w:rPr>
          <w:sz w:val="22"/>
          <w:szCs w:val="22"/>
        </w:rPr>
      </w:pPr>
      <w:r w:rsidRPr="000250FA">
        <w:rPr>
          <w:sz w:val="22"/>
          <w:szCs w:val="22"/>
        </w:rPr>
        <w:t>a munkáltatói jogkör gyakorlójáról,</w:t>
      </w:r>
    </w:p>
    <w:p w14:paraId="2AFAB675" w14:textId="77777777" w:rsidR="00893D5B" w:rsidRPr="000250FA" w:rsidRDefault="00893D5B" w:rsidP="00912564">
      <w:pPr>
        <w:numPr>
          <w:ilvl w:val="0"/>
          <w:numId w:val="6"/>
        </w:numPr>
        <w:rPr>
          <w:sz w:val="22"/>
          <w:szCs w:val="22"/>
        </w:rPr>
      </w:pPr>
    </w:p>
    <w:p w14:paraId="6F367C72" w14:textId="77777777" w:rsidR="00893D5B" w:rsidRPr="000250FA" w:rsidRDefault="00893D5B" w:rsidP="00912564">
      <w:pPr>
        <w:numPr>
          <w:ilvl w:val="0"/>
          <w:numId w:val="6"/>
        </w:numPr>
        <w:rPr>
          <w:sz w:val="22"/>
          <w:szCs w:val="22"/>
        </w:rPr>
      </w:pPr>
      <w:r w:rsidRPr="000250FA">
        <w:rPr>
          <w:sz w:val="22"/>
          <w:szCs w:val="22"/>
        </w:rPr>
        <w:t>munkakörbe tartozó feladatokról.</w:t>
      </w:r>
    </w:p>
    <w:p w14:paraId="1851085E" w14:textId="77777777" w:rsidR="00893D5B" w:rsidRPr="000250FA" w:rsidRDefault="00893D5B" w:rsidP="00893D5B">
      <w:pPr>
        <w:jc w:val="both"/>
        <w:rPr>
          <w:sz w:val="22"/>
          <w:szCs w:val="22"/>
        </w:rPr>
      </w:pPr>
    </w:p>
    <w:p w14:paraId="77BAC7CD" w14:textId="77777777" w:rsidR="00893D5B" w:rsidRPr="000250FA" w:rsidRDefault="00893D5B" w:rsidP="00893D5B">
      <w:pPr>
        <w:jc w:val="both"/>
        <w:rPr>
          <w:sz w:val="22"/>
          <w:szCs w:val="22"/>
        </w:rPr>
      </w:pPr>
      <w:r w:rsidRPr="000250FA">
        <w:rPr>
          <w:sz w:val="22"/>
          <w:szCs w:val="22"/>
        </w:rPr>
        <w:t>A kinevezésben rögzített díjazási elemekről a közalkalmazottat külön tájékoztatni nem kell.</w:t>
      </w:r>
    </w:p>
    <w:p w14:paraId="538FF284" w14:textId="77777777" w:rsidR="00893D5B" w:rsidRPr="000250FA" w:rsidRDefault="00893D5B" w:rsidP="00893D5B">
      <w:pPr>
        <w:jc w:val="both"/>
        <w:rPr>
          <w:sz w:val="22"/>
          <w:szCs w:val="22"/>
        </w:rPr>
      </w:pPr>
    </w:p>
    <w:p w14:paraId="54579349" w14:textId="77777777" w:rsidR="00893D5B" w:rsidRPr="000250FA" w:rsidRDefault="00893D5B" w:rsidP="00893D5B">
      <w:pPr>
        <w:jc w:val="both"/>
        <w:rPr>
          <w:sz w:val="22"/>
          <w:szCs w:val="22"/>
        </w:rPr>
      </w:pPr>
      <w:r w:rsidRPr="000250FA">
        <w:rPr>
          <w:sz w:val="22"/>
          <w:szCs w:val="22"/>
        </w:rPr>
        <w:t>(5) A kinevezéssel, továbbá a (4) szerinti tájékoztatásokkal kapcsolatos iratmintákat a HR Kézikönyv tartalmazza.</w:t>
      </w:r>
    </w:p>
    <w:p w14:paraId="3EBA2F7C" w14:textId="77777777" w:rsidR="00893D5B" w:rsidRPr="000250FA" w:rsidRDefault="00893D5B" w:rsidP="00893D5B">
      <w:pPr>
        <w:rPr>
          <w:strike/>
          <w:sz w:val="22"/>
          <w:szCs w:val="22"/>
        </w:rPr>
      </w:pPr>
    </w:p>
    <w:p w14:paraId="07BC8B55" w14:textId="77777777" w:rsidR="00893D5B" w:rsidRPr="000250FA" w:rsidRDefault="00893D5B" w:rsidP="00893D5B">
      <w:pPr>
        <w:tabs>
          <w:tab w:val="left" w:pos="9781"/>
        </w:tabs>
        <w:ind w:right="-144"/>
        <w:jc w:val="both"/>
        <w:rPr>
          <w:sz w:val="22"/>
          <w:szCs w:val="22"/>
        </w:rPr>
      </w:pPr>
      <w:r w:rsidRPr="000250FA">
        <w:rPr>
          <w:b/>
          <w:sz w:val="22"/>
          <w:szCs w:val="22"/>
        </w:rPr>
        <w:t>8. §</w:t>
      </w:r>
      <w:r w:rsidRPr="000250FA">
        <w:rPr>
          <w:rStyle w:val="Lbjegyzet-hivatkozs"/>
          <w:sz w:val="22"/>
          <w:szCs w:val="22"/>
        </w:rPr>
        <w:footnoteReference w:id="58"/>
      </w:r>
      <w:r w:rsidRPr="000250FA">
        <w:rPr>
          <w:sz w:val="22"/>
          <w:szCs w:val="22"/>
        </w:rPr>
        <w:t xml:space="preserve"> </w:t>
      </w:r>
      <w:r w:rsidRPr="000250FA">
        <w:rPr>
          <w:rStyle w:val="Lbjegyzet-hivatkozs"/>
          <w:sz w:val="22"/>
          <w:szCs w:val="22"/>
        </w:rPr>
        <w:footnoteReference w:id="59"/>
      </w:r>
      <w:r w:rsidRPr="000250FA">
        <w:rPr>
          <w:sz w:val="22"/>
          <w:szCs w:val="22"/>
        </w:rPr>
        <w:t>(1)</w:t>
      </w:r>
      <w:r w:rsidRPr="000250FA">
        <w:rPr>
          <w:rStyle w:val="Lbjegyzet-hivatkozs"/>
          <w:sz w:val="22"/>
          <w:szCs w:val="22"/>
        </w:rPr>
        <w:footnoteReference w:id="60"/>
      </w:r>
      <w:r w:rsidRPr="000250FA">
        <w:rPr>
          <w:sz w:val="22"/>
          <w:szCs w:val="22"/>
        </w:rPr>
        <w:t xml:space="preserve"> </w:t>
      </w:r>
      <w:r w:rsidRPr="000250FA">
        <w:rPr>
          <w:rStyle w:val="Lbjegyzet-hivatkozs"/>
          <w:sz w:val="22"/>
          <w:szCs w:val="22"/>
        </w:rPr>
        <w:footnoteReference w:id="61"/>
      </w:r>
      <w:r w:rsidRPr="000250FA">
        <w:rPr>
          <w:sz w:val="22"/>
          <w:szCs w:val="22"/>
        </w:rPr>
        <w:t>Az éves költségvetés keretében a Szenátus dönt a gazdálkodó egység</w:t>
      </w:r>
      <w:r w:rsidRPr="000250FA">
        <w:rPr>
          <w:rFonts w:eastAsia="Calibri"/>
          <w:lang w:eastAsia="en-US"/>
        </w:rPr>
        <w:t xml:space="preserve"> </w:t>
      </w:r>
      <w:r w:rsidRPr="000250FA">
        <w:rPr>
          <w:sz w:val="22"/>
          <w:szCs w:val="22"/>
        </w:rPr>
        <w:t>személyi juttatások céljára rendelkezésre álló gazdálkodási keretéről.</w:t>
      </w:r>
    </w:p>
    <w:p w14:paraId="6739E2D7" w14:textId="77777777" w:rsidR="00893D5B" w:rsidRPr="000250FA" w:rsidRDefault="00893D5B" w:rsidP="00893D5B">
      <w:pPr>
        <w:tabs>
          <w:tab w:val="left" w:pos="9781"/>
        </w:tabs>
        <w:ind w:right="-144"/>
        <w:jc w:val="both"/>
        <w:rPr>
          <w:sz w:val="22"/>
          <w:szCs w:val="22"/>
        </w:rPr>
      </w:pPr>
    </w:p>
    <w:p w14:paraId="32C03D54" w14:textId="77777777" w:rsidR="00893D5B" w:rsidRPr="000250FA" w:rsidRDefault="00893D5B" w:rsidP="00893D5B">
      <w:pPr>
        <w:jc w:val="both"/>
        <w:rPr>
          <w:strike/>
          <w:sz w:val="22"/>
          <w:szCs w:val="22"/>
        </w:rPr>
      </w:pPr>
      <w:r w:rsidRPr="000250FA">
        <w:rPr>
          <w:sz w:val="22"/>
          <w:szCs w:val="22"/>
        </w:rPr>
        <w:t>(2)</w:t>
      </w:r>
      <w:r w:rsidRPr="00827537">
        <w:rPr>
          <w:sz w:val="22"/>
          <w:szCs w:val="22"/>
          <w:vertAlign w:val="superscript"/>
        </w:rPr>
        <w:footnoteReference w:id="62"/>
      </w:r>
      <w:r w:rsidRPr="00827537">
        <w:rPr>
          <w:sz w:val="22"/>
          <w:szCs w:val="22"/>
        </w:rPr>
        <w:t xml:space="preserve"> </w:t>
      </w:r>
      <w:r w:rsidRPr="000250FA">
        <w:rPr>
          <w:rStyle w:val="Lbjegyzet-hivatkozs"/>
          <w:sz w:val="22"/>
          <w:szCs w:val="22"/>
        </w:rPr>
        <w:footnoteReference w:id="63"/>
      </w:r>
      <w:r w:rsidRPr="000250FA">
        <w:rPr>
          <w:sz w:val="22"/>
          <w:szCs w:val="22"/>
        </w:rPr>
        <w:t xml:space="preserve"> </w:t>
      </w:r>
      <w:r w:rsidRPr="000250FA">
        <w:rPr>
          <w:rStyle w:val="Lbjegyzet-hivatkozs"/>
          <w:sz w:val="22"/>
          <w:szCs w:val="22"/>
        </w:rPr>
        <w:footnoteReference w:id="64"/>
      </w:r>
    </w:p>
    <w:p w14:paraId="13FD9696" w14:textId="77777777" w:rsidR="00893D5B" w:rsidRPr="000250FA" w:rsidRDefault="00893D5B" w:rsidP="00893D5B">
      <w:pPr>
        <w:tabs>
          <w:tab w:val="left" w:pos="9781"/>
        </w:tabs>
        <w:ind w:right="-144"/>
        <w:jc w:val="both"/>
        <w:rPr>
          <w:sz w:val="22"/>
          <w:szCs w:val="22"/>
        </w:rPr>
      </w:pPr>
    </w:p>
    <w:p w14:paraId="0286AE85" w14:textId="77777777" w:rsidR="00893D5B" w:rsidRPr="000250FA" w:rsidRDefault="00893D5B" w:rsidP="00893D5B">
      <w:pPr>
        <w:tabs>
          <w:tab w:val="left" w:pos="9781"/>
        </w:tabs>
        <w:ind w:right="-144"/>
        <w:jc w:val="both"/>
        <w:rPr>
          <w:strike/>
          <w:sz w:val="22"/>
          <w:szCs w:val="22"/>
        </w:rPr>
      </w:pPr>
      <w:r w:rsidRPr="000250FA">
        <w:rPr>
          <w:sz w:val="22"/>
          <w:szCs w:val="22"/>
        </w:rPr>
        <w:t>(3)</w:t>
      </w:r>
      <w:r w:rsidRPr="000250FA">
        <w:rPr>
          <w:b/>
          <w:i/>
          <w:sz w:val="22"/>
          <w:szCs w:val="22"/>
        </w:rPr>
        <w:t xml:space="preserve"> </w:t>
      </w:r>
      <w:r w:rsidRPr="00827537">
        <w:rPr>
          <w:rStyle w:val="Lbjegyzet-hivatkozs"/>
          <w:b/>
          <w:sz w:val="22"/>
          <w:szCs w:val="22"/>
        </w:rPr>
        <w:footnoteReference w:id="65"/>
      </w:r>
    </w:p>
    <w:p w14:paraId="03E1D65F" w14:textId="77777777" w:rsidR="00893D5B" w:rsidRPr="000250FA" w:rsidRDefault="00893D5B" w:rsidP="00893D5B">
      <w:pPr>
        <w:tabs>
          <w:tab w:val="left" w:pos="9781"/>
        </w:tabs>
        <w:ind w:right="-144"/>
        <w:rPr>
          <w:sz w:val="22"/>
          <w:szCs w:val="22"/>
        </w:rPr>
      </w:pPr>
    </w:p>
    <w:p w14:paraId="09E9BAE2" w14:textId="77777777" w:rsidR="00893D5B" w:rsidRPr="000250FA" w:rsidRDefault="00893D5B" w:rsidP="00893D5B">
      <w:pPr>
        <w:tabs>
          <w:tab w:val="left" w:pos="9781"/>
        </w:tabs>
        <w:ind w:right="-144"/>
        <w:jc w:val="both"/>
        <w:rPr>
          <w:strike/>
          <w:sz w:val="22"/>
          <w:szCs w:val="22"/>
        </w:rPr>
      </w:pPr>
      <w:r w:rsidRPr="000250FA">
        <w:rPr>
          <w:sz w:val="22"/>
          <w:szCs w:val="22"/>
        </w:rPr>
        <w:t>(4)</w:t>
      </w:r>
      <w:r w:rsidRPr="00827537">
        <w:rPr>
          <w:sz w:val="22"/>
          <w:szCs w:val="22"/>
          <w:vertAlign w:val="superscript"/>
        </w:rPr>
        <w:footnoteReference w:id="66"/>
      </w:r>
      <w:r w:rsidRPr="00827537">
        <w:rPr>
          <w:sz w:val="22"/>
          <w:szCs w:val="22"/>
        </w:rPr>
        <w:t xml:space="preserve"> </w:t>
      </w:r>
      <w:r w:rsidRPr="000250FA">
        <w:rPr>
          <w:rStyle w:val="Lbjegyzet-hivatkozs"/>
          <w:sz w:val="22"/>
          <w:szCs w:val="22"/>
        </w:rPr>
        <w:footnoteReference w:id="67"/>
      </w:r>
    </w:p>
    <w:p w14:paraId="66B31554" w14:textId="77777777" w:rsidR="00893D5B" w:rsidRPr="000250FA" w:rsidRDefault="00893D5B" w:rsidP="00893D5B">
      <w:pPr>
        <w:rPr>
          <w:sz w:val="22"/>
          <w:szCs w:val="22"/>
        </w:rPr>
      </w:pPr>
    </w:p>
    <w:p w14:paraId="7F463306" w14:textId="77777777" w:rsidR="00893D5B" w:rsidRPr="000250FA" w:rsidRDefault="00893D5B" w:rsidP="00893D5B">
      <w:pPr>
        <w:tabs>
          <w:tab w:val="left" w:pos="9781"/>
        </w:tabs>
        <w:ind w:right="-144"/>
        <w:jc w:val="both"/>
        <w:rPr>
          <w:sz w:val="22"/>
          <w:szCs w:val="22"/>
        </w:rPr>
      </w:pPr>
      <w:r w:rsidRPr="000250FA">
        <w:rPr>
          <w:b/>
          <w:sz w:val="22"/>
          <w:szCs w:val="22"/>
        </w:rPr>
        <w:t>9. §</w:t>
      </w:r>
      <w:r w:rsidRPr="000250FA">
        <w:rPr>
          <w:sz w:val="22"/>
          <w:szCs w:val="22"/>
        </w:rPr>
        <w:t xml:space="preserve"> Az Egyetemen való alkalmazás feltétele, hogy a közalkalmazott</w:t>
      </w:r>
    </w:p>
    <w:p w14:paraId="43205BA0" w14:textId="77777777" w:rsidR="00893D5B" w:rsidRPr="000250FA" w:rsidRDefault="00893D5B" w:rsidP="00912564">
      <w:pPr>
        <w:numPr>
          <w:ilvl w:val="0"/>
          <w:numId w:val="7"/>
        </w:numPr>
        <w:jc w:val="both"/>
        <w:rPr>
          <w:bCs/>
          <w:sz w:val="22"/>
          <w:szCs w:val="22"/>
        </w:rPr>
      </w:pPr>
      <w:r w:rsidRPr="000250FA">
        <w:rPr>
          <w:bCs/>
          <w:sz w:val="22"/>
          <w:szCs w:val="22"/>
        </w:rPr>
        <w:t>rendelkezzék az előírt iskolai végzettséggel, szakképzettséggel,</w:t>
      </w:r>
    </w:p>
    <w:p w14:paraId="4B67D913" w14:textId="77777777" w:rsidR="00893D5B" w:rsidRPr="000250FA" w:rsidRDefault="00893D5B" w:rsidP="00912564">
      <w:pPr>
        <w:numPr>
          <w:ilvl w:val="0"/>
          <w:numId w:val="7"/>
        </w:numPr>
        <w:jc w:val="both"/>
        <w:rPr>
          <w:bCs/>
          <w:sz w:val="22"/>
          <w:szCs w:val="22"/>
        </w:rPr>
      </w:pPr>
      <w:r w:rsidRPr="000250FA">
        <w:rPr>
          <w:rStyle w:val="Lbjegyzet-hivatkozs"/>
          <w:iCs/>
          <w:sz w:val="22"/>
          <w:szCs w:val="22"/>
        </w:rPr>
        <w:footnoteReference w:id="68"/>
      </w:r>
      <w:r w:rsidRPr="000250FA">
        <w:rPr>
          <w:iCs/>
          <w:sz w:val="22"/>
          <w:szCs w:val="22"/>
        </w:rPr>
        <w:t xml:space="preserve"> </w:t>
      </w:r>
      <w:r w:rsidRPr="000250FA">
        <w:rPr>
          <w:rStyle w:val="Lbjegyzet-hivatkozs"/>
          <w:iCs/>
          <w:sz w:val="22"/>
          <w:szCs w:val="22"/>
        </w:rPr>
        <w:footnoteReference w:id="69"/>
      </w:r>
      <w:r w:rsidRPr="000250FA">
        <w:rPr>
          <w:iCs/>
          <w:sz w:val="22"/>
          <w:szCs w:val="22"/>
        </w:rPr>
        <w:t xml:space="preserve"> </w:t>
      </w:r>
      <w:proofErr w:type="gramStart"/>
      <w:r w:rsidRPr="000250FA">
        <w:rPr>
          <w:sz w:val="22"/>
          <w:szCs w:val="22"/>
        </w:rPr>
        <w:t>büntetlen előéletű és cselekvőképes legyen, ne álljon a tevékenység folytatását kizáró foglalkozástól</w:t>
      </w:r>
      <w:r w:rsidRPr="000250FA">
        <w:rPr>
          <w:b/>
          <w:sz w:val="22"/>
          <w:szCs w:val="22"/>
        </w:rPr>
        <w:t xml:space="preserve"> </w:t>
      </w:r>
      <w:r w:rsidRPr="000250FA">
        <w:rPr>
          <w:sz w:val="22"/>
          <w:szCs w:val="22"/>
        </w:rPr>
        <w:t>eltiltás hatálya alatt</w:t>
      </w:r>
      <w:r w:rsidRPr="000250FA">
        <w:rPr>
          <w:b/>
          <w:sz w:val="22"/>
          <w:szCs w:val="22"/>
        </w:rPr>
        <w:t xml:space="preserve">, </w:t>
      </w:r>
      <w:r w:rsidRPr="000250FA">
        <w:rPr>
          <w:sz w:val="22"/>
          <w:szCs w:val="22"/>
        </w:rPr>
        <w:t>(a büntetlen előéletre és a foglalkozástól eltiltás hiányára vonatkozó feltételt nem kell igazolni különösen, ha a kizáró ok hiányát a felsőoktatási intézménnyel fennállt korábbi megbízási vagy foglalkoztatási jogviszonyára tekintettel a foglalkoztatni kívánt személy már igazolta, és a korábbi jogviszony megszűnése óta legfeljebb hat hónap telt el, továbbá annak a személynek, aki erkölcsi bizonyítványhoz kötött jogviszonyban áll.)</w:t>
      </w:r>
      <w:proofErr w:type="gramEnd"/>
    </w:p>
    <w:p w14:paraId="69FF8079" w14:textId="77777777" w:rsidR="00893D5B" w:rsidRPr="000250FA" w:rsidRDefault="00893D5B" w:rsidP="00912564">
      <w:pPr>
        <w:numPr>
          <w:ilvl w:val="0"/>
          <w:numId w:val="7"/>
        </w:numPr>
        <w:jc w:val="both"/>
        <w:rPr>
          <w:sz w:val="22"/>
          <w:szCs w:val="22"/>
        </w:rPr>
      </w:pPr>
      <w:r w:rsidRPr="000250FA">
        <w:rPr>
          <w:sz w:val="22"/>
          <w:szCs w:val="22"/>
        </w:rPr>
        <w:t>a munkakör betöltéséhez – szükség szerint – kiírt pályázaton eredményesen részt vett,</w:t>
      </w:r>
    </w:p>
    <w:p w14:paraId="09F0823E" w14:textId="77777777" w:rsidR="00893D5B" w:rsidRPr="000250FA" w:rsidRDefault="00893D5B" w:rsidP="00912564">
      <w:pPr>
        <w:numPr>
          <w:ilvl w:val="0"/>
          <w:numId w:val="7"/>
        </w:numPr>
        <w:jc w:val="both"/>
        <w:rPr>
          <w:sz w:val="22"/>
          <w:szCs w:val="22"/>
        </w:rPr>
      </w:pPr>
      <w:r w:rsidRPr="000250FA">
        <w:rPr>
          <w:sz w:val="22"/>
          <w:szCs w:val="22"/>
        </w:rPr>
        <w:t xml:space="preserve">részt vett a kötelező foglalkozás-egészségügyi vizsgálaton és ennek alapján alkalmas a munkakör betöltésére, </w:t>
      </w:r>
    </w:p>
    <w:p w14:paraId="6AC147A8" w14:textId="77777777" w:rsidR="00893D5B" w:rsidRPr="000250FA" w:rsidRDefault="00893D5B" w:rsidP="00912564">
      <w:pPr>
        <w:numPr>
          <w:ilvl w:val="0"/>
          <w:numId w:val="7"/>
        </w:numPr>
        <w:jc w:val="both"/>
        <w:rPr>
          <w:sz w:val="22"/>
          <w:szCs w:val="22"/>
        </w:rPr>
      </w:pPr>
      <w:r w:rsidRPr="000250FA">
        <w:rPr>
          <w:sz w:val="22"/>
          <w:szCs w:val="22"/>
        </w:rPr>
        <w:t>megfelel az e szabályzatban meghatározott további követelményeknek,</w:t>
      </w:r>
    </w:p>
    <w:p w14:paraId="13E6EEA5" w14:textId="77777777" w:rsidR="00893D5B" w:rsidRPr="000250FA" w:rsidRDefault="00893D5B" w:rsidP="00912564">
      <w:pPr>
        <w:numPr>
          <w:ilvl w:val="0"/>
          <w:numId w:val="7"/>
        </w:numPr>
        <w:jc w:val="both"/>
        <w:rPr>
          <w:sz w:val="22"/>
          <w:szCs w:val="22"/>
        </w:rPr>
      </w:pPr>
      <w:r w:rsidRPr="000250FA">
        <w:rPr>
          <w:rStyle w:val="Lbjegyzet-hivatkozs"/>
          <w:sz w:val="22"/>
          <w:szCs w:val="22"/>
        </w:rPr>
        <w:footnoteReference w:id="70"/>
      </w:r>
      <w:r w:rsidRPr="000250FA">
        <w:rPr>
          <w:sz w:val="22"/>
          <w:szCs w:val="22"/>
        </w:rPr>
        <w:t xml:space="preserve"> részt vett a munka-és tűzvédelmi oktatáson,</w:t>
      </w:r>
    </w:p>
    <w:p w14:paraId="1D5DF806" w14:textId="77777777" w:rsidR="00893D5B" w:rsidRPr="000250FA" w:rsidRDefault="00893D5B" w:rsidP="00912564">
      <w:pPr>
        <w:numPr>
          <w:ilvl w:val="0"/>
          <w:numId w:val="7"/>
        </w:numPr>
        <w:jc w:val="both"/>
        <w:rPr>
          <w:sz w:val="22"/>
          <w:szCs w:val="22"/>
        </w:rPr>
      </w:pPr>
      <w:r w:rsidRPr="000250FA">
        <w:rPr>
          <w:rStyle w:val="Lbjegyzet-hivatkozs"/>
          <w:sz w:val="22"/>
          <w:szCs w:val="22"/>
        </w:rPr>
        <w:lastRenderedPageBreak/>
        <w:footnoteReference w:id="71"/>
      </w:r>
      <w:r w:rsidRPr="000250FA">
        <w:rPr>
          <w:sz w:val="22"/>
          <w:szCs w:val="22"/>
        </w:rPr>
        <w:t xml:space="preserve"> rendelkezik a rá irányadó öregségi nyugdíjkorhatár betöltése esetén a Kormány </w:t>
      </w:r>
      <w:proofErr w:type="spellStart"/>
      <w:r w:rsidRPr="000250FA">
        <w:rPr>
          <w:sz w:val="22"/>
          <w:szCs w:val="22"/>
        </w:rPr>
        <w:t>továbbfoglalkoztatási</w:t>
      </w:r>
      <w:proofErr w:type="spellEnd"/>
      <w:r w:rsidRPr="000250FA">
        <w:rPr>
          <w:sz w:val="22"/>
          <w:szCs w:val="22"/>
        </w:rPr>
        <w:t xml:space="preserve"> engedélyével, kivéve a felsőoktatásban oktató, kutató és tanári munkakör betöltése esetén,</w:t>
      </w:r>
    </w:p>
    <w:p w14:paraId="3900CDFB" w14:textId="77777777" w:rsidR="00893D5B" w:rsidRPr="000250FA" w:rsidRDefault="00893D5B" w:rsidP="00912564">
      <w:pPr>
        <w:numPr>
          <w:ilvl w:val="0"/>
          <w:numId w:val="7"/>
        </w:numPr>
        <w:jc w:val="both"/>
        <w:rPr>
          <w:sz w:val="22"/>
          <w:szCs w:val="22"/>
        </w:rPr>
      </w:pPr>
      <w:r w:rsidRPr="000250FA">
        <w:rPr>
          <w:b/>
          <w:sz w:val="22"/>
          <w:szCs w:val="22"/>
          <w:vertAlign w:val="superscript"/>
        </w:rPr>
        <w:footnoteReference w:id="72"/>
      </w:r>
      <w:r w:rsidRPr="000250FA">
        <w:rPr>
          <w:sz w:val="22"/>
          <w:szCs w:val="22"/>
        </w:rPr>
        <w:t xml:space="preserve"> titoktartással, további munkavégzésre irányuló egyéb jogviszonnyal, összeférhetetlenséggel kapcsolatban nyilatkozatot tett, melyet a munkáltató tudomásul vett. Oktatók esetében oktatói nyilatkozatot tett.</w:t>
      </w:r>
    </w:p>
    <w:p w14:paraId="6EEADAD1" w14:textId="77777777" w:rsidR="00893D5B" w:rsidRPr="000250FA" w:rsidRDefault="00893D5B" w:rsidP="00893D5B">
      <w:pPr>
        <w:rPr>
          <w:sz w:val="22"/>
          <w:szCs w:val="22"/>
        </w:rPr>
      </w:pPr>
    </w:p>
    <w:p w14:paraId="42D96C73" w14:textId="77777777" w:rsidR="00893D5B" w:rsidRPr="000250FA" w:rsidRDefault="00893D5B" w:rsidP="00893D5B">
      <w:pPr>
        <w:jc w:val="both"/>
        <w:rPr>
          <w:sz w:val="22"/>
          <w:szCs w:val="22"/>
        </w:rPr>
      </w:pPr>
      <w:r w:rsidRPr="000250FA">
        <w:rPr>
          <w:b/>
          <w:sz w:val="22"/>
          <w:szCs w:val="22"/>
        </w:rPr>
        <w:t>9/</w:t>
      </w:r>
      <w:proofErr w:type="gramStart"/>
      <w:r w:rsidRPr="000250FA">
        <w:rPr>
          <w:b/>
          <w:sz w:val="22"/>
          <w:szCs w:val="22"/>
        </w:rPr>
        <w:t>A.</w:t>
      </w:r>
      <w:proofErr w:type="gramEnd"/>
      <w:r w:rsidRPr="000250FA">
        <w:rPr>
          <w:b/>
          <w:sz w:val="22"/>
          <w:szCs w:val="22"/>
        </w:rPr>
        <w:t xml:space="preserve"> §</w:t>
      </w:r>
      <w:r w:rsidRPr="000250FA">
        <w:rPr>
          <w:rStyle w:val="Lbjegyzet-hivatkozs"/>
          <w:sz w:val="22"/>
          <w:szCs w:val="22"/>
        </w:rPr>
        <w:footnoteReference w:id="73"/>
      </w:r>
      <w:r w:rsidRPr="000250FA">
        <w:rPr>
          <w:b/>
          <w:sz w:val="22"/>
          <w:szCs w:val="22"/>
        </w:rPr>
        <w:t xml:space="preserve"> </w:t>
      </w:r>
      <w:r w:rsidRPr="00827537">
        <w:rPr>
          <w:rStyle w:val="Lbjegyzet-hivatkozs"/>
          <w:sz w:val="22"/>
          <w:szCs w:val="22"/>
        </w:rPr>
        <w:footnoteReference w:id="74"/>
      </w:r>
      <w:r w:rsidRPr="000250FA">
        <w:rPr>
          <w:sz w:val="22"/>
          <w:szCs w:val="22"/>
        </w:rPr>
        <w:t xml:space="preserve"> (1) Az Egyetemen történő alkalmazás további feltétele az egyes vagyonnyilatkozat-tételi kötelezettségekről szóló 2007. évi CLII. törvény hatálya alá tartozó személyek vagyonnyilatkozat-tétele.</w:t>
      </w:r>
    </w:p>
    <w:p w14:paraId="2A22609B" w14:textId="77777777" w:rsidR="00893D5B" w:rsidRPr="000250FA" w:rsidRDefault="00893D5B" w:rsidP="00893D5B">
      <w:pPr>
        <w:pStyle w:val="Szvegtrzs"/>
        <w:tabs>
          <w:tab w:val="left" w:pos="9781"/>
        </w:tabs>
        <w:spacing w:after="0"/>
        <w:ind w:left="-390" w:right="-144"/>
        <w:rPr>
          <w:sz w:val="22"/>
          <w:szCs w:val="22"/>
        </w:rPr>
      </w:pPr>
    </w:p>
    <w:p w14:paraId="03E0D236" w14:textId="77777777" w:rsidR="00893D5B" w:rsidRPr="000250FA" w:rsidRDefault="00893D5B" w:rsidP="00893D5B">
      <w:pPr>
        <w:pStyle w:val="Szvegtrzs"/>
        <w:tabs>
          <w:tab w:val="left" w:pos="9781"/>
        </w:tabs>
        <w:spacing w:after="0"/>
        <w:ind w:left="30" w:right="-144"/>
        <w:jc w:val="both"/>
        <w:rPr>
          <w:sz w:val="22"/>
          <w:szCs w:val="22"/>
        </w:rPr>
      </w:pPr>
      <w:r w:rsidRPr="000250FA">
        <w:rPr>
          <w:sz w:val="22"/>
          <w:szCs w:val="22"/>
        </w:rPr>
        <w:t>(2)</w:t>
      </w:r>
      <w:r w:rsidRPr="000250FA">
        <w:rPr>
          <w:rStyle w:val="Lbjegyzet-hivatkozs"/>
          <w:sz w:val="22"/>
          <w:szCs w:val="22"/>
        </w:rPr>
        <w:footnoteReference w:id="75"/>
      </w:r>
      <w:r w:rsidRPr="000250FA">
        <w:rPr>
          <w:sz w:val="22"/>
          <w:szCs w:val="22"/>
        </w:rPr>
        <w:t xml:space="preserve"> A vagyonnyilatkozat-tétel eljárási szabályait a Rektori Utasítás tartalmazza.</w:t>
      </w:r>
    </w:p>
    <w:p w14:paraId="62ED020F" w14:textId="77777777" w:rsidR="00893D5B" w:rsidRPr="000250FA" w:rsidRDefault="00893D5B" w:rsidP="00893D5B">
      <w:pPr>
        <w:jc w:val="both"/>
        <w:rPr>
          <w:b/>
          <w:sz w:val="22"/>
          <w:szCs w:val="22"/>
        </w:rPr>
      </w:pPr>
    </w:p>
    <w:p w14:paraId="3974EC3D" w14:textId="77777777" w:rsidR="00893D5B" w:rsidRPr="000250FA" w:rsidRDefault="00893D5B" w:rsidP="00893D5B">
      <w:pPr>
        <w:jc w:val="both"/>
        <w:rPr>
          <w:sz w:val="22"/>
          <w:szCs w:val="22"/>
        </w:rPr>
      </w:pPr>
      <w:r w:rsidRPr="000250FA">
        <w:rPr>
          <w:b/>
          <w:sz w:val="22"/>
          <w:szCs w:val="22"/>
        </w:rPr>
        <w:t>9/B. §</w:t>
      </w:r>
      <w:r w:rsidRPr="00827537">
        <w:rPr>
          <w:rStyle w:val="Lbjegyzet-hivatkozs"/>
          <w:sz w:val="22"/>
          <w:szCs w:val="22"/>
        </w:rPr>
        <w:footnoteReference w:id="76"/>
      </w:r>
      <w:r w:rsidRPr="00827537">
        <w:rPr>
          <w:sz w:val="22"/>
          <w:szCs w:val="22"/>
        </w:rPr>
        <w:t xml:space="preserve"> </w:t>
      </w:r>
      <w:r w:rsidRPr="000250FA">
        <w:rPr>
          <w:sz w:val="22"/>
          <w:szCs w:val="22"/>
        </w:rPr>
        <w:t xml:space="preserve">Az </w:t>
      </w:r>
      <w:proofErr w:type="gramStart"/>
      <w:r w:rsidRPr="000250FA">
        <w:rPr>
          <w:sz w:val="22"/>
          <w:szCs w:val="22"/>
        </w:rPr>
        <w:t>Egyetem oktatási</w:t>
      </w:r>
      <w:proofErr w:type="gramEnd"/>
      <w:r w:rsidRPr="000250FA">
        <w:rPr>
          <w:sz w:val="22"/>
          <w:szCs w:val="22"/>
        </w:rPr>
        <w:t xml:space="preserve"> igazgatási (oktatásszervezési) tevékenységének körében olyan személlyel lehet közalkalmazotti jogviszonyt létesíteni, aki angol vagy német nyelvből legalább B2 típusú állami nyelvvizsgával vagy azzal egyenértékű más nyelvvizsgával rendelkezik.</w:t>
      </w:r>
    </w:p>
    <w:p w14:paraId="5597C47D" w14:textId="77777777" w:rsidR="00893D5B" w:rsidRPr="000250FA" w:rsidRDefault="00893D5B" w:rsidP="00893D5B">
      <w:pPr>
        <w:jc w:val="both"/>
        <w:rPr>
          <w:b/>
          <w:sz w:val="22"/>
          <w:szCs w:val="22"/>
        </w:rPr>
      </w:pPr>
    </w:p>
    <w:p w14:paraId="3A59D191" w14:textId="77777777" w:rsidR="00893D5B" w:rsidRPr="000250FA" w:rsidRDefault="00893D5B" w:rsidP="00893D5B">
      <w:pPr>
        <w:pStyle w:val="Cmsor4"/>
      </w:pPr>
      <w:bookmarkStart w:id="36" w:name="_Toc432753522"/>
      <w:r w:rsidRPr="000250FA">
        <w:t>A pályázat</w:t>
      </w:r>
      <w:bookmarkEnd w:id="36"/>
    </w:p>
    <w:p w14:paraId="22C97F92" w14:textId="77777777" w:rsidR="00893D5B" w:rsidRPr="000250FA" w:rsidRDefault="00893D5B" w:rsidP="00893D5B">
      <w:pPr>
        <w:rPr>
          <w:strike/>
          <w:sz w:val="22"/>
          <w:szCs w:val="22"/>
        </w:rPr>
      </w:pPr>
    </w:p>
    <w:p w14:paraId="272FB9FD" w14:textId="77777777" w:rsidR="00893D5B" w:rsidRPr="000250FA" w:rsidRDefault="00893D5B" w:rsidP="00893D5B">
      <w:pPr>
        <w:tabs>
          <w:tab w:val="left" w:pos="9781"/>
        </w:tabs>
        <w:ind w:right="-144"/>
        <w:jc w:val="both"/>
        <w:rPr>
          <w:sz w:val="22"/>
          <w:szCs w:val="22"/>
        </w:rPr>
      </w:pPr>
      <w:r w:rsidRPr="000250FA">
        <w:rPr>
          <w:b/>
          <w:sz w:val="22"/>
          <w:szCs w:val="22"/>
        </w:rPr>
        <w:t>10. §</w:t>
      </w:r>
      <w:r w:rsidRPr="000250FA">
        <w:rPr>
          <w:rStyle w:val="Lbjegyzet-hivatkozs"/>
          <w:sz w:val="22"/>
          <w:szCs w:val="22"/>
        </w:rPr>
        <w:footnoteReference w:id="77"/>
      </w:r>
      <w:r w:rsidRPr="000250FA">
        <w:rPr>
          <w:i/>
          <w:strike/>
          <w:sz w:val="22"/>
          <w:szCs w:val="22"/>
        </w:rPr>
        <w:t xml:space="preserve"> </w:t>
      </w:r>
    </w:p>
    <w:p w14:paraId="6CFEF05B" w14:textId="77777777" w:rsidR="00893D5B" w:rsidRPr="000250FA" w:rsidRDefault="00893D5B" w:rsidP="00893D5B">
      <w:pPr>
        <w:pStyle w:val="Cmsor4"/>
      </w:pPr>
      <w:bookmarkStart w:id="37" w:name="_Toc432753523"/>
      <w:r w:rsidRPr="000250FA">
        <w:t>A próbaidő</w:t>
      </w:r>
      <w:bookmarkEnd w:id="37"/>
    </w:p>
    <w:p w14:paraId="0B57BDE9" w14:textId="77777777" w:rsidR="00893D5B" w:rsidRPr="000250FA" w:rsidRDefault="00893D5B" w:rsidP="00893D5B">
      <w:pPr>
        <w:tabs>
          <w:tab w:val="left" w:pos="9781"/>
        </w:tabs>
        <w:ind w:right="-144"/>
        <w:jc w:val="both"/>
        <w:rPr>
          <w:sz w:val="22"/>
          <w:szCs w:val="22"/>
        </w:rPr>
      </w:pPr>
    </w:p>
    <w:p w14:paraId="401D4805" w14:textId="77777777" w:rsidR="00893D5B" w:rsidRPr="000250FA" w:rsidRDefault="00893D5B" w:rsidP="00893D5B">
      <w:pPr>
        <w:pStyle w:val="Normlstilus1norml"/>
        <w:tabs>
          <w:tab w:val="left" w:pos="9781"/>
        </w:tabs>
        <w:ind w:right="-144"/>
        <w:rPr>
          <w:strike/>
          <w:color w:val="auto"/>
          <w:sz w:val="22"/>
          <w:szCs w:val="22"/>
        </w:rPr>
      </w:pPr>
      <w:r w:rsidRPr="000250FA">
        <w:rPr>
          <w:b/>
          <w:bCs/>
          <w:color w:val="auto"/>
          <w:sz w:val="22"/>
          <w:szCs w:val="22"/>
        </w:rPr>
        <w:t>11. §</w:t>
      </w:r>
      <w:r w:rsidRPr="000250FA">
        <w:rPr>
          <w:rStyle w:val="Lbjegyzet-hivatkozs"/>
          <w:bCs/>
          <w:color w:val="auto"/>
          <w:sz w:val="22"/>
          <w:szCs w:val="22"/>
        </w:rPr>
        <w:footnoteReference w:id="78"/>
      </w:r>
      <w:r w:rsidRPr="000250FA">
        <w:rPr>
          <w:color w:val="auto"/>
          <w:sz w:val="22"/>
          <w:szCs w:val="22"/>
        </w:rPr>
        <w:t xml:space="preserve"> (1) </w:t>
      </w:r>
      <w:r w:rsidRPr="000250FA">
        <w:rPr>
          <w:bCs/>
          <w:color w:val="auto"/>
          <w:sz w:val="22"/>
          <w:szCs w:val="22"/>
        </w:rPr>
        <w:t>A</w:t>
      </w:r>
      <w:r w:rsidRPr="000250FA">
        <w:rPr>
          <w:b/>
          <w:bCs/>
          <w:i/>
          <w:color w:val="auto"/>
          <w:sz w:val="22"/>
          <w:szCs w:val="22"/>
        </w:rPr>
        <w:t xml:space="preserve"> </w:t>
      </w:r>
      <w:r w:rsidRPr="000250FA">
        <w:rPr>
          <w:bCs/>
          <w:color w:val="auto"/>
          <w:sz w:val="22"/>
          <w:szCs w:val="22"/>
        </w:rPr>
        <w:t>kinevezésben a közalkalmazotti jogviszony létesítésekor - a (3) bekezdésben foglalt kivétellel - három hónap próbaidő megállapítása kötelező.</w:t>
      </w:r>
    </w:p>
    <w:p w14:paraId="3E60C062" w14:textId="77777777" w:rsidR="00893D5B" w:rsidRPr="000250FA" w:rsidRDefault="00893D5B" w:rsidP="00893D5B">
      <w:pPr>
        <w:pStyle w:val="Normlstilus1norml"/>
        <w:tabs>
          <w:tab w:val="left" w:pos="9781"/>
        </w:tabs>
        <w:ind w:right="-144"/>
        <w:rPr>
          <w:bCs/>
          <w:color w:val="auto"/>
          <w:sz w:val="22"/>
          <w:szCs w:val="22"/>
        </w:rPr>
      </w:pPr>
    </w:p>
    <w:p w14:paraId="20C13DE7" w14:textId="77777777" w:rsidR="00893D5B" w:rsidRPr="000250FA" w:rsidRDefault="00893D5B" w:rsidP="00893D5B">
      <w:pPr>
        <w:pStyle w:val="Normlstilus1norml"/>
        <w:tabs>
          <w:tab w:val="left" w:pos="9781"/>
        </w:tabs>
        <w:ind w:right="-144"/>
        <w:rPr>
          <w:strike/>
          <w:color w:val="auto"/>
          <w:sz w:val="22"/>
          <w:szCs w:val="22"/>
        </w:rPr>
      </w:pPr>
      <w:r w:rsidRPr="000250FA">
        <w:rPr>
          <w:bCs/>
          <w:color w:val="auto"/>
          <w:sz w:val="22"/>
          <w:szCs w:val="22"/>
        </w:rPr>
        <w:t>(2) A kinevezésben a közalkalmazotti jogviszony létesítésekor három hónapot meghaladó próbaidő köthető ki, melynek tartama legfeljebb négy hónapig terjedhet.</w:t>
      </w:r>
    </w:p>
    <w:p w14:paraId="307099A4" w14:textId="77777777" w:rsidR="00893D5B" w:rsidRPr="000250FA" w:rsidRDefault="00893D5B" w:rsidP="00893D5B">
      <w:pPr>
        <w:rPr>
          <w:b/>
          <w:bCs/>
          <w:sz w:val="22"/>
          <w:szCs w:val="22"/>
        </w:rPr>
      </w:pPr>
    </w:p>
    <w:p w14:paraId="6AC2F06F" w14:textId="77777777" w:rsidR="00893D5B" w:rsidRDefault="00893D5B" w:rsidP="00F742C0">
      <w:pPr>
        <w:jc w:val="both"/>
        <w:rPr>
          <w:bCs/>
          <w:sz w:val="22"/>
          <w:szCs w:val="22"/>
        </w:rPr>
      </w:pPr>
      <w:r w:rsidRPr="000250FA">
        <w:rPr>
          <w:bCs/>
          <w:sz w:val="22"/>
          <w:szCs w:val="22"/>
        </w:rPr>
        <w:t>(3) Nem kell próbaidőt megállapítani - kivéve, ha a közalkalmazotti jogviszony a 11/C. § (2) bekezdésében meghatározottak szerint szűnt meg, és az újabb közalkalmazotti jogviszony létesítésekor a gya</w:t>
      </w:r>
      <w:r w:rsidR="00F742C0">
        <w:rPr>
          <w:bCs/>
          <w:sz w:val="22"/>
          <w:szCs w:val="22"/>
        </w:rPr>
        <w:t>kornoki idő kikötése kötelező –</w:t>
      </w:r>
    </w:p>
    <w:p w14:paraId="538EB395" w14:textId="77777777" w:rsidR="00F742C0" w:rsidRPr="00F742C0" w:rsidRDefault="00F742C0" w:rsidP="00F742C0">
      <w:pPr>
        <w:jc w:val="both"/>
        <w:rPr>
          <w:bCs/>
          <w:sz w:val="22"/>
          <w:szCs w:val="22"/>
        </w:rPr>
      </w:pPr>
    </w:p>
    <w:p w14:paraId="248C2C21" w14:textId="77777777" w:rsidR="00893D5B" w:rsidRPr="000250FA" w:rsidRDefault="00893D5B" w:rsidP="00912564">
      <w:pPr>
        <w:numPr>
          <w:ilvl w:val="0"/>
          <w:numId w:val="8"/>
        </w:numPr>
        <w:jc w:val="both"/>
        <w:rPr>
          <w:bCs/>
          <w:sz w:val="22"/>
          <w:szCs w:val="22"/>
        </w:rPr>
      </w:pPr>
      <w:r w:rsidRPr="000250FA">
        <w:rPr>
          <w:bCs/>
          <w:sz w:val="22"/>
          <w:szCs w:val="22"/>
        </w:rPr>
        <w:t>áthelyezés,</w:t>
      </w:r>
    </w:p>
    <w:p w14:paraId="3085AF07" w14:textId="77777777" w:rsidR="00893D5B" w:rsidRPr="000250FA" w:rsidRDefault="00893D5B" w:rsidP="00912564">
      <w:pPr>
        <w:numPr>
          <w:ilvl w:val="0"/>
          <w:numId w:val="8"/>
        </w:numPr>
        <w:jc w:val="both"/>
        <w:rPr>
          <w:bCs/>
          <w:sz w:val="22"/>
          <w:szCs w:val="22"/>
        </w:rPr>
      </w:pPr>
      <w:r w:rsidRPr="000250FA">
        <w:rPr>
          <w:bCs/>
          <w:sz w:val="22"/>
          <w:szCs w:val="22"/>
        </w:rPr>
        <w:t>meghatározott munka elvégzésére vagy feladat ellátására szóló határozott idejű kinevezés, illetve</w:t>
      </w:r>
    </w:p>
    <w:p w14:paraId="13986C7F" w14:textId="77777777" w:rsidR="00893D5B" w:rsidRPr="000250FA" w:rsidRDefault="00893D5B" w:rsidP="00912564">
      <w:pPr>
        <w:numPr>
          <w:ilvl w:val="0"/>
          <w:numId w:val="8"/>
        </w:numPr>
        <w:jc w:val="both"/>
        <w:rPr>
          <w:bCs/>
          <w:sz w:val="22"/>
          <w:szCs w:val="22"/>
        </w:rPr>
      </w:pPr>
      <w:r w:rsidRPr="000250FA">
        <w:rPr>
          <w:sz w:val="22"/>
          <w:szCs w:val="22"/>
        </w:rPr>
        <w:t>azonos felek közötti újabb kinevezés</w:t>
      </w:r>
    </w:p>
    <w:p w14:paraId="59870C84" w14:textId="77777777" w:rsidR="00893D5B" w:rsidRPr="000250FA" w:rsidRDefault="00893D5B" w:rsidP="00893D5B">
      <w:pPr>
        <w:tabs>
          <w:tab w:val="left" w:pos="9781"/>
        </w:tabs>
        <w:autoSpaceDE w:val="0"/>
        <w:autoSpaceDN w:val="0"/>
        <w:adjustRightInd w:val="0"/>
        <w:ind w:right="-144"/>
        <w:jc w:val="both"/>
        <w:rPr>
          <w:sz w:val="22"/>
          <w:szCs w:val="22"/>
        </w:rPr>
      </w:pPr>
      <w:proofErr w:type="gramStart"/>
      <w:r w:rsidRPr="000250FA">
        <w:rPr>
          <w:sz w:val="22"/>
          <w:szCs w:val="22"/>
        </w:rPr>
        <w:t>esetén</w:t>
      </w:r>
      <w:proofErr w:type="gramEnd"/>
      <w:r w:rsidRPr="000250FA">
        <w:rPr>
          <w:sz w:val="22"/>
          <w:szCs w:val="22"/>
        </w:rPr>
        <w:t>.</w:t>
      </w:r>
    </w:p>
    <w:p w14:paraId="2CF80FA0" w14:textId="77777777" w:rsidR="00893D5B" w:rsidRPr="000250FA" w:rsidRDefault="00893D5B" w:rsidP="00893D5B">
      <w:pPr>
        <w:rPr>
          <w:b/>
          <w:sz w:val="22"/>
          <w:szCs w:val="22"/>
        </w:rPr>
      </w:pPr>
    </w:p>
    <w:p w14:paraId="437C47A3" w14:textId="77777777" w:rsidR="00893D5B" w:rsidRPr="000250FA" w:rsidRDefault="00893D5B" w:rsidP="00893D5B">
      <w:pPr>
        <w:jc w:val="both"/>
        <w:rPr>
          <w:bCs/>
          <w:strike/>
          <w:sz w:val="22"/>
          <w:szCs w:val="22"/>
        </w:rPr>
      </w:pPr>
      <w:r w:rsidRPr="000250FA">
        <w:rPr>
          <w:sz w:val="22"/>
          <w:szCs w:val="22"/>
        </w:rPr>
        <w:t>(4)</w:t>
      </w:r>
      <w:r w:rsidRPr="000250FA">
        <w:rPr>
          <w:rStyle w:val="Lbjegyzet-hivatkozs"/>
          <w:sz w:val="22"/>
          <w:szCs w:val="22"/>
        </w:rPr>
        <w:footnoteReference w:id="79"/>
      </w:r>
      <w:r w:rsidRPr="000250FA">
        <w:rPr>
          <w:sz w:val="22"/>
          <w:szCs w:val="22"/>
        </w:rPr>
        <w:t xml:space="preserve"> </w:t>
      </w:r>
      <w:r w:rsidRPr="000250FA">
        <w:rPr>
          <w:bCs/>
          <w:sz w:val="22"/>
          <w:szCs w:val="22"/>
        </w:rPr>
        <w:t>Nem lehet próbaidőt megállapítani</w:t>
      </w:r>
    </w:p>
    <w:p w14:paraId="11D5223E" w14:textId="77777777" w:rsidR="00893D5B" w:rsidRPr="000250FA" w:rsidRDefault="00893D5B" w:rsidP="00893D5B">
      <w:pPr>
        <w:rPr>
          <w:sz w:val="22"/>
          <w:szCs w:val="22"/>
        </w:rPr>
      </w:pPr>
    </w:p>
    <w:p w14:paraId="388F58D3" w14:textId="77777777" w:rsidR="00893D5B" w:rsidRPr="000250FA" w:rsidRDefault="00893D5B" w:rsidP="00912564">
      <w:pPr>
        <w:numPr>
          <w:ilvl w:val="0"/>
          <w:numId w:val="9"/>
        </w:numPr>
        <w:jc w:val="both"/>
        <w:rPr>
          <w:sz w:val="22"/>
          <w:szCs w:val="22"/>
        </w:rPr>
      </w:pPr>
      <w:r w:rsidRPr="000250FA">
        <w:rPr>
          <w:sz w:val="22"/>
          <w:szCs w:val="22"/>
        </w:rPr>
        <w:t xml:space="preserve">ha a szakorvosjelölti munkakört egészségügyi felsőfokú szakirányú szakképzettség megszerzése érdekben, külön jogszabály szerinti központi gyakornoki, rezidensi rendszer </w:t>
      </w:r>
      <w:r w:rsidRPr="000250FA">
        <w:rPr>
          <w:sz w:val="22"/>
          <w:szCs w:val="22"/>
        </w:rPr>
        <w:lastRenderedPageBreak/>
        <w:t>keretében létesítik, amennyiben a jelölt rendelkezik egészségügyi szolgáltatónál eltöltött, legalább három hónapos gyakorlattal,</w:t>
      </w:r>
    </w:p>
    <w:p w14:paraId="6E4F683F" w14:textId="77777777" w:rsidR="00893D5B" w:rsidRPr="000250FA" w:rsidRDefault="00893D5B" w:rsidP="00912564">
      <w:pPr>
        <w:numPr>
          <w:ilvl w:val="0"/>
          <w:numId w:val="9"/>
        </w:numPr>
        <w:jc w:val="both"/>
        <w:rPr>
          <w:sz w:val="22"/>
          <w:szCs w:val="22"/>
        </w:rPr>
      </w:pPr>
      <w:r w:rsidRPr="000250FA">
        <w:rPr>
          <w:sz w:val="22"/>
          <w:szCs w:val="22"/>
        </w:rPr>
        <w:t xml:space="preserve">ha a közalkalmazotti jogviszony létesítésére </w:t>
      </w:r>
    </w:p>
    <w:p w14:paraId="775F31AB" w14:textId="77777777" w:rsidR="00893D5B" w:rsidRPr="000250FA" w:rsidRDefault="00893D5B" w:rsidP="00893D5B">
      <w:pPr>
        <w:ind w:left="1440"/>
        <w:jc w:val="both"/>
        <w:rPr>
          <w:sz w:val="22"/>
          <w:szCs w:val="22"/>
        </w:rPr>
      </w:pPr>
      <w:proofErr w:type="spellStart"/>
      <w:r w:rsidRPr="000250FA">
        <w:rPr>
          <w:sz w:val="22"/>
          <w:szCs w:val="22"/>
        </w:rPr>
        <w:t>ba</w:t>
      </w:r>
      <w:proofErr w:type="spellEnd"/>
      <w:r w:rsidRPr="000250FA">
        <w:rPr>
          <w:sz w:val="22"/>
          <w:szCs w:val="22"/>
        </w:rPr>
        <w:t xml:space="preserve">) orvosigazgatói (szakmai intézményvezető-helyettesi) vezetői megbízás ellátása érdekében, </w:t>
      </w:r>
    </w:p>
    <w:p w14:paraId="1A0165D5" w14:textId="77777777" w:rsidR="00893D5B" w:rsidRPr="000250FA" w:rsidRDefault="00893D5B" w:rsidP="00893D5B">
      <w:pPr>
        <w:ind w:left="360"/>
        <w:jc w:val="both"/>
        <w:rPr>
          <w:sz w:val="22"/>
          <w:szCs w:val="22"/>
        </w:rPr>
      </w:pPr>
      <w:r w:rsidRPr="000250FA">
        <w:rPr>
          <w:sz w:val="22"/>
          <w:szCs w:val="22"/>
        </w:rPr>
        <w:tab/>
      </w:r>
      <w:r w:rsidRPr="000250FA">
        <w:rPr>
          <w:sz w:val="22"/>
          <w:szCs w:val="22"/>
        </w:rPr>
        <w:tab/>
      </w:r>
      <w:proofErr w:type="spellStart"/>
      <w:r w:rsidRPr="000250FA">
        <w:rPr>
          <w:sz w:val="22"/>
          <w:szCs w:val="22"/>
        </w:rPr>
        <w:t>bb</w:t>
      </w:r>
      <w:proofErr w:type="spellEnd"/>
      <w:r w:rsidRPr="000250FA">
        <w:rPr>
          <w:sz w:val="22"/>
          <w:szCs w:val="22"/>
        </w:rPr>
        <w:t xml:space="preserve">) ápolási igazgatói, gazdasági igazgatói vezetői megbízás ellátása érdekében, </w:t>
      </w:r>
      <w:r w:rsidRPr="000250FA">
        <w:rPr>
          <w:sz w:val="22"/>
          <w:szCs w:val="22"/>
        </w:rPr>
        <w:tab/>
      </w:r>
      <w:r w:rsidRPr="000250FA">
        <w:rPr>
          <w:sz w:val="22"/>
          <w:szCs w:val="22"/>
        </w:rPr>
        <w:tab/>
        <w:t xml:space="preserve">valamint </w:t>
      </w:r>
    </w:p>
    <w:p w14:paraId="42AC67D5" w14:textId="77777777" w:rsidR="00893D5B" w:rsidRPr="000250FA" w:rsidRDefault="00893D5B" w:rsidP="00893D5B">
      <w:pPr>
        <w:ind w:left="720"/>
        <w:jc w:val="both"/>
        <w:rPr>
          <w:sz w:val="22"/>
          <w:szCs w:val="22"/>
        </w:rPr>
      </w:pPr>
      <w:r w:rsidRPr="000250FA">
        <w:rPr>
          <w:sz w:val="22"/>
          <w:szCs w:val="22"/>
        </w:rPr>
        <w:tab/>
      </w:r>
      <w:proofErr w:type="spellStart"/>
      <w:r w:rsidRPr="000250FA">
        <w:rPr>
          <w:sz w:val="22"/>
          <w:szCs w:val="22"/>
        </w:rPr>
        <w:t>bc</w:t>
      </w:r>
      <w:proofErr w:type="spellEnd"/>
      <w:r w:rsidRPr="000250FA">
        <w:rPr>
          <w:sz w:val="22"/>
          <w:szCs w:val="22"/>
        </w:rPr>
        <w:t xml:space="preserve">) ágazatspecifikus munkakör betöltése esetén osztályvezetésre adott vezetői </w:t>
      </w:r>
      <w:r w:rsidRPr="000250FA">
        <w:rPr>
          <w:sz w:val="22"/>
          <w:szCs w:val="22"/>
        </w:rPr>
        <w:tab/>
        <w:t xml:space="preserve">megbízás ellátása érdekében kerül sor, és a közalkalmazott a kinevezésekor </w:t>
      </w:r>
      <w:r w:rsidRPr="000250FA">
        <w:rPr>
          <w:sz w:val="22"/>
          <w:szCs w:val="22"/>
        </w:rPr>
        <w:tab/>
        <w:t xml:space="preserve">legalább öt éves, költségvetési szervnél eltöltött szakmai gyakorlattal </w:t>
      </w:r>
      <w:r w:rsidRPr="000250FA">
        <w:rPr>
          <w:sz w:val="22"/>
          <w:szCs w:val="22"/>
        </w:rPr>
        <w:tab/>
        <w:t>rendelkezik</w:t>
      </w:r>
    </w:p>
    <w:p w14:paraId="6B182CD8" w14:textId="77777777" w:rsidR="00893D5B" w:rsidRPr="000250FA" w:rsidRDefault="00893D5B" w:rsidP="00912564">
      <w:pPr>
        <w:numPr>
          <w:ilvl w:val="0"/>
          <w:numId w:val="9"/>
        </w:numPr>
        <w:jc w:val="both"/>
        <w:rPr>
          <w:sz w:val="22"/>
          <w:szCs w:val="22"/>
        </w:rPr>
      </w:pPr>
      <w:r w:rsidRPr="000250FA">
        <w:rPr>
          <w:sz w:val="22"/>
          <w:szCs w:val="22"/>
        </w:rPr>
        <w:t>belső áthelyezés esetén.</w:t>
      </w:r>
    </w:p>
    <w:p w14:paraId="197D4BD7" w14:textId="77777777" w:rsidR="00893D5B" w:rsidRPr="000250FA" w:rsidRDefault="00893D5B" w:rsidP="00893D5B">
      <w:pPr>
        <w:tabs>
          <w:tab w:val="left" w:pos="9781"/>
        </w:tabs>
        <w:ind w:right="-144"/>
        <w:rPr>
          <w:sz w:val="22"/>
          <w:szCs w:val="22"/>
        </w:rPr>
      </w:pPr>
    </w:p>
    <w:p w14:paraId="76D323D6" w14:textId="77777777" w:rsidR="00893D5B" w:rsidRPr="000250FA" w:rsidRDefault="00893D5B" w:rsidP="00893D5B">
      <w:pPr>
        <w:pStyle w:val="Normlstilus1norml"/>
        <w:tabs>
          <w:tab w:val="left" w:pos="9781"/>
        </w:tabs>
        <w:ind w:right="-144"/>
        <w:rPr>
          <w:b/>
          <w:i/>
          <w:color w:val="auto"/>
          <w:sz w:val="22"/>
          <w:szCs w:val="22"/>
        </w:rPr>
      </w:pPr>
      <w:r w:rsidRPr="000250FA">
        <w:rPr>
          <w:color w:val="auto"/>
          <w:sz w:val="22"/>
          <w:szCs w:val="22"/>
        </w:rPr>
        <w:t>(5)</w:t>
      </w:r>
      <w:r w:rsidRPr="000250FA">
        <w:rPr>
          <w:rStyle w:val="Lbjegyzet-hivatkozs"/>
          <w:color w:val="auto"/>
          <w:sz w:val="22"/>
          <w:szCs w:val="22"/>
        </w:rPr>
        <w:footnoteReference w:id="80"/>
      </w:r>
      <w:r w:rsidRPr="000250FA">
        <w:rPr>
          <w:color w:val="auto"/>
          <w:sz w:val="22"/>
          <w:szCs w:val="22"/>
        </w:rPr>
        <w:t xml:space="preserve"> </w:t>
      </w:r>
      <w:r w:rsidRPr="000250FA">
        <w:rPr>
          <w:rStyle w:val="Lbjegyzet-hivatkozs"/>
          <w:color w:val="auto"/>
          <w:sz w:val="22"/>
          <w:szCs w:val="22"/>
        </w:rPr>
        <w:footnoteReference w:id="81"/>
      </w:r>
      <w:r w:rsidRPr="000250FA">
        <w:rPr>
          <w:color w:val="auto"/>
          <w:sz w:val="22"/>
          <w:szCs w:val="22"/>
        </w:rPr>
        <w:t xml:space="preserve"> </w:t>
      </w:r>
      <w:r w:rsidRPr="000250FA">
        <w:rPr>
          <w:bCs/>
          <w:color w:val="auto"/>
          <w:sz w:val="22"/>
          <w:szCs w:val="22"/>
        </w:rPr>
        <w:t>A próbaidő meghosszabbítása tilos.</w:t>
      </w:r>
      <w:r w:rsidRPr="000250FA">
        <w:rPr>
          <w:b/>
          <w:bCs/>
          <w:i/>
          <w:color w:val="auto"/>
          <w:sz w:val="22"/>
          <w:szCs w:val="22"/>
        </w:rPr>
        <w:t xml:space="preserve"> </w:t>
      </w:r>
      <w:r w:rsidRPr="000250FA">
        <w:rPr>
          <w:color w:val="auto"/>
          <w:sz w:val="22"/>
          <w:szCs w:val="22"/>
        </w:rPr>
        <w:t>A próbaidő alatt a közalkalmazotti jogviszonyt bármelyik fél azonnali hatállyal, indokolás nélkül megszüntetheti. A megszüntetésről szóló nyilatkozatot írásba kell foglalni és legalább a próbaidő végéig a másik féllel közölni kell.</w:t>
      </w:r>
    </w:p>
    <w:p w14:paraId="1D12B371" w14:textId="77777777" w:rsidR="00893D5B" w:rsidRPr="000250FA" w:rsidRDefault="00893D5B" w:rsidP="00893D5B"/>
    <w:p w14:paraId="717AC2B3" w14:textId="77777777" w:rsidR="00893D5B" w:rsidRPr="000250FA" w:rsidRDefault="00893D5B" w:rsidP="00893D5B">
      <w:pPr>
        <w:pStyle w:val="Cmsor4"/>
        <w:rPr>
          <w:i/>
        </w:rPr>
      </w:pPr>
      <w:bookmarkStart w:id="38" w:name="_Toc432753524"/>
      <w:r w:rsidRPr="000250FA">
        <w:t>A gyakornoki foglalkoztatás általános szabályai</w:t>
      </w:r>
      <w:r w:rsidRPr="000250FA">
        <w:rPr>
          <w:rStyle w:val="Lbjegyzet-hivatkozs"/>
          <w:b w:val="0"/>
          <w:i/>
        </w:rPr>
        <w:footnoteReference w:id="82"/>
      </w:r>
      <w:r w:rsidRPr="000250FA">
        <w:rPr>
          <w:lang w:val="hu-HU"/>
        </w:rPr>
        <w:t xml:space="preserve"> </w:t>
      </w:r>
      <w:r w:rsidRPr="000250FA">
        <w:rPr>
          <w:rStyle w:val="Lbjegyzet-hivatkozs"/>
          <w:b w:val="0"/>
        </w:rPr>
        <w:footnoteReference w:id="83"/>
      </w:r>
      <w:bookmarkEnd w:id="38"/>
    </w:p>
    <w:p w14:paraId="0D8C4644" w14:textId="77777777" w:rsidR="00893D5B" w:rsidRPr="000250FA" w:rsidRDefault="00893D5B" w:rsidP="00893D5B">
      <w:pPr>
        <w:tabs>
          <w:tab w:val="left" w:pos="9781"/>
        </w:tabs>
        <w:ind w:right="-144"/>
        <w:jc w:val="both"/>
        <w:rPr>
          <w:sz w:val="22"/>
          <w:szCs w:val="22"/>
        </w:rPr>
      </w:pPr>
    </w:p>
    <w:p w14:paraId="59704E48" w14:textId="77777777" w:rsidR="00893D5B" w:rsidRPr="000250FA" w:rsidRDefault="00893D5B" w:rsidP="00893D5B">
      <w:pPr>
        <w:jc w:val="both"/>
        <w:rPr>
          <w:bCs/>
          <w:sz w:val="22"/>
          <w:szCs w:val="22"/>
        </w:rPr>
      </w:pPr>
      <w:r w:rsidRPr="000250FA">
        <w:rPr>
          <w:b/>
          <w:sz w:val="22"/>
          <w:szCs w:val="22"/>
        </w:rPr>
        <w:t>11/</w:t>
      </w:r>
      <w:proofErr w:type="gramStart"/>
      <w:r w:rsidRPr="000250FA">
        <w:rPr>
          <w:b/>
          <w:sz w:val="22"/>
          <w:szCs w:val="22"/>
        </w:rPr>
        <w:t>A.</w:t>
      </w:r>
      <w:proofErr w:type="gramEnd"/>
      <w:r w:rsidRPr="000250FA">
        <w:rPr>
          <w:b/>
          <w:sz w:val="22"/>
          <w:szCs w:val="22"/>
        </w:rPr>
        <w:t xml:space="preserve"> §</w:t>
      </w:r>
      <w:r w:rsidRPr="000250FA">
        <w:rPr>
          <w:i/>
          <w:sz w:val="22"/>
          <w:szCs w:val="22"/>
        </w:rPr>
        <w:t xml:space="preserve"> </w:t>
      </w:r>
      <w:r w:rsidRPr="000250FA">
        <w:rPr>
          <w:bCs/>
          <w:sz w:val="22"/>
          <w:szCs w:val="22"/>
        </w:rPr>
        <w:t>(1) Az E-H fizetési osztályba sorolt, a munkáltató alaptevékenységének ellátásával összefüggő munkakörbe történő határozatlan időre szóló kinevezés esetén - ideértve az ilyen tartalmú áthelyezést is - a gyakornoki idő kikötése kötelező, ha a közalkalmazott nem rendelkezik a munkaköréhez szükséges iskolai végzettséget és szakképzettséget, szakképesítést igénylő, a három évet meghaladó időtartamú szakmai gyakorlattal. E szabályt kell alkalmazni - jogszabály kizáró rendelkezése hiányában - a tudományos kutatói munkakört betöltő közalkalmazottra is.</w:t>
      </w:r>
    </w:p>
    <w:p w14:paraId="4478071C" w14:textId="77777777" w:rsidR="00893D5B" w:rsidRPr="000250FA" w:rsidRDefault="00893D5B" w:rsidP="00893D5B">
      <w:pPr>
        <w:tabs>
          <w:tab w:val="left" w:pos="9781"/>
        </w:tabs>
        <w:autoSpaceDE w:val="0"/>
        <w:autoSpaceDN w:val="0"/>
        <w:adjustRightInd w:val="0"/>
        <w:ind w:right="-144"/>
        <w:jc w:val="both"/>
        <w:rPr>
          <w:sz w:val="22"/>
          <w:szCs w:val="22"/>
        </w:rPr>
      </w:pPr>
    </w:p>
    <w:p w14:paraId="4BB586AD" w14:textId="77777777" w:rsidR="00893D5B" w:rsidRPr="000250FA" w:rsidRDefault="00893D5B" w:rsidP="00893D5B">
      <w:pPr>
        <w:jc w:val="both"/>
        <w:rPr>
          <w:bCs/>
          <w:sz w:val="22"/>
          <w:szCs w:val="22"/>
        </w:rPr>
      </w:pPr>
      <w:r w:rsidRPr="000250FA">
        <w:rPr>
          <w:bCs/>
          <w:sz w:val="22"/>
          <w:szCs w:val="22"/>
        </w:rPr>
        <w:t xml:space="preserve">(2) A gyakornoki idő az E fizetési osztályba tartozó munkakörben két, az F-H fizetési osztályba tartozó, illetve az (1) bekezdésben meghatározott tudományos kutatói munkakörben három év. Ha a közalkalmazott </w:t>
      </w:r>
    </w:p>
    <w:p w14:paraId="0DFC7BF5" w14:textId="77777777" w:rsidR="00893D5B" w:rsidRPr="000250FA" w:rsidRDefault="00893D5B" w:rsidP="00893D5B">
      <w:pPr>
        <w:jc w:val="both"/>
        <w:rPr>
          <w:bCs/>
          <w:iCs/>
          <w:sz w:val="22"/>
          <w:szCs w:val="22"/>
        </w:rPr>
      </w:pPr>
    </w:p>
    <w:p w14:paraId="2A2C2911" w14:textId="77777777" w:rsidR="00893D5B" w:rsidRPr="000250FA" w:rsidRDefault="00893D5B" w:rsidP="00912564">
      <w:pPr>
        <w:numPr>
          <w:ilvl w:val="0"/>
          <w:numId w:val="10"/>
        </w:numPr>
        <w:jc w:val="both"/>
        <w:rPr>
          <w:sz w:val="22"/>
          <w:szCs w:val="22"/>
        </w:rPr>
      </w:pPr>
      <w:r w:rsidRPr="000250FA">
        <w:rPr>
          <w:sz w:val="22"/>
          <w:szCs w:val="22"/>
        </w:rPr>
        <w:t>az E fizetési osztályba tartozó munkakörben egy évet,</w:t>
      </w:r>
    </w:p>
    <w:p w14:paraId="7B303A74" w14:textId="77777777" w:rsidR="00893D5B" w:rsidRPr="000250FA" w:rsidRDefault="00893D5B" w:rsidP="00912564">
      <w:pPr>
        <w:numPr>
          <w:ilvl w:val="0"/>
          <w:numId w:val="10"/>
        </w:numPr>
        <w:jc w:val="both"/>
        <w:rPr>
          <w:sz w:val="22"/>
          <w:szCs w:val="22"/>
        </w:rPr>
      </w:pPr>
      <w:r w:rsidRPr="000250FA">
        <w:rPr>
          <w:sz w:val="22"/>
          <w:szCs w:val="22"/>
        </w:rPr>
        <w:t>az F-H fizetési osztályba tartozó, illetve a tudományos kutatói munkakörben két évet</w:t>
      </w:r>
    </w:p>
    <w:p w14:paraId="043F66B6" w14:textId="77777777" w:rsidR="00893D5B" w:rsidRPr="000250FA" w:rsidRDefault="00893D5B" w:rsidP="00893D5B">
      <w:pPr>
        <w:ind w:left="720"/>
        <w:jc w:val="both"/>
      </w:pPr>
      <w:proofErr w:type="gramStart"/>
      <w:r w:rsidRPr="000250FA">
        <w:rPr>
          <w:sz w:val="22"/>
          <w:szCs w:val="22"/>
        </w:rPr>
        <w:t>meghaladó</w:t>
      </w:r>
      <w:proofErr w:type="gramEnd"/>
      <w:r w:rsidRPr="000250FA">
        <w:rPr>
          <w:sz w:val="22"/>
          <w:szCs w:val="22"/>
        </w:rPr>
        <w:t xml:space="preserve"> szakmai gyakorlattal</w:t>
      </w:r>
      <w:r w:rsidRPr="000250FA">
        <w:t xml:space="preserve"> rendelkezik, a gyakornoki idő tartama egy év. </w:t>
      </w:r>
    </w:p>
    <w:p w14:paraId="0F53FD42" w14:textId="77777777" w:rsidR="00893D5B" w:rsidRPr="000250FA" w:rsidRDefault="00893D5B" w:rsidP="00893D5B">
      <w:pPr>
        <w:jc w:val="both"/>
        <w:rPr>
          <w:bCs/>
          <w:sz w:val="22"/>
          <w:szCs w:val="22"/>
        </w:rPr>
      </w:pPr>
    </w:p>
    <w:p w14:paraId="242775BD" w14:textId="77777777" w:rsidR="00893D5B" w:rsidRPr="000250FA" w:rsidRDefault="00893D5B" w:rsidP="00893D5B">
      <w:pPr>
        <w:jc w:val="both"/>
        <w:rPr>
          <w:bCs/>
          <w:sz w:val="22"/>
          <w:szCs w:val="22"/>
        </w:rPr>
      </w:pPr>
      <w:r w:rsidRPr="000250FA">
        <w:rPr>
          <w:bCs/>
          <w:sz w:val="22"/>
          <w:szCs w:val="22"/>
        </w:rPr>
        <w:t>(3) A gyakornoki idő tartamába nem számít be:</w:t>
      </w:r>
    </w:p>
    <w:p w14:paraId="18DCA64F" w14:textId="77777777" w:rsidR="00893D5B" w:rsidRPr="000250FA" w:rsidRDefault="00893D5B" w:rsidP="00893D5B">
      <w:pPr>
        <w:jc w:val="both"/>
        <w:rPr>
          <w:bCs/>
          <w:iCs/>
          <w:sz w:val="22"/>
          <w:szCs w:val="22"/>
        </w:rPr>
      </w:pPr>
    </w:p>
    <w:p w14:paraId="63E4E596" w14:textId="77777777" w:rsidR="00893D5B" w:rsidRPr="000250FA" w:rsidRDefault="00893D5B" w:rsidP="00912564">
      <w:pPr>
        <w:numPr>
          <w:ilvl w:val="0"/>
          <w:numId w:val="11"/>
        </w:numPr>
        <w:jc w:val="both"/>
        <w:rPr>
          <w:sz w:val="22"/>
          <w:szCs w:val="22"/>
        </w:rPr>
      </w:pPr>
      <w:r w:rsidRPr="000250FA">
        <w:rPr>
          <w:sz w:val="22"/>
          <w:szCs w:val="22"/>
        </w:rPr>
        <w:t>a harminc napot meghaladó keresőképtelenséggel járó betegség,</w:t>
      </w:r>
    </w:p>
    <w:p w14:paraId="5F4890DE" w14:textId="77777777" w:rsidR="00893D5B" w:rsidRPr="000250FA" w:rsidRDefault="00893D5B" w:rsidP="00912564">
      <w:pPr>
        <w:numPr>
          <w:ilvl w:val="0"/>
          <w:numId w:val="11"/>
        </w:numPr>
        <w:jc w:val="both"/>
        <w:rPr>
          <w:sz w:val="22"/>
          <w:szCs w:val="22"/>
        </w:rPr>
      </w:pPr>
      <w:r w:rsidRPr="000250FA">
        <w:rPr>
          <w:sz w:val="22"/>
          <w:szCs w:val="22"/>
        </w:rPr>
        <w:t>a harminc napot meghaladó fizetés nélküli szabadság, valamint</w:t>
      </w:r>
    </w:p>
    <w:p w14:paraId="7DEA8BA2" w14:textId="77777777" w:rsidR="00893D5B" w:rsidRPr="000250FA" w:rsidRDefault="00893D5B" w:rsidP="00912564">
      <w:pPr>
        <w:numPr>
          <w:ilvl w:val="0"/>
          <w:numId w:val="11"/>
        </w:numPr>
        <w:jc w:val="both"/>
      </w:pPr>
      <w:r w:rsidRPr="000250FA">
        <w:rPr>
          <w:sz w:val="22"/>
          <w:szCs w:val="22"/>
        </w:rPr>
        <w:t>a szabadságvesztés, a szigorított javító-nevelő munka, a javító-nevelő munka, valamint a közérdek</w:t>
      </w:r>
      <w:r w:rsidRPr="000250FA">
        <w:t>ű munka</w:t>
      </w:r>
    </w:p>
    <w:p w14:paraId="29FBB0C7" w14:textId="77777777" w:rsidR="00893D5B" w:rsidRPr="000250FA" w:rsidRDefault="00893D5B" w:rsidP="00893D5B">
      <w:proofErr w:type="gramStart"/>
      <w:r w:rsidRPr="000250FA">
        <w:t>tartama</w:t>
      </w:r>
      <w:proofErr w:type="gramEnd"/>
      <w:r w:rsidRPr="000250FA">
        <w:t>.</w:t>
      </w:r>
    </w:p>
    <w:p w14:paraId="37B97D90" w14:textId="77777777" w:rsidR="00893D5B" w:rsidRPr="000250FA" w:rsidRDefault="00893D5B" w:rsidP="00893D5B">
      <w:pPr>
        <w:tabs>
          <w:tab w:val="left" w:pos="9781"/>
        </w:tabs>
        <w:autoSpaceDE w:val="0"/>
        <w:autoSpaceDN w:val="0"/>
        <w:adjustRightInd w:val="0"/>
        <w:ind w:right="-144"/>
        <w:jc w:val="both"/>
        <w:rPr>
          <w:sz w:val="22"/>
          <w:szCs w:val="22"/>
        </w:rPr>
      </w:pPr>
    </w:p>
    <w:p w14:paraId="6212CAC9" w14:textId="77777777" w:rsidR="00893D5B" w:rsidRPr="000250FA" w:rsidRDefault="00893D5B" w:rsidP="00893D5B">
      <w:pPr>
        <w:spacing w:after="160" w:line="256" w:lineRule="auto"/>
        <w:jc w:val="both"/>
        <w:rPr>
          <w:sz w:val="22"/>
          <w:szCs w:val="22"/>
        </w:rPr>
      </w:pPr>
      <w:r w:rsidRPr="000250FA">
        <w:rPr>
          <w:b/>
          <w:sz w:val="22"/>
          <w:szCs w:val="22"/>
        </w:rPr>
        <w:t>(</w:t>
      </w:r>
      <w:r w:rsidRPr="000250FA">
        <w:rPr>
          <w:sz w:val="22"/>
          <w:szCs w:val="22"/>
        </w:rPr>
        <w:t>4)</w:t>
      </w:r>
      <w:r w:rsidRPr="000250FA">
        <w:rPr>
          <w:rStyle w:val="Lbjegyzet-hivatkozs"/>
          <w:sz w:val="22"/>
          <w:szCs w:val="22"/>
        </w:rPr>
        <w:footnoteReference w:id="84"/>
      </w:r>
      <w:r w:rsidRPr="000250FA">
        <w:rPr>
          <w:sz w:val="22"/>
          <w:szCs w:val="22"/>
        </w:rPr>
        <w:t xml:space="preserve"> </w:t>
      </w:r>
      <w:r w:rsidRPr="000250FA">
        <w:rPr>
          <w:bCs/>
          <w:sz w:val="22"/>
          <w:szCs w:val="22"/>
        </w:rPr>
        <w:t>A gyakornoki idő meghatározásánál a PTE munkaköri mátrix által előírt feltételeket kell figyelembe venni.</w:t>
      </w:r>
    </w:p>
    <w:p w14:paraId="05FA7A2F" w14:textId="77777777" w:rsidR="00893D5B" w:rsidRPr="000250FA" w:rsidRDefault="00893D5B" w:rsidP="00893D5B">
      <w:pPr>
        <w:spacing w:after="160" w:line="256" w:lineRule="auto"/>
        <w:jc w:val="both"/>
        <w:rPr>
          <w:sz w:val="22"/>
          <w:szCs w:val="22"/>
        </w:rPr>
      </w:pPr>
      <w:r w:rsidRPr="000250FA">
        <w:rPr>
          <w:sz w:val="22"/>
          <w:szCs w:val="22"/>
        </w:rPr>
        <w:lastRenderedPageBreak/>
        <w:t>(5)</w:t>
      </w:r>
      <w:r w:rsidRPr="000250FA">
        <w:rPr>
          <w:b/>
          <w:i/>
          <w:sz w:val="22"/>
          <w:szCs w:val="22"/>
        </w:rPr>
        <w:t xml:space="preserve"> </w:t>
      </w:r>
      <w:r w:rsidRPr="000250FA">
        <w:rPr>
          <w:rStyle w:val="Lbjegyzet-hivatkozs"/>
          <w:b/>
          <w:i/>
          <w:sz w:val="22"/>
          <w:szCs w:val="22"/>
        </w:rPr>
        <w:footnoteReference w:id="85"/>
      </w:r>
    </w:p>
    <w:p w14:paraId="752E0588" w14:textId="77777777" w:rsidR="00893D5B" w:rsidRPr="000250FA" w:rsidRDefault="00893D5B" w:rsidP="00893D5B">
      <w:pPr>
        <w:jc w:val="both"/>
        <w:rPr>
          <w:bCs/>
          <w:sz w:val="22"/>
          <w:szCs w:val="22"/>
        </w:rPr>
      </w:pPr>
      <w:r w:rsidRPr="000250FA">
        <w:rPr>
          <w:bCs/>
          <w:sz w:val="22"/>
          <w:szCs w:val="22"/>
        </w:rPr>
        <w:t>(6) A gyakornoki idő tartamát a kinevezéskor kell előírni.</w:t>
      </w:r>
    </w:p>
    <w:p w14:paraId="019735E9" w14:textId="77777777" w:rsidR="00893D5B" w:rsidRPr="000250FA" w:rsidRDefault="00893D5B" w:rsidP="00893D5B">
      <w:pPr>
        <w:tabs>
          <w:tab w:val="left" w:pos="9781"/>
        </w:tabs>
        <w:ind w:right="-144"/>
        <w:jc w:val="both"/>
        <w:rPr>
          <w:sz w:val="22"/>
          <w:szCs w:val="22"/>
        </w:rPr>
      </w:pPr>
    </w:p>
    <w:p w14:paraId="20FBD6BB" w14:textId="77777777" w:rsidR="00893D5B" w:rsidRPr="000250FA" w:rsidRDefault="00893D5B" w:rsidP="00893D5B">
      <w:pPr>
        <w:tabs>
          <w:tab w:val="left" w:pos="9781"/>
        </w:tabs>
        <w:ind w:right="-144"/>
        <w:jc w:val="both"/>
        <w:rPr>
          <w:sz w:val="22"/>
          <w:szCs w:val="22"/>
        </w:rPr>
      </w:pPr>
      <w:r w:rsidRPr="000250FA">
        <w:rPr>
          <w:sz w:val="22"/>
          <w:szCs w:val="22"/>
        </w:rPr>
        <w:t>(7) A gyakornoki idő folyamatosságát nem érinti az áthelyezés. Amennyiben a közalkalmazotti jogviszony a gyakornoki idő alatt megszűnt, annak tartamát a szakmai gyakorlat megállapításakor abban az esetben kell figyelembe venni, ha a közalkalmazott jogviszonya megszűnését követően a korábbival azonos vagy azzal egyenlő értékű munkakörre közalkalmazotti jogviszonyt létesít. Ettől eltérően, nem lehet a szakmai gyakorlat megállapításakor beszámítani a közalkalmazotti jogviszony időtartamát, ha az a gyakornoki idő alatt</w:t>
      </w:r>
    </w:p>
    <w:p w14:paraId="7869886B" w14:textId="77777777" w:rsidR="00893D5B" w:rsidRPr="000250FA" w:rsidRDefault="00893D5B" w:rsidP="00893D5B">
      <w:pPr>
        <w:tabs>
          <w:tab w:val="left" w:pos="9781"/>
        </w:tabs>
        <w:ind w:right="-144"/>
        <w:jc w:val="both"/>
        <w:rPr>
          <w:sz w:val="22"/>
          <w:szCs w:val="22"/>
        </w:rPr>
      </w:pPr>
    </w:p>
    <w:p w14:paraId="03A356F7" w14:textId="77777777" w:rsidR="00893D5B" w:rsidRPr="000250FA" w:rsidRDefault="00893D5B" w:rsidP="00912564">
      <w:pPr>
        <w:numPr>
          <w:ilvl w:val="0"/>
          <w:numId w:val="12"/>
        </w:numPr>
        <w:jc w:val="both"/>
        <w:rPr>
          <w:sz w:val="22"/>
          <w:szCs w:val="22"/>
        </w:rPr>
      </w:pPr>
      <w:r w:rsidRPr="000250FA">
        <w:rPr>
          <w:sz w:val="22"/>
          <w:szCs w:val="22"/>
        </w:rPr>
        <w:t>a 11/C. § (2) bekezdése alapján megszűnik, vagy</w:t>
      </w:r>
    </w:p>
    <w:p w14:paraId="2C4BF4C2" w14:textId="77777777" w:rsidR="00893D5B" w:rsidRPr="000250FA" w:rsidRDefault="00893D5B" w:rsidP="00912564">
      <w:pPr>
        <w:numPr>
          <w:ilvl w:val="0"/>
          <w:numId w:val="12"/>
        </w:numPr>
        <w:jc w:val="both"/>
      </w:pPr>
      <w:r w:rsidRPr="000250FA">
        <w:rPr>
          <w:sz w:val="22"/>
          <w:szCs w:val="22"/>
        </w:rPr>
        <w:t xml:space="preserve">rendkívüli felmentéssel, illetve a közalkalmazott munkaköri feladatainak ellátására való- az egészségügyi alkalmatlanság kivételével- tartós alkalmatlansága vagy nem megfelelő munkavégzése </w:t>
      </w:r>
      <w:r w:rsidRPr="000250FA">
        <w:t>miatt felmentésre került.</w:t>
      </w:r>
    </w:p>
    <w:p w14:paraId="78F984B3" w14:textId="77777777" w:rsidR="00893D5B" w:rsidRPr="000250FA" w:rsidRDefault="00893D5B" w:rsidP="00893D5B">
      <w:pPr>
        <w:tabs>
          <w:tab w:val="left" w:pos="9781"/>
        </w:tabs>
        <w:ind w:right="-144"/>
        <w:rPr>
          <w:sz w:val="22"/>
          <w:szCs w:val="22"/>
        </w:rPr>
      </w:pPr>
    </w:p>
    <w:p w14:paraId="1764B925" w14:textId="77777777" w:rsidR="00893D5B" w:rsidRPr="000250FA" w:rsidRDefault="00893D5B" w:rsidP="00893D5B">
      <w:pPr>
        <w:tabs>
          <w:tab w:val="left" w:pos="9781"/>
        </w:tabs>
        <w:ind w:right="-144"/>
        <w:jc w:val="both"/>
        <w:rPr>
          <w:sz w:val="22"/>
          <w:szCs w:val="22"/>
        </w:rPr>
      </w:pPr>
      <w:r w:rsidRPr="000250FA">
        <w:rPr>
          <w:sz w:val="22"/>
          <w:szCs w:val="22"/>
        </w:rPr>
        <w:t xml:space="preserve">(8) Az (1) bekezdésben meghatározott szakmai gyakorlat </w:t>
      </w:r>
    </w:p>
    <w:p w14:paraId="0E1F8C7F" w14:textId="77777777" w:rsidR="00893D5B" w:rsidRPr="000250FA" w:rsidRDefault="00893D5B" w:rsidP="00893D5B">
      <w:pPr>
        <w:tabs>
          <w:tab w:val="left" w:pos="9781"/>
        </w:tabs>
        <w:ind w:right="-144"/>
        <w:jc w:val="both"/>
        <w:rPr>
          <w:sz w:val="22"/>
          <w:szCs w:val="22"/>
        </w:rPr>
      </w:pPr>
    </w:p>
    <w:p w14:paraId="6B5DA59F" w14:textId="77777777" w:rsidR="00893D5B" w:rsidRPr="000250FA" w:rsidRDefault="00893D5B" w:rsidP="00912564">
      <w:pPr>
        <w:numPr>
          <w:ilvl w:val="0"/>
          <w:numId w:val="13"/>
        </w:numPr>
        <w:jc w:val="both"/>
        <w:rPr>
          <w:sz w:val="22"/>
          <w:szCs w:val="22"/>
        </w:rPr>
      </w:pPr>
      <w:r w:rsidRPr="000250FA">
        <w:rPr>
          <w:sz w:val="22"/>
          <w:szCs w:val="22"/>
        </w:rPr>
        <w:t>a közalkalmazottak jogállásáról szóló törvény hatálya alá tartozó munkáltatónál munkaviszonyban, közalkalmazotti jogviszonyban töltött idő, valamint</w:t>
      </w:r>
    </w:p>
    <w:p w14:paraId="02A7BB87" w14:textId="77777777" w:rsidR="00893D5B" w:rsidRPr="000250FA" w:rsidRDefault="00893D5B" w:rsidP="00912564">
      <w:pPr>
        <w:numPr>
          <w:ilvl w:val="0"/>
          <w:numId w:val="13"/>
        </w:numPr>
        <w:jc w:val="both"/>
      </w:pPr>
      <w:r w:rsidRPr="000250FA">
        <w:rPr>
          <w:sz w:val="22"/>
          <w:szCs w:val="22"/>
          <w:vertAlign w:val="superscript"/>
        </w:rPr>
        <w:footnoteReference w:id="86"/>
      </w:r>
      <w:r w:rsidRPr="000250FA">
        <w:rPr>
          <w:sz w:val="22"/>
          <w:szCs w:val="22"/>
          <w:vertAlign w:val="superscript"/>
        </w:rPr>
        <w:t xml:space="preserve"> </w:t>
      </w:r>
      <w:r w:rsidRPr="000250FA">
        <w:rPr>
          <w:sz w:val="22"/>
          <w:szCs w:val="22"/>
        </w:rPr>
        <w:t xml:space="preserve">munkavégzésre irányuló egyéb jogviszonyban, így különösen vállalkozási és megbízási szerződésen alapuló jogviszonyban, személyes közreműködéssel járó gazdasági és polgári jogi társasági jogviszonyban, egyéni cég személyesen közreműködő tagjaként, továbbá ügyvédi és egyéni vállalkozói tevékenység során szerezhető meg. A több jogviszonyban megszerzett szakmai gyakorlat időtartamát </w:t>
      </w:r>
      <w:r w:rsidRPr="000250FA">
        <w:t>össze kell számítani, az összeszámításkor egy évnek 365 nap felel meg.</w:t>
      </w:r>
    </w:p>
    <w:p w14:paraId="77D1D9C5" w14:textId="77777777" w:rsidR="00893D5B" w:rsidRPr="000250FA" w:rsidRDefault="00893D5B" w:rsidP="00893D5B">
      <w:pPr>
        <w:tabs>
          <w:tab w:val="left" w:pos="9781"/>
        </w:tabs>
        <w:ind w:right="-144"/>
        <w:jc w:val="both"/>
        <w:rPr>
          <w:sz w:val="22"/>
          <w:szCs w:val="22"/>
        </w:rPr>
      </w:pPr>
    </w:p>
    <w:p w14:paraId="489C4F75" w14:textId="77777777" w:rsidR="00893D5B" w:rsidRPr="000250FA" w:rsidRDefault="00893D5B" w:rsidP="00893D5B">
      <w:pPr>
        <w:tabs>
          <w:tab w:val="left" w:pos="9781"/>
        </w:tabs>
        <w:ind w:right="-144"/>
        <w:jc w:val="both"/>
        <w:rPr>
          <w:sz w:val="22"/>
          <w:szCs w:val="22"/>
        </w:rPr>
      </w:pPr>
      <w:r w:rsidRPr="000250FA">
        <w:rPr>
          <w:sz w:val="22"/>
          <w:szCs w:val="22"/>
        </w:rPr>
        <w:t>(9) A gyakornoki idő megszűnik</w:t>
      </w:r>
    </w:p>
    <w:p w14:paraId="2FA113D8" w14:textId="77777777" w:rsidR="00893D5B" w:rsidRPr="000250FA" w:rsidRDefault="00893D5B" w:rsidP="00893D5B">
      <w:pPr>
        <w:tabs>
          <w:tab w:val="left" w:pos="9781"/>
        </w:tabs>
        <w:ind w:right="-144"/>
        <w:jc w:val="both"/>
        <w:rPr>
          <w:sz w:val="22"/>
          <w:szCs w:val="22"/>
        </w:rPr>
      </w:pPr>
    </w:p>
    <w:p w14:paraId="5183253A" w14:textId="77777777" w:rsidR="00893D5B" w:rsidRPr="000250FA" w:rsidRDefault="00893D5B" w:rsidP="00912564">
      <w:pPr>
        <w:numPr>
          <w:ilvl w:val="0"/>
          <w:numId w:val="14"/>
        </w:numPr>
        <w:jc w:val="both"/>
        <w:rPr>
          <w:sz w:val="22"/>
          <w:szCs w:val="22"/>
        </w:rPr>
      </w:pPr>
      <w:r w:rsidRPr="000250FA">
        <w:rPr>
          <w:sz w:val="22"/>
          <w:szCs w:val="22"/>
        </w:rPr>
        <w:t xml:space="preserve">a közalkalmazotti jogviszony határozott </w:t>
      </w:r>
      <w:proofErr w:type="spellStart"/>
      <w:r w:rsidRPr="000250FA">
        <w:rPr>
          <w:sz w:val="22"/>
          <w:szCs w:val="22"/>
        </w:rPr>
        <w:t>idejűvé</w:t>
      </w:r>
      <w:proofErr w:type="spellEnd"/>
      <w:r w:rsidRPr="000250FA">
        <w:rPr>
          <w:sz w:val="22"/>
          <w:szCs w:val="22"/>
        </w:rPr>
        <w:t xml:space="preserve"> módosításakor,</w:t>
      </w:r>
    </w:p>
    <w:p w14:paraId="2F380128" w14:textId="77777777" w:rsidR="00893D5B" w:rsidRPr="000250FA" w:rsidRDefault="00893D5B" w:rsidP="00912564">
      <w:pPr>
        <w:numPr>
          <w:ilvl w:val="0"/>
          <w:numId w:val="14"/>
        </w:numPr>
        <w:jc w:val="both"/>
      </w:pPr>
      <w:r w:rsidRPr="000250FA">
        <w:rPr>
          <w:sz w:val="22"/>
          <w:szCs w:val="22"/>
        </w:rPr>
        <w:t>ha a közalkalmazott munkaköre úgy változik meg, hogy nem lenne kötelező a gyakornoki idő kikötése</w:t>
      </w:r>
      <w:r w:rsidRPr="000250FA">
        <w:t>.</w:t>
      </w:r>
    </w:p>
    <w:p w14:paraId="12912244" w14:textId="77777777" w:rsidR="00893D5B" w:rsidRPr="000250FA" w:rsidRDefault="00893D5B" w:rsidP="00893D5B">
      <w:pPr>
        <w:tabs>
          <w:tab w:val="left" w:pos="9781"/>
        </w:tabs>
        <w:ind w:right="-144"/>
        <w:jc w:val="both"/>
        <w:rPr>
          <w:sz w:val="22"/>
          <w:szCs w:val="22"/>
        </w:rPr>
      </w:pPr>
    </w:p>
    <w:p w14:paraId="64DC5029" w14:textId="77777777" w:rsidR="00893D5B" w:rsidRPr="000250FA" w:rsidRDefault="00893D5B" w:rsidP="00893D5B">
      <w:pPr>
        <w:tabs>
          <w:tab w:val="left" w:pos="9781"/>
        </w:tabs>
        <w:ind w:right="-144"/>
        <w:jc w:val="both"/>
        <w:rPr>
          <w:sz w:val="22"/>
          <w:szCs w:val="22"/>
        </w:rPr>
      </w:pPr>
      <w:r w:rsidRPr="000250FA">
        <w:rPr>
          <w:sz w:val="22"/>
          <w:szCs w:val="22"/>
        </w:rPr>
        <w:t>(10) Ha a közalkalmazott a kinevezés módosításkor vagy az áthelyezés időpontjában a megváltozott munkaköre tekintetében nem rendelkezik az (1)- (3) bekezdésben meghatározott feltételekkel, a gyakornoki idő kikötését mellőzni kell, amennyiben a (8) bekezdés a) pontja szerinti jogviszonyban töltött idő a tíz évet meghaladja.</w:t>
      </w:r>
    </w:p>
    <w:p w14:paraId="72FC1D57" w14:textId="77777777" w:rsidR="00893D5B" w:rsidRPr="000250FA" w:rsidRDefault="00893D5B" w:rsidP="00893D5B">
      <w:pPr>
        <w:tabs>
          <w:tab w:val="left" w:pos="9781"/>
        </w:tabs>
        <w:ind w:right="-144"/>
        <w:jc w:val="both"/>
        <w:rPr>
          <w:sz w:val="22"/>
          <w:szCs w:val="22"/>
        </w:rPr>
      </w:pPr>
    </w:p>
    <w:p w14:paraId="4CFE9AC0" w14:textId="77777777" w:rsidR="00893D5B" w:rsidRPr="000250FA" w:rsidRDefault="00893D5B" w:rsidP="00893D5B">
      <w:pPr>
        <w:rPr>
          <w:bCs/>
          <w:sz w:val="22"/>
          <w:szCs w:val="22"/>
        </w:rPr>
      </w:pPr>
      <w:r w:rsidRPr="000250FA">
        <w:rPr>
          <w:b/>
          <w:bCs/>
          <w:sz w:val="22"/>
          <w:szCs w:val="22"/>
        </w:rPr>
        <w:t>11/B. §</w:t>
      </w:r>
      <w:r w:rsidRPr="000250FA">
        <w:rPr>
          <w:bCs/>
          <w:sz w:val="22"/>
          <w:szCs w:val="22"/>
        </w:rPr>
        <w:t xml:space="preserve"> (1) </w:t>
      </w:r>
      <w:proofErr w:type="gramStart"/>
      <w:r w:rsidRPr="000250FA">
        <w:rPr>
          <w:bCs/>
          <w:sz w:val="22"/>
          <w:szCs w:val="22"/>
        </w:rPr>
        <w:t>A</w:t>
      </w:r>
      <w:proofErr w:type="gramEnd"/>
      <w:r w:rsidRPr="000250FA">
        <w:rPr>
          <w:bCs/>
          <w:sz w:val="22"/>
          <w:szCs w:val="22"/>
        </w:rPr>
        <w:t xml:space="preserve"> munkáltató a gyakornoki idő kikötésekor köteles tájékoztatni a közalkalmazottat a szakmai segítő személyéről. A szakmai segítő</w:t>
      </w:r>
    </w:p>
    <w:p w14:paraId="5E83933C" w14:textId="77777777" w:rsidR="00893D5B" w:rsidRPr="000250FA" w:rsidRDefault="00893D5B" w:rsidP="00893D5B">
      <w:pPr>
        <w:rPr>
          <w:sz w:val="22"/>
          <w:szCs w:val="22"/>
        </w:rPr>
      </w:pPr>
    </w:p>
    <w:p w14:paraId="78B45CAE" w14:textId="77777777" w:rsidR="00893D5B" w:rsidRPr="000250FA" w:rsidRDefault="00893D5B" w:rsidP="00912564">
      <w:pPr>
        <w:numPr>
          <w:ilvl w:val="0"/>
          <w:numId w:val="15"/>
        </w:numPr>
        <w:jc w:val="both"/>
        <w:rPr>
          <w:sz w:val="22"/>
          <w:szCs w:val="22"/>
        </w:rPr>
      </w:pPr>
      <w:r w:rsidRPr="000250FA">
        <w:rPr>
          <w:sz w:val="22"/>
          <w:szCs w:val="22"/>
        </w:rPr>
        <w:t>figyelemmel kíséri a gyakornok tevékenységét,</w:t>
      </w:r>
    </w:p>
    <w:p w14:paraId="3A547107" w14:textId="77777777" w:rsidR="00893D5B" w:rsidRPr="000250FA" w:rsidRDefault="00893D5B" w:rsidP="00912564">
      <w:pPr>
        <w:numPr>
          <w:ilvl w:val="0"/>
          <w:numId w:val="15"/>
        </w:numPr>
        <w:jc w:val="both"/>
        <w:rPr>
          <w:sz w:val="22"/>
          <w:szCs w:val="22"/>
        </w:rPr>
      </w:pPr>
      <w:r w:rsidRPr="000250FA">
        <w:rPr>
          <w:sz w:val="22"/>
          <w:szCs w:val="22"/>
        </w:rPr>
        <w:t>segíti a gyakornoki követelmények teljesítését,</w:t>
      </w:r>
    </w:p>
    <w:p w14:paraId="5480F016" w14:textId="77777777" w:rsidR="00893D5B" w:rsidRPr="000250FA" w:rsidRDefault="00893D5B" w:rsidP="00912564">
      <w:pPr>
        <w:numPr>
          <w:ilvl w:val="0"/>
          <w:numId w:val="15"/>
        </w:numPr>
        <w:jc w:val="both"/>
      </w:pPr>
      <w:r w:rsidRPr="000250FA">
        <w:rPr>
          <w:sz w:val="22"/>
          <w:szCs w:val="22"/>
        </w:rPr>
        <w:t xml:space="preserve">félévente </w:t>
      </w:r>
      <w:r w:rsidRPr="000250FA">
        <w:t>írásban értékeli a gyakornok munkavégzését.</w:t>
      </w:r>
    </w:p>
    <w:p w14:paraId="71874DF6" w14:textId="77777777" w:rsidR="00893D5B" w:rsidRPr="000250FA" w:rsidRDefault="00893D5B" w:rsidP="00893D5B">
      <w:pPr>
        <w:tabs>
          <w:tab w:val="left" w:pos="9781"/>
        </w:tabs>
        <w:ind w:right="-144"/>
        <w:rPr>
          <w:bCs/>
          <w:sz w:val="22"/>
          <w:szCs w:val="22"/>
        </w:rPr>
      </w:pPr>
    </w:p>
    <w:p w14:paraId="6EC6CBA1" w14:textId="77777777" w:rsidR="00893D5B" w:rsidRPr="000250FA" w:rsidRDefault="00893D5B" w:rsidP="00893D5B">
      <w:pPr>
        <w:jc w:val="both"/>
        <w:rPr>
          <w:b/>
          <w:bCs/>
          <w:sz w:val="22"/>
          <w:szCs w:val="22"/>
        </w:rPr>
      </w:pPr>
      <w:r w:rsidRPr="000250FA">
        <w:rPr>
          <w:bCs/>
          <w:sz w:val="22"/>
          <w:szCs w:val="22"/>
        </w:rPr>
        <w:t>(2) A gyakornoknak és szakmai segítőjének munkavégzési kötelezettségét úgy kell megállapítani, hogy ennek teljesítése mellett rendes munkaidőben a gyakornoki idővel kapcsolatos kötelezettségének is eleget tehessen</w:t>
      </w:r>
      <w:r w:rsidRPr="000250FA">
        <w:rPr>
          <w:b/>
          <w:bCs/>
          <w:sz w:val="22"/>
          <w:szCs w:val="22"/>
        </w:rPr>
        <w:t>.</w:t>
      </w:r>
    </w:p>
    <w:p w14:paraId="5B7EC3AB" w14:textId="77777777" w:rsidR="00893D5B" w:rsidRPr="000250FA" w:rsidRDefault="00893D5B" w:rsidP="00893D5B">
      <w:pPr>
        <w:tabs>
          <w:tab w:val="left" w:pos="9781"/>
        </w:tabs>
        <w:ind w:right="-144"/>
        <w:rPr>
          <w:sz w:val="22"/>
          <w:szCs w:val="22"/>
        </w:rPr>
      </w:pPr>
    </w:p>
    <w:p w14:paraId="29254B6B" w14:textId="77777777" w:rsidR="00893D5B" w:rsidRPr="000250FA" w:rsidRDefault="00893D5B" w:rsidP="00893D5B">
      <w:pPr>
        <w:tabs>
          <w:tab w:val="left" w:pos="9781"/>
        </w:tabs>
        <w:ind w:right="-144"/>
        <w:jc w:val="both"/>
        <w:rPr>
          <w:sz w:val="22"/>
          <w:szCs w:val="22"/>
        </w:rPr>
      </w:pPr>
      <w:r w:rsidRPr="000250FA">
        <w:rPr>
          <w:sz w:val="22"/>
          <w:szCs w:val="22"/>
        </w:rPr>
        <w:lastRenderedPageBreak/>
        <w:t>(3) Másik szakmai vezetőt kell kijelölni, amennyiben a kinevezésben a munkavégzés helyének vagy a munkakörnek a módosítása ezt indokolttá teszi. Ebben az esetben a szakmai segítő írásban értékeli a gyakornok munkavégzését.</w:t>
      </w:r>
    </w:p>
    <w:p w14:paraId="16CB089D" w14:textId="77777777" w:rsidR="00893D5B" w:rsidRPr="000250FA" w:rsidRDefault="00893D5B" w:rsidP="00893D5B">
      <w:pPr>
        <w:tabs>
          <w:tab w:val="left" w:pos="9781"/>
        </w:tabs>
        <w:ind w:right="-144"/>
        <w:jc w:val="both"/>
        <w:rPr>
          <w:b/>
          <w:i/>
          <w:sz w:val="22"/>
          <w:szCs w:val="22"/>
        </w:rPr>
      </w:pPr>
    </w:p>
    <w:p w14:paraId="0616201E" w14:textId="77777777" w:rsidR="00893D5B" w:rsidRPr="000250FA" w:rsidRDefault="00893D5B" w:rsidP="00893D5B">
      <w:pPr>
        <w:rPr>
          <w:bCs/>
          <w:sz w:val="22"/>
          <w:szCs w:val="22"/>
        </w:rPr>
      </w:pPr>
      <w:r w:rsidRPr="000250FA">
        <w:rPr>
          <w:bCs/>
          <w:sz w:val="22"/>
          <w:szCs w:val="22"/>
        </w:rPr>
        <w:t>(4)</w:t>
      </w:r>
      <w:r w:rsidRPr="000250FA">
        <w:rPr>
          <w:bCs/>
          <w:i/>
          <w:sz w:val="22"/>
          <w:szCs w:val="22"/>
        </w:rPr>
        <w:t xml:space="preserve"> </w:t>
      </w:r>
      <w:r w:rsidRPr="000250FA">
        <w:rPr>
          <w:bCs/>
          <w:sz w:val="22"/>
          <w:szCs w:val="22"/>
        </w:rPr>
        <w:t>A gyakornok:</w:t>
      </w:r>
    </w:p>
    <w:p w14:paraId="19DAD167" w14:textId="77777777" w:rsidR="00893D5B" w:rsidRPr="000250FA" w:rsidRDefault="00893D5B" w:rsidP="00893D5B">
      <w:pPr>
        <w:rPr>
          <w:bCs/>
          <w:iCs/>
          <w:sz w:val="22"/>
          <w:szCs w:val="22"/>
        </w:rPr>
      </w:pPr>
    </w:p>
    <w:p w14:paraId="7AA0203A" w14:textId="77777777" w:rsidR="00893D5B" w:rsidRPr="000250FA" w:rsidRDefault="00893D5B" w:rsidP="00912564">
      <w:pPr>
        <w:numPr>
          <w:ilvl w:val="0"/>
          <w:numId w:val="16"/>
        </w:numPr>
        <w:jc w:val="both"/>
        <w:rPr>
          <w:bCs/>
          <w:sz w:val="22"/>
          <w:szCs w:val="22"/>
        </w:rPr>
      </w:pPr>
      <w:r w:rsidRPr="000250FA">
        <w:rPr>
          <w:bCs/>
          <w:sz w:val="22"/>
          <w:szCs w:val="22"/>
        </w:rPr>
        <w:t>ismerje az Egyetem szervezeti és működési rendjét, foglalkoztatási követelményrendszerét, hallgatói követelményrendszerét, valamint a képzési programját,</w:t>
      </w:r>
    </w:p>
    <w:p w14:paraId="6C0139AB" w14:textId="77777777" w:rsidR="00893D5B" w:rsidRPr="000250FA" w:rsidRDefault="00893D5B" w:rsidP="00912564">
      <w:pPr>
        <w:numPr>
          <w:ilvl w:val="0"/>
          <w:numId w:val="16"/>
        </w:numPr>
        <w:jc w:val="both"/>
        <w:rPr>
          <w:bCs/>
          <w:sz w:val="22"/>
          <w:szCs w:val="22"/>
        </w:rPr>
      </w:pPr>
      <w:r w:rsidRPr="000250FA">
        <w:rPr>
          <w:bCs/>
          <w:sz w:val="22"/>
          <w:szCs w:val="22"/>
        </w:rPr>
        <w:t>ismerje az intézmény célkitűzéseit, azok gyakorlati megvalósulását,</w:t>
      </w:r>
    </w:p>
    <w:p w14:paraId="060E44D8" w14:textId="77777777" w:rsidR="00893D5B" w:rsidRPr="000250FA" w:rsidRDefault="00893D5B" w:rsidP="00912564">
      <w:pPr>
        <w:numPr>
          <w:ilvl w:val="0"/>
          <w:numId w:val="16"/>
        </w:numPr>
        <w:jc w:val="both"/>
        <w:rPr>
          <w:bCs/>
          <w:sz w:val="22"/>
          <w:szCs w:val="22"/>
        </w:rPr>
      </w:pPr>
      <w:r w:rsidRPr="000250FA">
        <w:rPr>
          <w:bCs/>
          <w:sz w:val="22"/>
          <w:szCs w:val="22"/>
        </w:rPr>
        <w:t>gyakorlatban mélyítse el a korszerű oktatáshoz kapcsolódó eszközök használatához szükséges ismereteket,</w:t>
      </w:r>
    </w:p>
    <w:p w14:paraId="6C73BF59" w14:textId="77777777" w:rsidR="00893D5B" w:rsidRPr="000250FA" w:rsidRDefault="00893D5B" w:rsidP="00912564">
      <w:pPr>
        <w:numPr>
          <w:ilvl w:val="0"/>
          <w:numId w:val="16"/>
        </w:numPr>
        <w:jc w:val="both"/>
        <w:rPr>
          <w:bCs/>
          <w:sz w:val="22"/>
          <w:szCs w:val="22"/>
        </w:rPr>
      </w:pPr>
      <w:r w:rsidRPr="000250FA">
        <w:rPr>
          <w:bCs/>
          <w:sz w:val="22"/>
          <w:szCs w:val="22"/>
        </w:rPr>
        <w:t>váljon alkalmassá a hátrányos helyzetű, fogyatékossággal élő hallgatók egyéni fejlesztésére,</w:t>
      </w:r>
    </w:p>
    <w:p w14:paraId="2F80B1F8" w14:textId="77777777" w:rsidR="00893D5B" w:rsidRPr="000250FA" w:rsidRDefault="00893D5B" w:rsidP="00912564">
      <w:pPr>
        <w:numPr>
          <w:ilvl w:val="0"/>
          <w:numId w:val="16"/>
        </w:numPr>
        <w:jc w:val="both"/>
        <w:rPr>
          <w:bCs/>
          <w:sz w:val="22"/>
          <w:szCs w:val="22"/>
        </w:rPr>
      </w:pPr>
      <w:r w:rsidRPr="000250FA">
        <w:rPr>
          <w:bCs/>
          <w:sz w:val="22"/>
          <w:szCs w:val="22"/>
        </w:rPr>
        <w:t>ismerje meg a munkakörére vonatkozó foglalkoztatási alapelveket, az oktatásszervezés gyakorlati feladatait.</w:t>
      </w:r>
    </w:p>
    <w:p w14:paraId="77383BA6" w14:textId="77777777" w:rsidR="00893D5B" w:rsidRPr="000250FA" w:rsidRDefault="00893D5B" w:rsidP="00893D5B">
      <w:pPr>
        <w:rPr>
          <w:bCs/>
          <w:sz w:val="22"/>
          <w:szCs w:val="22"/>
        </w:rPr>
      </w:pPr>
    </w:p>
    <w:p w14:paraId="4355573A" w14:textId="77777777" w:rsidR="00893D5B" w:rsidRPr="000250FA" w:rsidRDefault="00893D5B" w:rsidP="00893D5B">
      <w:pPr>
        <w:spacing w:after="160" w:line="256" w:lineRule="auto"/>
        <w:jc w:val="both"/>
        <w:rPr>
          <w:sz w:val="22"/>
          <w:szCs w:val="22"/>
        </w:rPr>
      </w:pPr>
      <w:r w:rsidRPr="000250FA">
        <w:rPr>
          <w:bCs/>
          <w:sz w:val="22"/>
          <w:szCs w:val="22"/>
        </w:rPr>
        <w:t>(5)</w:t>
      </w:r>
      <w:r w:rsidRPr="000250FA">
        <w:rPr>
          <w:rStyle w:val="Lbjegyzet-hivatkozs"/>
          <w:bCs/>
          <w:sz w:val="22"/>
          <w:szCs w:val="22"/>
        </w:rPr>
        <w:footnoteReference w:id="87"/>
      </w:r>
    </w:p>
    <w:p w14:paraId="3C0012BA" w14:textId="77777777" w:rsidR="00893D5B" w:rsidRPr="000250FA" w:rsidRDefault="00893D5B" w:rsidP="00893D5B">
      <w:pPr>
        <w:jc w:val="both"/>
        <w:rPr>
          <w:bCs/>
          <w:sz w:val="22"/>
          <w:szCs w:val="22"/>
        </w:rPr>
      </w:pPr>
      <w:r w:rsidRPr="000250FA">
        <w:rPr>
          <w:b/>
          <w:bCs/>
          <w:sz w:val="22"/>
          <w:szCs w:val="22"/>
        </w:rPr>
        <w:t>11/C. §</w:t>
      </w:r>
      <w:r w:rsidRPr="000250FA">
        <w:rPr>
          <w:bCs/>
          <w:i/>
          <w:sz w:val="22"/>
          <w:szCs w:val="22"/>
        </w:rPr>
        <w:t xml:space="preserve"> </w:t>
      </w:r>
      <w:r w:rsidRPr="000250FA">
        <w:rPr>
          <w:bCs/>
          <w:sz w:val="22"/>
          <w:szCs w:val="22"/>
        </w:rPr>
        <w:t>(1)</w:t>
      </w:r>
      <w:r w:rsidRPr="000250FA">
        <w:rPr>
          <w:rStyle w:val="Lbjegyzet-hivatkozs"/>
          <w:bCs/>
          <w:sz w:val="22"/>
          <w:szCs w:val="22"/>
        </w:rPr>
        <w:footnoteReference w:id="88"/>
      </w:r>
      <w:r w:rsidRPr="000250FA">
        <w:rPr>
          <w:bCs/>
          <w:i/>
          <w:sz w:val="22"/>
          <w:szCs w:val="22"/>
        </w:rPr>
        <w:t xml:space="preserve"> </w:t>
      </w:r>
      <w:proofErr w:type="gramStart"/>
      <w:r w:rsidRPr="000250FA">
        <w:rPr>
          <w:bCs/>
          <w:sz w:val="22"/>
          <w:szCs w:val="22"/>
        </w:rPr>
        <w:t>A</w:t>
      </w:r>
      <w:proofErr w:type="gramEnd"/>
      <w:r w:rsidRPr="000250FA">
        <w:rPr>
          <w:bCs/>
          <w:sz w:val="22"/>
          <w:szCs w:val="22"/>
        </w:rPr>
        <w:t xml:space="preserve"> gyakornoki idő lejártának hónapjában a közalkalmazottat minősíteni kell. A minősítésről az intézményi szervezeti egység vezetőjének - a gyakornok szakmai segítője véleményét is figyelembe vevő - javaslatára a munkáltatói jogok gyakorlója dönt. A minősítés eredményeként harminc százaléktól</w:t>
      </w:r>
      <w:r w:rsidRPr="000250FA">
        <w:rPr>
          <w:bCs/>
          <w:i/>
          <w:sz w:val="22"/>
          <w:szCs w:val="22"/>
        </w:rPr>
        <w:t xml:space="preserve"> </w:t>
      </w:r>
      <w:r w:rsidRPr="000250FA">
        <w:rPr>
          <w:bCs/>
          <w:sz w:val="22"/>
          <w:szCs w:val="22"/>
        </w:rPr>
        <w:t>„megfelelt”, harminc százalék alatt</w:t>
      </w:r>
      <w:r w:rsidRPr="000250FA">
        <w:rPr>
          <w:bCs/>
          <w:i/>
          <w:sz w:val="22"/>
          <w:szCs w:val="22"/>
        </w:rPr>
        <w:t xml:space="preserve"> </w:t>
      </w:r>
      <w:r w:rsidRPr="000250FA">
        <w:rPr>
          <w:bCs/>
          <w:sz w:val="22"/>
          <w:szCs w:val="22"/>
        </w:rPr>
        <w:t>„nem megfelelt” eredmény adható.</w:t>
      </w:r>
    </w:p>
    <w:p w14:paraId="69DB4E6C" w14:textId="77777777" w:rsidR="00893D5B" w:rsidRPr="000250FA" w:rsidRDefault="00893D5B" w:rsidP="00893D5B">
      <w:pPr>
        <w:jc w:val="both"/>
        <w:rPr>
          <w:bCs/>
          <w:sz w:val="22"/>
          <w:szCs w:val="22"/>
        </w:rPr>
      </w:pPr>
    </w:p>
    <w:p w14:paraId="1D5C71CF" w14:textId="77777777" w:rsidR="00893D5B" w:rsidRPr="000250FA" w:rsidRDefault="00893D5B" w:rsidP="00893D5B">
      <w:pPr>
        <w:jc w:val="both"/>
        <w:rPr>
          <w:bCs/>
          <w:sz w:val="22"/>
          <w:szCs w:val="22"/>
        </w:rPr>
      </w:pPr>
      <w:r w:rsidRPr="000250FA">
        <w:rPr>
          <w:bCs/>
          <w:sz w:val="22"/>
          <w:szCs w:val="22"/>
        </w:rPr>
        <w:t>(2)</w:t>
      </w:r>
      <w:r w:rsidRPr="000250FA">
        <w:rPr>
          <w:bCs/>
          <w:i/>
          <w:sz w:val="22"/>
          <w:szCs w:val="22"/>
        </w:rPr>
        <w:t xml:space="preserve"> </w:t>
      </w:r>
      <w:r w:rsidRPr="000250FA">
        <w:rPr>
          <w:bCs/>
          <w:sz w:val="22"/>
          <w:szCs w:val="22"/>
        </w:rPr>
        <w:t>A közalkalmazotti jogviszony a törvény erejénél fogva megszűnik, ha a közalkalmazott „nem megfelelt” minősítést kap. A közalkalmazotti jogviszony a minősítés eredményének ismertetését követő tizedik napon szűnik meg.</w:t>
      </w:r>
    </w:p>
    <w:p w14:paraId="7E86CD3D" w14:textId="77777777" w:rsidR="00893D5B" w:rsidRPr="000250FA" w:rsidRDefault="00893D5B" w:rsidP="00893D5B">
      <w:pPr>
        <w:tabs>
          <w:tab w:val="left" w:pos="9781"/>
        </w:tabs>
        <w:autoSpaceDE w:val="0"/>
        <w:autoSpaceDN w:val="0"/>
        <w:adjustRightInd w:val="0"/>
        <w:ind w:right="-144"/>
        <w:jc w:val="both"/>
        <w:rPr>
          <w:sz w:val="22"/>
          <w:szCs w:val="22"/>
        </w:rPr>
      </w:pPr>
    </w:p>
    <w:p w14:paraId="147CA276"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89"/>
      </w:r>
      <w:r w:rsidRPr="000250FA">
        <w:rPr>
          <w:sz w:val="22"/>
          <w:szCs w:val="22"/>
        </w:rPr>
        <w:t xml:space="preserve"> A közművelődési, közgyűjteményi szervezeti egységekben, egészségügyi szolgáltatónál foglalkoztatott gyakornoki rendszerre az adott ágazatra, feladatra, tevékenységre meghatározott rendelkezéseket kell megfelelően alkalmazni.</w:t>
      </w:r>
    </w:p>
    <w:p w14:paraId="0C7141BE" w14:textId="77777777" w:rsidR="00893D5B" w:rsidRPr="000250FA" w:rsidRDefault="00893D5B" w:rsidP="00893D5B">
      <w:pPr>
        <w:tabs>
          <w:tab w:val="left" w:pos="9781"/>
        </w:tabs>
        <w:ind w:right="-144"/>
        <w:jc w:val="both"/>
        <w:rPr>
          <w:b/>
          <w:i/>
          <w:sz w:val="22"/>
          <w:szCs w:val="22"/>
        </w:rPr>
      </w:pPr>
    </w:p>
    <w:p w14:paraId="6FF3C454" w14:textId="77777777" w:rsidR="00893D5B" w:rsidRPr="000250FA" w:rsidRDefault="00893D5B" w:rsidP="00893D5B">
      <w:pPr>
        <w:tabs>
          <w:tab w:val="left" w:pos="9781"/>
        </w:tabs>
        <w:ind w:right="-144"/>
        <w:jc w:val="both"/>
        <w:rPr>
          <w:sz w:val="22"/>
          <w:szCs w:val="22"/>
        </w:rPr>
      </w:pPr>
      <w:r w:rsidRPr="000250FA">
        <w:rPr>
          <w:sz w:val="22"/>
          <w:szCs w:val="22"/>
        </w:rPr>
        <w:t>(4) A gyakornoki idő alatt a közalkalmazottra a Kjt. 30/A-30/D. §-</w:t>
      </w:r>
      <w:proofErr w:type="spellStart"/>
      <w:r w:rsidRPr="000250FA">
        <w:rPr>
          <w:sz w:val="22"/>
          <w:szCs w:val="22"/>
        </w:rPr>
        <w:t>ban</w:t>
      </w:r>
      <w:proofErr w:type="spellEnd"/>
      <w:r w:rsidRPr="000250FA">
        <w:rPr>
          <w:sz w:val="22"/>
          <w:szCs w:val="22"/>
        </w:rPr>
        <w:t>, valamint a 45-53/</w:t>
      </w:r>
      <w:proofErr w:type="gramStart"/>
      <w:r w:rsidRPr="000250FA">
        <w:rPr>
          <w:sz w:val="22"/>
          <w:szCs w:val="22"/>
        </w:rPr>
        <w:t>A</w:t>
      </w:r>
      <w:proofErr w:type="gramEnd"/>
      <w:r w:rsidRPr="000250FA">
        <w:rPr>
          <w:sz w:val="22"/>
          <w:szCs w:val="22"/>
        </w:rPr>
        <w:t>. §-</w:t>
      </w:r>
      <w:proofErr w:type="spellStart"/>
      <w:r w:rsidRPr="000250FA">
        <w:rPr>
          <w:sz w:val="22"/>
          <w:szCs w:val="22"/>
        </w:rPr>
        <w:t>ban</w:t>
      </w:r>
      <w:proofErr w:type="spellEnd"/>
      <w:r w:rsidRPr="000250FA">
        <w:rPr>
          <w:sz w:val="22"/>
          <w:szCs w:val="22"/>
        </w:rPr>
        <w:t xml:space="preserve"> foglalt rendelkezések nem alkalmazhatók.</w:t>
      </w:r>
    </w:p>
    <w:p w14:paraId="75BFAE18" w14:textId="77777777" w:rsidR="00893D5B" w:rsidRPr="000250FA" w:rsidRDefault="00893D5B" w:rsidP="00893D5B">
      <w:pPr>
        <w:tabs>
          <w:tab w:val="left" w:pos="9781"/>
        </w:tabs>
        <w:ind w:right="-144"/>
        <w:jc w:val="both"/>
        <w:rPr>
          <w:sz w:val="22"/>
          <w:szCs w:val="22"/>
        </w:rPr>
      </w:pPr>
    </w:p>
    <w:p w14:paraId="5586B7FE" w14:textId="77777777" w:rsidR="00893D5B" w:rsidRPr="000250FA" w:rsidRDefault="00893D5B" w:rsidP="00893D5B">
      <w:pPr>
        <w:tabs>
          <w:tab w:val="left" w:pos="9781"/>
        </w:tabs>
        <w:ind w:right="-144"/>
        <w:jc w:val="both"/>
        <w:rPr>
          <w:sz w:val="22"/>
          <w:szCs w:val="22"/>
        </w:rPr>
      </w:pPr>
      <w:r w:rsidRPr="000250FA">
        <w:rPr>
          <w:sz w:val="22"/>
          <w:szCs w:val="22"/>
        </w:rPr>
        <w:t xml:space="preserve">(5) </w:t>
      </w:r>
      <w:r w:rsidRPr="000250FA">
        <w:rPr>
          <w:rStyle w:val="Lbjegyzet-hivatkozs"/>
          <w:sz w:val="22"/>
          <w:szCs w:val="22"/>
        </w:rPr>
        <w:footnoteReference w:id="90"/>
      </w:r>
    </w:p>
    <w:p w14:paraId="2C4D6D0E" w14:textId="77777777" w:rsidR="00893D5B" w:rsidRPr="000250FA" w:rsidRDefault="00893D5B" w:rsidP="00893D5B">
      <w:pPr>
        <w:jc w:val="both"/>
        <w:rPr>
          <w:sz w:val="22"/>
          <w:szCs w:val="22"/>
        </w:rPr>
      </w:pPr>
    </w:p>
    <w:p w14:paraId="315D8D80" w14:textId="77777777" w:rsidR="00893D5B" w:rsidRPr="000250FA" w:rsidRDefault="00893D5B" w:rsidP="00893D5B">
      <w:pPr>
        <w:pStyle w:val="Cmsor4"/>
      </w:pPr>
      <w:bookmarkStart w:id="39" w:name="_Toc432753525"/>
      <w:r w:rsidRPr="000250FA">
        <w:t>A közalkalmazotti jogviszony módosítása</w:t>
      </w:r>
      <w:bookmarkEnd w:id="39"/>
    </w:p>
    <w:p w14:paraId="6D0A320D" w14:textId="77777777" w:rsidR="00893D5B" w:rsidRPr="000250FA" w:rsidRDefault="00893D5B" w:rsidP="00893D5B">
      <w:pPr>
        <w:tabs>
          <w:tab w:val="left" w:pos="9781"/>
        </w:tabs>
        <w:ind w:right="-144"/>
        <w:jc w:val="both"/>
        <w:rPr>
          <w:sz w:val="22"/>
          <w:szCs w:val="22"/>
        </w:rPr>
      </w:pPr>
    </w:p>
    <w:p w14:paraId="3B2F12A9" w14:textId="77777777" w:rsidR="00893D5B" w:rsidRPr="000250FA" w:rsidRDefault="00893D5B" w:rsidP="00893D5B">
      <w:pPr>
        <w:tabs>
          <w:tab w:val="left" w:pos="9781"/>
        </w:tabs>
        <w:ind w:right="-144"/>
        <w:jc w:val="both"/>
        <w:rPr>
          <w:sz w:val="22"/>
          <w:szCs w:val="22"/>
        </w:rPr>
      </w:pPr>
      <w:r w:rsidRPr="000250FA">
        <w:rPr>
          <w:b/>
          <w:sz w:val="22"/>
          <w:szCs w:val="22"/>
        </w:rPr>
        <w:t>12. §</w:t>
      </w:r>
      <w:r w:rsidRPr="000250FA">
        <w:rPr>
          <w:sz w:val="22"/>
          <w:szCs w:val="22"/>
        </w:rPr>
        <w:t xml:space="preserve"> (1) A közalkalmazotti kinevezést a munkáltató és közalkalmazott csak közös megegyezéssel, erre irányuló írásbeli megállapodással módosíthatja. </w:t>
      </w:r>
    </w:p>
    <w:p w14:paraId="17EBB3A4" w14:textId="77777777" w:rsidR="00893D5B" w:rsidRPr="000250FA" w:rsidRDefault="00893D5B" w:rsidP="00893D5B">
      <w:pPr>
        <w:tabs>
          <w:tab w:val="left" w:pos="9781"/>
        </w:tabs>
        <w:ind w:right="-144"/>
        <w:jc w:val="both"/>
        <w:rPr>
          <w:sz w:val="22"/>
          <w:szCs w:val="22"/>
        </w:rPr>
      </w:pPr>
    </w:p>
    <w:p w14:paraId="485750AD"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91"/>
      </w:r>
      <w:r w:rsidRPr="000250FA">
        <w:rPr>
          <w:sz w:val="22"/>
          <w:szCs w:val="22"/>
        </w:rPr>
        <w:t xml:space="preserve"> Nem minősül a kinevezés módosításának a jelen szabályzat 14.-15. §-</w:t>
      </w:r>
      <w:proofErr w:type="spellStart"/>
      <w:r w:rsidRPr="000250FA">
        <w:rPr>
          <w:sz w:val="22"/>
          <w:szCs w:val="22"/>
        </w:rPr>
        <w:t>aiban</w:t>
      </w:r>
      <w:proofErr w:type="spellEnd"/>
      <w:r w:rsidRPr="000250FA">
        <w:rPr>
          <w:sz w:val="22"/>
          <w:szCs w:val="22"/>
        </w:rPr>
        <w:t xml:space="preserve"> meghatározott kinevezéstől eltérő foglalkoztatás.</w:t>
      </w:r>
    </w:p>
    <w:p w14:paraId="58BEDC3B" w14:textId="77777777" w:rsidR="00893D5B" w:rsidRPr="000250FA" w:rsidRDefault="00893D5B" w:rsidP="00893D5B">
      <w:pPr>
        <w:tabs>
          <w:tab w:val="left" w:pos="9781"/>
        </w:tabs>
        <w:ind w:right="-144"/>
        <w:jc w:val="both"/>
        <w:rPr>
          <w:sz w:val="22"/>
          <w:szCs w:val="22"/>
        </w:rPr>
      </w:pPr>
    </w:p>
    <w:p w14:paraId="2D13A60A" w14:textId="77777777" w:rsidR="00893D5B" w:rsidRPr="000250FA" w:rsidRDefault="00893D5B" w:rsidP="00893D5B">
      <w:pPr>
        <w:tabs>
          <w:tab w:val="left" w:pos="9781"/>
        </w:tabs>
        <w:ind w:right="-144"/>
        <w:jc w:val="both"/>
        <w:rPr>
          <w:sz w:val="22"/>
          <w:szCs w:val="22"/>
        </w:rPr>
      </w:pPr>
      <w:r w:rsidRPr="000250FA">
        <w:rPr>
          <w:sz w:val="22"/>
          <w:szCs w:val="22"/>
        </w:rPr>
        <w:t>(3) A közalkalmazotti jogviszony módosítására vonatkozó megállapodásban a közalkalmazottat figyelmeztetni kell a jogorvoslat lehetőségére.</w:t>
      </w:r>
    </w:p>
    <w:p w14:paraId="65D5A8F8" w14:textId="77777777" w:rsidR="00893D5B" w:rsidRPr="000250FA" w:rsidRDefault="00893D5B" w:rsidP="00893D5B">
      <w:pPr>
        <w:tabs>
          <w:tab w:val="left" w:pos="9781"/>
        </w:tabs>
        <w:ind w:right="-144"/>
        <w:jc w:val="both"/>
        <w:rPr>
          <w:sz w:val="22"/>
          <w:szCs w:val="22"/>
        </w:rPr>
      </w:pPr>
    </w:p>
    <w:p w14:paraId="50C01C0B" w14:textId="77777777" w:rsidR="00893D5B" w:rsidRPr="000250FA" w:rsidRDefault="00893D5B" w:rsidP="00893D5B">
      <w:pPr>
        <w:tabs>
          <w:tab w:val="left" w:pos="9781"/>
        </w:tabs>
        <w:ind w:right="-144"/>
        <w:jc w:val="both"/>
        <w:rPr>
          <w:sz w:val="22"/>
          <w:szCs w:val="22"/>
        </w:rPr>
      </w:pPr>
      <w:r w:rsidRPr="000250FA">
        <w:rPr>
          <w:sz w:val="22"/>
          <w:szCs w:val="22"/>
        </w:rPr>
        <w:lastRenderedPageBreak/>
        <w:t>(4) Nincs szükség a jelen szakasz (1) bekezdésében meghatározott eljárásra, ha a módosítás jogszabályon alapul, így különösen a közalkalmazott fizetési fokozatának megváltozása, illetményének megemelése esetén. A közalkalmazotti jogviszony módosításáról azonban ilyen esetben is írásban kell értesíteni a közalkalmazottat, az értesítést részére elsősorban személyesen kell átadni és az átvétel tényét az értesítés munkáltatói példányán igazoltatni kell. Postai úton az értesítést tértivevénnyel kell kézbesíteni.</w:t>
      </w:r>
    </w:p>
    <w:p w14:paraId="7500A5B0" w14:textId="77777777" w:rsidR="00893D5B" w:rsidRPr="000250FA" w:rsidRDefault="00893D5B" w:rsidP="00893D5B">
      <w:pPr>
        <w:rPr>
          <w:b/>
          <w:sz w:val="22"/>
          <w:szCs w:val="22"/>
        </w:rPr>
      </w:pPr>
    </w:p>
    <w:p w14:paraId="34E14D05" w14:textId="77777777" w:rsidR="00893D5B" w:rsidRPr="000250FA" w:rsidRDefault="00893D5B" w:rsidP="00893D5B">
      <w:pPr>
        <w:rPr>
          <w:b/>
          <w:bCs/>
          <w:sz w:val="22"/>
          <w:szCs w:val="22"/>
        </w:rPr>
      </w:pPr>
      <w:r w:rsidRPr="000250FA">
        <w:rPr>
          <w:b/>
          <w:sz w:val="22"/>
          <w:szCs w:val="22"/>
        </w:rPr>
        <w:t>13. §</w:t>
      </w:r>
      <w:r w:rsidRPr="000250FA">
        <w:rPr>
          <w:rStyle w:val="Lbjegyzet-hivatkozs"/>
          <w:sz w:val="22"/>
          <w:szCs w:val="22"/>
        </w:rPr>
        <w:footnoteReference w:id="92"/>
      </w:r>
      <w:r w:rsidRPr="000250FA">
        <w:rPr>
          <w:sz w:val="22"/>
          <w:szCs w:val="22"/>
        </w:rPr>
        <w:t xml:space="preserve"> </w:t>
      </w:r>
      <w:r w:rsidRPr="000250FA">
        <w:rPr>
          <w:rStyle w:val="Lbjegyzet-hivatkozs"/>
          <w:sz w:val="22"/>
          <w:szCs w:val="22"/>
        </w:rPr>
        <w:footnoteReference w:id="93"/>
      </w:r>
      <w:r w:rsidRPr="000250FA">
        <w:rPr>
          <w:bCs/>
          <w:sz w:val="22"/>
          <w:szCs w:val="22"/>
        </w:rPr>
        <w:t xml:space="preserve">(1) </w:t>
      </w:r>
      <w:r w:rsidRPr="000250FA">
        <w:rPr>
          <w:sz w:val="22"/>
          <w:szCs w:val="22"/>
        </w:rPr>
        <w:t xml:space="preserve">A munkáltató az Mt. 61.§ (1)-(3) bekezdésében foglaltak alapján a </w:t>
      </w:r>
      <w:r w:rsidRPr="000250FA">
        <w:rPr>
          <w:bCs/>
          <w:sz w:val="22"/>
          <w:szCs w:val="22"/>
        </w:rPr>
        <w:t xml:space="preserve">helyben szokásos módon </w:t>
      </w:r>
      <w:r w:rsidRPr="000250FA">
        <w:rPr>
          <w:sz w:val="22"/>
          <w:szCs w:val="22"/>
        </w:rPr>
        <w:t>a munkakörök megjelölésével tájékoztatja a közalkalmazottakat</w:t>
      </w:r>
    </w:p>
    <w:p w14:paraId="42548ADD" w14:textId="77777777" w:rsidR="00893D5B" w:rsidRPr="000250FA" w:rsidRDefault="00893D5B" w:rsidP="00912564">
      <w:pPr>
        <w:numPr>
          <w:ilvl w:val="0"/>
          <w:numId w:val="17"/>
        </w:numPr>
        <w:jc w:val="both"/>
        <w:rPr>
          <w:sz w:val="22"/>
          <w:szCs w:val="22"/>
        </w:rPr>
      </w:pPr>
      <w:bookmarkStart w:id="40" w:name="pr284"/>
      <w:bookmarkEnd w:id="40"/>
      <w:r w:rsidRPr="000250FA">
        <w:rPr>
          <w:sz w:val="22"/>
          <w:szCs w:val="22"/>
        </w:rPr>
        <w:t>a teljes vagy részmunkaidős,</w:t>
      </w:r>
    </w:p>
    <w:p w14:paraId="40601627" w14:textId="77777777" w:rsidR="00893D5B" w:rsidRPr="000250FA" w:rsidRDefault="00893D5B" w:rsidP="00912564">
      <w:pPr>
        <w:numPr>
          <w:ilvl w:val="0"/>
          <w:numId w:val="17"/>
        </w:numPr>
        <w:jc w:val="both"/>
        <w:rPr>
          <w:sz w:val="22"/>
          <w:szCs w:val="22"/>
        </w:rPr>
      </w:pPr>
      <w:bookmarkStart w:id="41" w:name="pr285"/>
      <w:bookmarkEnd w:id="41"/>
      <w:r w:rsidRPr="000250FA">
        <w:rPr>
          <w:sz w:val="22"/>
          <w:szCs w:val="22"/>
        </w:rPr>
        <w:t>a távmunkavégzésre irányuló, valamint</w:t>
      </w:r>
    </w:p>
    <w:p w14:paraId="413EB627" w14:textId="77777777" w:rsidR="00893D5B" w:rsidRPr="000250FA" w:rsidRDefault="00893D5B" w:rsidP="00912564">
      <w:pPr>
        <w:numPr>
          <w:ilvl w:val="0"/>
          <w:numId w:val="17"/>
        </w:numPr>
        <w:jc w:val="both"/>
      </w:pPr>
      <w:bookmarkStart w:id="42" w:name="pr286"/>
      <w:bookmarkEnd w:id="42"/>
      <w:r w:rsidRPr="000250FA">
        <w:rPr>
          <w:sz w:val="22"/>
          <w:szCs w:val="22"/>
        </w:rPr>
        <w:t>a határozatlan idejű közalkalmazotti jogviszony keretében történő</w:t>
      </w:r>
    </w:p>
    <w:p w14:paraId="1DDEC3CC" w14:textId="77777777" w:rsidR="00893D5B" w:rsidRPr="000250FA" w:rsidRDefault="00893D5B" w:rsidP="00893D5B">
      <w:pPr>
        <w:pStyle w:val="NormlWeb"/>
        <w:tabs>
          <w:tab w:val="left" w:pos="9781"/>
        </w:tabs>
        <w:spacing w:before="0" w:beforeAutospacing="0" w:after="0" w:afterAutospacing="0"/>
        <w:ind w:left="136" w:right="-144"/>
        <w:jc w:val="both"/>
        <w:rPr>
          <w:sz w:val="22"/>
          <w:szCs w:val="22"/>
        </w:rPr>
      </w:pPr>
    </w:p>
    <w:p w14:paraId="060A237B" w14:textId="77777777" w:rsidR="00893D5B" w:rsidRPr="000250FA" w:rsidRDefault="00893D5B" w:rsidP="00893D5B">
      <w:pPr>
        <w:pStyle w:val="NormlWeb"/>
        <w:tabs>
          <w:tab w:val="left" w:pos="9781"/>
        </w:tabs>
        <w:spacing w:before="0" w:beforeAutospacing="0" w:after="0" w:afterAutospacing="0"/>
        <w:ind w:left="136" w:right="-144"/>
        <w:jc w:val="both"/>
        <w:rPr>
          <w:sz w:val="22"/>
          <w:szCs w:val="22"/>
        </w:rPr>
      </w:pPr>
      <w:bookmarkStart w:id="43" w:name="pr287"/>
      <w:bookmarkEnd w:id="43"/>
      <w:proofErr w:type="gramStart"/>
      <w:r w:rsidRPr="000250FA">
        <w:rPr>
          <w:sz w:val="22"/>
          <w:szCs w:val="22"/>
        </w:rPr>
        <w:t>foglalkoztatás</w:t>
      </w:r>
      <w:proofErr w:type="gramEnd"/>
      <w:r w:rsidRPr="000250FA">
        <w:rPr>
          <w:sz w:val="22"/>
          <w:szCs w:val="22"/>
        </w:rPr>
        <w:t xml:space="preserve"> lehetőségéről.</w:t>
      </w:r>
    </w:p>
    <w:p w14:paraId="4DFFEC44"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p>
    <w:p w14:paraId="6E17CA96"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(2) A közalkalmazott kinevezés módosítására irányuló ajánlatára a munkáltató tizenöt napon belül írásban nyilatkozik.</w:t>
      </w:r>
    </w:p>
    <w:p w14:paraId="21C3CD30" w14:textId="77777777" w:rsidR="00893D5B" w:rsidRPr="000250FA" w:rsidRDefault="00893D5B" w:rsidP="00893D5B">
      <w:pPr>
        <w:tabs>
          <w:tab w:val="left" w:pos="9781"/>
        </w:tabs>
        <w:ind w:right="-144"/>
        <w:rPr>
          <w:b/>
          <w:sz w:val="22"/>
          <w:szCs w:val="22"/>
        </w:rPr>
      </w:pPr>
      <w:bookmarkStart w:id="44" w:name="pr289"/>
      <w:bookmarkEnd w:id="44"/>
    </w:p>
    <w:p w14:paraId="6FA3651B" w14:textId="77777777" w:rsidR="00893D5B" w:rsidRPr="000250FA" w:rsidRDefault="00893D5B" w:rsidP="00893D5B">
      <w:pPr>
        <w:jc w:val="both"/>
        <w:rPr>
          <w:sz w:val="22"/>
          <w:szCs w:val="22"/>
        </w:rPr>
      </w:pPr>
      <w:r w:rsidRPr="000250FA">
        <w:rPr>
          <w:b/>
          <w:sz w:val="22"/>
          <w:szCs w:val="22"/>
        </w:rPr>
        <w:t>13/</w:t>
      </w:r>
      <w:proofErr w:type="gramStart"/>
      <w:r w:rsidRPr="000250FA">
        <w:rPr>
          <w:b/>
          <w:sz w:val="22"/>
          <w:szCs w:val="22"/>
        </w:rPr>
        <w:t>A.</w:t>
      </w:r>
      <w:proofErr w:type="gramEnd"/>
      <w:r w:rsidRPr="000250FA">
        <w:rPr>
          <w:b/>
          <w:sz w:val="22"/>
          <w:szCs w:val="22"/>
        </w:rPr>
        <w:t xml:space="preserve"> §</w:t>
      </w:r>
      <w:r w:rsidRPr="000250FA">
        <w:rPr>
          <w:rStyle w:val="Lbjegyzet-hivatkozs"/>
          <w:b/>
          <w:sz w:val="22"/>
          <w:szCs w:val="22"/>
        </w:rPr>
        <w:footnoteReference w:id="94"/>
      </w:r>
      <w:r w:rsidRPr="000250FA">
        <w:rPr>
          <w:sz w:val="22"/>
          <w:szCs w:val="22"/>
        </w:rPr>
        <w:t xml:space="preserve"> </w:t>
      </w:r>
      <w:r w:rsidRPr="000250FA">
        <w:rPr>
          <w:rStyle w:val="Lbjegyzet-hivatkozs"/>
          <w:sz w:val="22"/>
          <w:szCs w:val="22"/>
        </w:rPr>
        <w:footnoteReference w:id="95"/>
      </w:r>
      <w:r w:rsidRPr="000250FA">
        <w:rPr>
          <w:sz w:val="22"/>
          <w:szCs w:val="22"/>
        </w:rPr>
        <w:t xml:space="preserve"> </w:t>
      </w:r>
      <w:r w:rsidRPr="000250FA">
        <w:rPr>
          <w:rStyle w:val="Lbjegyzet-hivatkozs"/>
          <w:sz w:val="22"/>
          <w:szCs w:val="22"/>
        </w:rPr>
        <w:footnoteReference w:id="96"/>
      </w:r>
      <w:r w:rsidRPr="000250FA">
        <w:rPr>
          <w:sz w:val="22"/>
          <w:szCs w:val="22"/>
        </w:rPr>
        <w:t>(1) A teljes munkaidőben foglalkoztatott közalkalmazott írásbeli kérelmére a munkáltató köteles a kinevezésben heti húszórás részmunkaidőt kikötni, ha a közalkalmazott a kérelem benyújtásakor az Mt. 128. §-</w:t>
      </w:r>
      <w:proofErr w:type="spellStart"/>
      <w:r w:rsidRPr="000250FA">
        <w:rPr>
          <w:sz w:val="22"/>
          <w:szCs w:val="22"/>
        </w:rPr>
        <w:t>ában</w:t>
      </w:r>
      <w:proofErr w:type="spellEnd"/>
      <w:r w:rsidRPr="000250FA">
        <w:rPr>
          <w:sz w:val="22"/>
          <w:szCs w:val="22"/>
        </w:rPr>
        <w:t xml:space="preserve"> foglalt fizetés nélküli szabadságot vesz igénybe. A kérelem alapján kikötött részmunkaidőben a munkáltató a közalkalmazottat</w:t>
      </w:r>
    </w:p>
    <w:p w14:paraId="6A6A9F43" w14:textId="77777777" w:rsidR="00893D5B" w:rsidRPr="000250FA" w:rsidRDefault="00893D5B" w:rsidP="00827537">
      <w:pPr>
        <w:ind w:left="426"/>
        <w:jc w:val="both"/>
        <w:rPr>
          <w:sz w:val="22"/>
          <w:szCs w:val="22"/>
        </w:rPr>
      </w:pPr>
      <w:proofErr w:type="gramStart"/>
      <w:r w:rsidRPr="000250FA">
        <w:rPr>
          <w:sz w:val="22"/>
          <w:szCs w:val="22"/>
        </w:rPr>
        <w:t>a</w:t>
      </w:r>
      <w:proofErr w:type="gramEnd"/>
      <w:r w:rsidRPr="000250FA">
        <w:rPr>
          <w:sz w:val="22"/>
          <w:szCs w:val="22"/>
        </w:rPr>
        <w:t>)  a kérelem szerinti időpontig, de</w:t>
      </w:r>
    </w:p>
    <w:p w14:paraId="176CC142" w14:textId="77777777" w:rsidR="00893D5B" w:rsidRPr="000250FA" w:rsidRDefault="00893D5B" w:rsidP="00827537">
      <w:pPr>
        <w:tabs>
          <w:tab w:val="left" w:pos="1680"/>
          <w:tab w:val="left" w:pos="9781"/>
        </w:tabs>
        <w:ind w:left="426" w:right="-144"/>
        <w:jc w:val="both"/>
        <w:rPr>
          <w:sz w:val="22"/>
          <w:szCs w:val="22"/>
        </w:rPr>
      </w:pPr>
      <w:r w:rsidRPr="000250FA">
        <w:rPr>
          <w:sz w:val="22"/>
          <w:szCs w:val="22"/>
        </w:rPr>
        <w:t xml:space="preserve">b) legfeljebb a gyermek hároméves koráig, három vagy több gyermeket nevelő közalkalmazott esetén a gyermek ötéves koráig köteles foglalkoztatni. Ezt követően a közalkalmazott </w:t>
      </w:r>
      <w:proofErr w:type="spellStart"/>
      <w:r w:rsidRPr="000250FA">
        <w:rPr>
          <w:sz w:val="22"/>
          <w:szCs w:val="22"/>
        </w:rPr>
        <w:t>munkaidejét</w:t>
      </w:r>
      <w:proofErr w:type="spellEnd"/>
      <w:r w:rsidRPr="000250FA">
        <w:rPr>
          <w:sz w:val="22"/>
          <w:szCs w:val="22"/>
        </w:rPr>
        <w:t xml:space="preserve"> a kérelem benyújtása előtti mérték szerint kell megállapítani.</w:t>
      </w:r>
    </w:p>
    <w:p w14:paraId="423EB461" w14:textId="77777777" w:rsidR="00893D5B" w:rsidRPr="000250FA" w:rsidRDefault="00893D5B" w:rsidP="00893D5B">
      <w:pPr>
        <w:tabs>
          <w:tab w:val="left" w:pos="1680"/>
          <w:tab w:val="left" w:pos="9781"/>
        </w:tabs>
        <w:ind w:right="-144"/>
        <w:jc w:val="both"/>
        <w:rPr>
          <w:sz w:val="22"/>
          <w:szCs w:val="22"/>
        </w:rPr>
      </w:pPr>
    </w:p>
    <w:p w14:paraId="7A9AB7F0" w14:textId="77777777" w:rsidR="00893D5B" w:rsidRPr="000250FA" w:rsidRDefault="00893D5B" w:rsidP="00893D5B">
      <w:pPr>
        <w:tabs>
          <w:tab w:val="left" w:pos="1680"/>
          <w:tab w:val="left" w:pos="9781"/>
        </w:tabs>
        <w:ind w:right="-144"/>
        <w:jc w:val="both"/>
        <w:rPr>
          <w:sz w:val="22"/>
          <w:szCs w:val="22"/>
        </w:rPr>
      </w:pPr>
      <w:r w:rsidRPr="000250FA">
        <w:rPr>
          <w:sz w:val="22"/>
          <w:szCs w:val="22"/>
        </w:rPr>
        <w:t>(2) A munkáltató a közalkalmazottnak a munkaidő egyenlőtlen beosztására vonatkozó kérelmét csak abban az esetben tagadhatja meg, ha az számára lényegesen nagyobb munkaszervezési terhet jelentene. A munkáltató a kérelem megtagadását köteles írásban indokolni.</w:t>
      </w:r>
    </w:p>
    <w:p w14:paraId="1C8F7610" w14:textId="77777777" w:rsidR="00893D5B" w:rsidRPr="000250FA" w:rsidRDefault="00893D5B" w:rsidP="00893D5B">
      <w:pPr>
        <w:tabs>
          <w:tab w:val="left" w:pos="9781"/>
        </w:tabs>
        <w:ind w:right="-144"/>
        <w:jc w:val="both"/>
        <w:rPr>
          <w:sz w:val="22"/>
          <w:szCs w:val="22"/>
        </w:rPr>
      </w:pPr>
    </w:p>
    <w:p w14:paraId="46B111AA"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(3) A részmunkaidő kikötése</w:t>
      </w:r>
    </w:p>
    <w:p w14:paraId="11FF7609" w14:textId="77777777" w:rsidR="00893D5B" w:rsidRPr="00827537" w:rsidRDefault="00893D5B" w:rsidP="00827537">
      <w:pPr>
        <w:numPr>
          <w:ilvl w:val="0"/>
          <w:numId w:val="18"/>
        </w:numPr>
        <w:ind w:hanging="84"/>
        <w:jc w:val="both"/>
        <w:rPr>
          <w:sz w:val="22"/>
          <w:szCs w:val="22"/>
        </w:rPr>
      </w:pPr>
      <w:bookmarkStart w:id="45" w:name="pr223"/>
      <w:bookmarkEnd w:id="45"/>
      <w:r w:rsidRPr="00827537">
        <w:rPr>
          <w:sz w:val="22"/>
          <w:szCs w:val="22"/>
        </w:rPr>
        <w:t>a fizetés nélküli szabadság megszűnését követő naptól,</w:t>
      </w:r>
    </w:p>
    <w:p w14:paraId="105FF17E" w14:textId="77777777" w:rsidR="00893D5B" w:rsidRPr="00827537" w:rsidRDefault="00893D5B" w:rsidP="00827537">
      <w:pPr>
        <w:numPr>
          <w:ilvl w:val="0"/>
          <w:numId w:val="18"/>
        </w:numPr>
        <w:ind w:hanging="84"/>
        <w:jc w:val="both"/>
        <w:rPr>
          <w:sz w:val="22"/>
          <w:szCs w:val="22"/>
        </w:rPr>
      </w:pPr>
      <w:bookmarkStart w:id="46" w:name="pr224"/>
      <w:bookmarkEnd w:id="46"/>
      <w:r w:rsidRPr="00827537">
        <w:rPr>
          <w:sz w:val="22"/>
          <w:szCs w:val="22"/>
        </w:rPr>
        <w:t>ha a közalkalmazott betegsége vagy a személyét érintő más elháríthatatlan akadály esetén az akadályoztatás megszűnésétől számított harminc napon belül ki kell adni rendes szabadságát, a szabadság leteltét követő naptól hatályos.</w:t>
      </w:r>
    </w:p>
    <w:p w14:paraId="4BC0276B" w14:textId="77777777" w:rsidR="00893D5B" w:rsidRPr="000250FA" w:rsidRDefault="00893D5B" w:rsidP="00893D5B">
      <w:pPr>
        <w:pStyle w:val="NormlWeb"/>
        <w:tabs>
          <w:tab w:val="left" w:pos="9781"/>
        </w:tabs>
        <w:spacing w:before="0" w:beforeAutospacing="0" w:after="0" w:afterAutospacing="0"/>
        <w:ind w:left="150" w:right="-144"/>
        <w:jc w:val="both"/>
        <w:rPr>
          <w:sz w:val="22"/>
          <w:szCs w:val="22"/>
        </w:rPr>
      </w:pPr>
      <w:bookmarkStart w:id="47" w:name="pr225"/>
      <w:bookmarkEnd w:id="47"/>
    </w:p>
    <w:p w14:paraId="25B51A00" w14:textId="77777777" w:rsidR="00893D5B" w:rsidRPr="000250FA" w:rsidRDefault="00893D5B" w:rsidP="00893D5B">
      <w:pPr>
        <w:pStyle w:val="NormlWeb"/>
        <w:tabs>
          <w:tab w:val="left" w:pos="9781"/>
        </w:tabs>
        <w:spacing w:before="0" w:beforeAutospacing="0" w:after="0" w:afterAutospacing="0"/>
        <w:ind w:left="150" w:right="-144"/>
        <w:jc w:val="both"/>
        <w:rPr>
          <w:sz w:val="22"/>
          <w:szCs w:val="22"/>
        </w:rPr>
      </w:pPr>
      <w:r w:rsidRPr="000250FA">
        <w:rPr>
          <w:sz w:val="22"/>
          <w:szCs w:val="22"/>
        </w:rPr>
        <w:t xml:space="preserve">A </w:t>
      </w:r>
      <w:r w:rsidRPr="000250FA">
        <w:rPr>
          <w:iCs/>
          <w:sz w:val="22"/>
          <w:szCs w:val="22"/>
        </w:rPr>
        <w:t xml:space="preserve">b) </w:t>
      </w:r>
      <w:r w:rsidRPr="000250FA">
        <w:rPr>
          <w:sz w:val="22"/>
          <w:szCs w:val="22"/>
        </w:rPr>
        <w:t>pontban foglaltak alkalmazása esetén - a felek eltérő megállapodása hiányában - a rendes szabadság kiadását a fizetés nélküli szabadság lejártát követő első munkanapon meg kell kezdeni. Eltérő megállapodás esetén a rendes szabadság kiadását a fizetés nélküli szabadság lejártát követő harminc napon belül meg kell kezdeni.</w:t>
      </w:r>
    </w:p>
    <w:p w14:paraId="2FB33B95" w14:textId="77777777" w:rsidR="00893D5B" w:rsidRPr="000250FA" w:rsidRDefault="00893D5B" w:rsidP="00893D5B">
      <w:pPr>
        <w:pStyle w:val="Normlstilus1norml"/>
        <w:tabs>
          <w:tab w:val="left" w:pos="9781"/>
        </w:tabs>
        <w:ind w:right="-144"/>
        <w:rPr>
          <w:bCs/>
          <w:color w:val="auto"/>
          <w:sz w:val="22"/>
          <w:szCs w:val="22"/>
        </w:rPr>
      </w:pPr>
    </w:p>
    <w:p w14:paraId="0A0184D8"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 Az (1) bekezdés szerinti fizetés nélküli szabadság igénybevétele iránti</w:t>
      </w:r>
      <w:r w:rsidRPr="000250FA">
        <w:rPr>
          <w:rStyle w:val="Lbjegyzet-hivatkozs"/>
          <w:bCs/>
          <w:color w:val="auto"/>
          <w:sz w:val="22"/>
          <w:szCs w:val="22"/>
        </w:rPr>
        <w:footnoteReference w:id="97"/>
      </w:r>
      <w:r w:rsidRPr="000250FA">
        <w:rPr>
          <w:bCs/>
          <w:color w:val="auto"/>
          <w:sz w:val="22"/>
          <w:szCs w:val="22"/>
        </w:rPr>
        <w:t xml:space="preserve"> kérelmet a fizetés nélküli szabadság igénybevételének megszűnése előtt legalább hatvan nappal kell a munkáltatóval közölni. A kérelemben a közalkalmazott köteles tájékoztatni a munkáltatót</w:t>
      </w:r>
    </w:p>
    <w:p w14:paraId="77521168" w14:textId="77777777" w:rsidR="00893D5B" w:rsidRPr="000250FA" w:rsidRDefault="00893D5B" w:rsidP="00912564">
      <w:pPr>
        <w:numPr>
          <w:ilvl w:val="0"/>
          <w:numId w:val="19"/>
        </w:numPr>
        <w:jc w:val="both"/>
        <w:rPr>
          <w:sz w:val="22"/>
          <w:szCs w:val="22"/>
        </w:rPr>
      </w:pPr>
      <w:r w:rsidRPr="000250FA">
        <w:rPr>
          <w:sz w:val="22"/>
          <w:szCs w:val="22"/>
        </w:rPr>
        <w:t>a fizetés nélküli szabadság igénybevételére jogosító gyermeke harmadik életéve betöltésének időpontjáról, továbbá,</w:t>
      </w:r>
    </w:p>
    <w:p w14:paraId="2272B2CD" w14:textId="77777777" w:rsidR="00893D5B" w:rsidRPr="000250FA" w:rsidRDefault="00893D5B" w:rsidP="00912564">
      <w:pPr>
        <w:numPr>
          <w:ilvl w:val="0"/>
          <w:numId w:val="19"/>
        </w:numPr>
        <w:jc w:val="both"/>
        <w:rPr>
          <w:sz w:val="22"/>
          <w:szCs w:val="22"/>
        </w:rPr>
      </w:pPr>
      <w:r w:rsidRPr="000250FA">
        <w:rPr>
          <w:sz w:val="22"/>
          <w:szCs w:val="22"/>
        </w:rPr>
        <w:t>ha egyenlőtlen munkaidő-beosztásban kíván dolgozni, a munkaidő-beosztásra vonatkozó javaslatáról.</w:t>
      </w:r>
    </w:p>
    <w:p w14:paraId="25422B3B"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lastRenderedPageBreak/>
        <w:t>A kérelem mintáját a HR Kézikönyv tartalmazza.</w:t>
      </w:r>
    </w:p>
    <w:p w14:paraId="76813838" w14:textId="77777777" w:rsidR="00893D5B" w:rsidRPr="000250FA" w:rsidRDefault="00893D5B" w:rsidP="00893D5B">
      <w:pPr>
        <w:pStyle w:val="Normlstilus1norml"/>
        <w:tabs>
          <w:tab w:val="left" w:pos="9781"/>
        </w:tabs>
        <w:ind w:right="-144"/>
        <w:rPr>
          <w:bCs/>
          <w:color w:val="auto"/>
          <w:sz w:val="22"/>
          <w:szCs w:val="22"/>
        </w:rPr>
      </w:pPr>
    </w:p>
    <w:p w14:paraId="5656A89D" w14:textId="77777777" w:rsidR="00893D5B" w:rsidRPr="000250FA" w:rsidRDefault="00893D5B" w:rsidP="00893D5B">
      <w:pPr>
        <w:pStyle w:val="Normlstilus1norml"/>
        <w:tabs>
          <w:tab w:val="left" w:pos="5400"/>
          <w:tab w:val="left" w:pos="9781"/>
        </w:tabs>
        <w:ind w:right="-144"/>
        <w:rPr>
          <w:bCs/>
          <w:color w:val="auto"/>
          <w:sz w:val="22"/>
          <w:szCs w:val="22"/>
        </w:rPr>
      </w:pPr>
      <w:r w:rsidRPr="000250FA">
        <w:rPr>
          <w:bCs/>
          <w:color w:val="auto"/>
          <w:sz w:val="22"/>
          <w:szCs w:val="22"/>
        </w:rPr>
        <w:t>(5) A közalkalmazotti jogviszony alapján közvetlenül vagy közvetve nyújtott pénzbeli vagy természetbeni juttatás tekintetében az időarányosság elve alkalmazandó, ha a juttatásra való jogosultság a munkaidő mértékével összefügg.</w:t>
      </w:r>
    </w:p>
    <w:p w14:paraId="558F7B01" w14:textId="77777777" w:rsidR="00893D5B" w:rsidRPr="000250FA" w:rsidRDefault="00893D5B" w:rsidP="00893D5B">
      <w:pPr>
        <w:pStyle w:val="Normlstilus1norml"/>
        <w:tabs>
          <w:tab w:val="left" w:pos="5400"/>
          <w:tab w:val="left" w:pos="9781"/>
        </w:tabs>
        <w:ind w:right="-144"/>
        <w:rPr>
          <w:bCs/>
          <w:color w:val="auto"/>
          <w:sz w:val="22"/>
          <w:szCs w:val="22"/>
        </w:rPr>
      </w:pPr>
    </w:p>
    <w:p w14:paraId="7C6ECBBF" w14:textId="77777777" w:rsidR="00893D5B" w:rsidRPr="000250FA" w:rsidRDefault="00893D5B" w:rsidP="00893D5B">
      <w:pPr>
        <w:pStyle w:val="Normlstilus1norml"/>
        <w:tabs>
          <w:tab w:val="left" w:pos="5400"/>
          <w:tab w:val="left" w:pos="9781"/>
        </w:tabs>
        <w:ind w:right="-144"/>
        <w:rPr>
          <w:bCs/>
          <w:color w:val="auto"/>
          <w:sz w:val="22"/>
          <w:szCs w:val="22"/>
        </w:rPr>
      </w:pPr>
      <w:r w:rsidRPr="000250FA">
        <w:rPr>
          <w:bCs/>
          <w:color w:val="auto"/>
          <w:sz w:val="22"/>
          <w:szCs w:val="22"/>
        </w:rPr>
        <w:t xml:space="preserve">(6) A közalkalmazott kérelme alapján kikötött részmunkaidőben a munkáltató a közalkalmazottat a kérelem szerinti időpontig, de legfeljebb a gyermek hároméves koráig köteles foglalkoztatni. Ezt követően a közalkalmazott </w:t>
      </w:r>
      <w:proofErr w:type="spellStart"/>
      <w:r w:rsidRPr="000250FA">
        <w:rPr>
          <w:bCs/>
          <w:color w:val="auto"/>
          <w:sz w:val="22"/>
          <w:szCs w:val="22"/>
        </w:rPr>
        <w:t>munkaidejét</w:t>
      </w:r>
      <w:proofErr w:type="spellEnd"/>
      <w:r w:rsidRPr="000250FA">
        <w:rPr>
          <w:bCs/>
          <w:color w:val="auto"/>
          <w:sz w:val="22"/>
          <w:szCs w:val="22"/>
        </w:rPr>
        <w:t xml:space="preserve"> a kérelem benyújtása előtti mérték szerint, illetményét az időarányosság elvének megfelelő alkalmazásával kell megállapítani.</w:t>
      </w:r>
    </w:p>
    <w:p w14:paraId="418B5E4A" w14:textId="77777777" w:rsidR="00893D5B" w:rsidRPr="000250FA" w:rsidRDefault="00893D5B" w:rsidP="00893D5B">
      <w:pPr>
        <w:pStyle w:val="Normlstilus1norml"/>
        <w:tabs>
          <w:tab w:val="left" w:pos="5400"/>
          <w:tab w:val="left" w:pos="9781"/>
        </w:tabs>
        <w:ind w:right="-144"/>
        <w:rPr>
          <w:bCs/>
          <w:color w:val="auto"/>
          <w:sz w:val="22"/>
          <w:szCs w:val="22"/>
        </w:rPr>
      </w:pPr>
    </w:p>
    <w:p w14:paraId="1AAD191F" w14:textId="77777777" w:rsidR="00893D5B" w:rsidRPr="000250FA" w:rsidRDefault="00893D5B" w:rsidP="00893D5B">
      <w:pPr>
        <w:pStyle w:val="Normlstilus1norml"/>
        <w:tabs>
          <w:tab w:val="left" w:pos="5400"/>
          <w:tab w:val="left" w:pos="9781"/>
        </w:tabs>
        <w:ind w:right="-144"/>
        <w:rPr>
          <w:bCs/>
          <w:color w:val="auto"/>
          <w:sz w:val="22"/>
          <w:szCs w:val="22"/>
        </w:rPr>
      </w:pPr>
      <w:r w:rsidRPr="000250FA">
        <w:rPr>
          <w:bCs/>
          <w:color w:val="auto"/>
          <w:sz w:val="22"/>
          <w:szCs w:val="22"/>
        </w:rPr>
        <w:t>(7) Jelen § rendelkezéseit a magasabb vezetők és vezetők tekintetében nem lehet alkalmazni.</w:t>
      </w:r>
    </w:p>
    <w:p w14:paraId="7DA984BD" w14:textId="77777777" w:rsidR="00893D5B" w:rsidRPr="000250FA" w:rsidRDefault="00893D5B" w:rsidP="00893D5B">
      <w:pPr>
        <w:pStyle w:val="Normlstilus1norml"/>
        <w:tabs>
          <w:tab w:val="left" w:pos="9781"/>
        </w:tabs>
        <w:ind w:right="-144"/>
        <w:rPr>
          <w:b/>
          <w:bCs/>
          <w:color w:val="auto"/>
          <w:sz w:val="22"/>
          <w:szCs w:val="22"/>
        </w:rPr>
      </w:pPr>
    </w:p>
    <w:p w14:paraId="6B5635A0" w14:textId="77777777" w:rsidR="00893D5B" w:rsidRPr="000250FA" w:rsidRDefault="00893D5B" w:rsidP="00893D5B">
      <w:pPr>
        <w:pStyle w:val="Cmsor4"/>
      </w:pPr>
      <w:bookmarkStart w:id="48" w:name="_Toc432753526"/>
      <w:r w:rsidRPr="000250FA">
        <w:t>Kinevezéstől eltérő foglalkoztatás</w:t>
      </w:r>
      <w:bookmarkEnd w:id="48"/>
    </w:p>
    <w:p w14:paraId="65543BC6" w14:textId="77777777" w:rsidR="00893D5B" w:rsidRPr="000250FA" w:rsidRDefault="00893D5B" w:rsidP="00893D5B">
      <w:pPr>
        <w:pStyle w:val="Normlstilus1norml"/>
        <w:tabs>
          <w:tab w:val="left" w:pos="9781"/>
        </w:tabs>
        <w:ind w:right="-144"/>
        <w:rPr>
          <w:color w:val="auto"/>
          <w:sz w:val="22"/>
          <w:szCs w:val="22"/>
        </w:rPr>
      </w:pPr>
    </w:p>
    <w:p w14:paraId="6B86167C"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14. §</w:t>
      </w:r>
      <w:r w:rsidRPr="00827537">
        <w:rPr>
          <w:rStyle w:val="Lbjegyzet-hivatkozs"/>
          <w:bCs/>
          <w:color w:val="auto"/>
          <w:sz w:val="22"/>
          <w:szCs w:val="22"/>
        </w:rPr>
        <w:footnoteReference w:id="98"/>
      </w:r>
      <w:r w:rsidRPr="000250FA">
        <w:rPr>
          <w:color w:val="auto"/>
          <w:sz w:val="22"/>
          <w:szCs w:val="22"/>
        </w:rPr>
        <w:t xml:space="preserve"> (1) A munkáltató jogosult a közalkalmazottat átmenetileg a kinevezéstől eltérő munkakörben, munkahelyen vagy más munkáltatónál foglalkoztatni.</w:t>
      </w:r>
    </w:p>
    <w:p w14:paraId="1219810B" w14:textId="77777777" w:rsidR="00893D5B" w:rsidRPr="000250FA" w:rsidRDefault="00893D5B" w:rsidP="00893D5B">
      <w:pPr>
        <w:rPr>
          <w:b/>
          <w:sz w:val="22"/>
          <w:szCs w:val="22"/>
        </w:rPr>
      </w:pPr>
    </w:p>
    <w:p w14:paraId="77784F58" w14:textId="77777777" w:rsidR="00893D5B" w:rsidRPr="000250FA" w:rsidRDefault="00893D5B" w:rsidP="00893D5B">
      <w:pPr>
        <w:jc w:val="both"/>
        <w:rPr>
          <w:b/>
          <w:bCs/>
          <w:strike/>
          <w:sz w:val="22"/>
          <w:szCs w:val="22"/>
        </w:rPr>
      </w:pPr>
      <w:r w:rsidRPr="000250FA">
        <w:rPr>
          <w:b/>
          <w:sz w:val="22"/>
          <w:szCs w:val="22"/>
        </w:rPr>
        <w:t>(</w:t>
      </w:r>
      <w:r w:rsidRPr="000250FA">
        <w:rPr>
          <w:sz w:val="22"/>
          <w:szCs w:val="22"/>
        </w:rPr>
        <w:t>2) A közalkalmazott az (1) bekezdés szerinti foglalkoztatás esetén az ellátott munkakörre előírt, de legalább a kinevezése szerinti illetményre jogosult</w:t>
      </w:r>
      <w:r w:rsidRPr="000250FA">
        <w:rPr>
          <w:b/>
          <w:sz w:val="22"/>
          <w:szCs w:val="22"/>
        </w:rPr>
        <w:t>.</w:t>
      </w:r>
    </w:p>
    <w:p w14:paraId="5D88E6B1" w14:textId="77777777" w:rsidR="00893D5B" w:rsidRPr="000250FA" w:rsidRDefault="00893D5B" w:rsidP="00893D5B">
      <w:pPr>
        <w:rPr>
          <w:sz w:val="22"/>
          <w:szCs w:val="22"/>
        </w:rPr>
      </w:pPr>
    </w:p>
    <w:p w14:paraId="6806FABA" w14:textId="77777777" w:rsidR="00893D5B" w:rsidRPr="000250FA" w:rsidRDefault="00893D5B" w:rsidP="00893D5B">
      <w:pPr>
        <w:tabs>
          <w:tab w:val="left" w:pos="9781"/>
        </w:tabs>
        <w:ind w:right="-144"/>
        <w:jc w:val="both"/>
        <w:rPr>
          <w:sz w:val="22"/>
          <w:szCs w:val="22"/>
        </w:rPr>
      </w:pPr>
      <w:r w:rsidRPr="000250FA">
        <w:rPr>
          <w:b/>
          <w:sz w:val="22"/>
          <w:szCs w:val="22"/>
        </w:rPr>
        <w:t>15. §</w:t>
      </w:r>
      <w:r w:rsidRPr="00827537">
        <w:rPr>
          <w:rStyle w:val="Lbjegyzet-hivatkozs"/>
          <w:sz w:val="22"/>
          <w:szCs w:val="22"/>
        </w:rPr>
        <w:footnoteReference w:id="99"/>
      </w:r>
      <w:r w:rsidRPr="00827537">
        <w:rPr>
          <w:sz w:val="22"/>
          <w:szCs w:val="22"/>
        </w:rPr>
        <w:t xml:space="preserve"> </w:t>
      </w:r>
      <w:r w:rsidRPr="000250FA">
        <w:rPr>
          <w:sz w:val="22"/>
          <w:szCs w:val="22"/>
        </w:rPr>
        <w:t>(1) A közalkalmazott hozzájárulása nélkül nem kötelezhető más helységben végzendő munkára</w:t>
      </w:r>
    </w:p>
    <w:p w14:paraId="6ECD9705" w14:textId="77777777" w:rsidR="00893D5B" w:rsidRPr="000250FA" w:rsidRDefault="00893D5B" w:rsidP="00912564">
      <w:pPr>
        <w:numPr>
          <w:ilvl w:val="0"/>
          <w:numId w:val="20"/>
        </w:numPr>
        <w:jc w:val="both"/>
        <w:rPr>
          <w:sz w:val="22"/>
          <w:szCs w:val="22"/>
        </w:rPr>
      </w:pPr>
      <w:r w:rsidRPr="000250FA">
        <w:rPr>
          <w:sz w:val="22"/>
          <w:szCs w:val="22"/>
        </w:rPr>
        <w:t>a várandóssága megállapításától gyermeke hároméves koráig,</w:t>
      </w:r>
    </w:p>
    <w:p w14:paraId="602798C5" w14:textId="77777777" w:rsidR="00893D5B" w:rsidRPr="000250FA" w:rsidRDefault="00893D5B" w:rsidP="00912564">
      <w:pPr>
        <w:numPr>
          <w:ilvl w:val="0"/>
          <w:numId w:val="20"/>
        </w:numPr>
        <w:jc w:val="both"/>
        <w:rPr>
          <w:sz w:val="22"/>
          <w:szCs w:val="22"/>
        </w:rPr>
      </w:pPr>
      <w:r w:rsidRPr="000250FA">
        <w:rPr>
          <w:sz w:val="22"/>
          <w:szCs w:val="22"/>
        </w:rPr>
        <w:t>gyermeke tizenhat éves koráig, ha gyermekét egyedül neveli, valamint</w:t>
      </w:r>
    </w:p>
    <w:p w14:paraId="6A1CA471" w14:textId="77777777" w:rsidR="00893D5B" w:rsidRPr="000250FA" w:rsidRDefault="00893D5B" w:rsidP="00912564">
      <w:pPr>
        <w:numPr>
          <w:ilvl w:val="0"/>
          <w:numId w:val="20"/>
        </w:numPr>
        <w:jc w:val="both"/>
        <w:rPr>
          <w:sz w:val="22"/>
          <w:szCs w:val="22"/>
        </w:rPr>
      </w:pPr>
      <w:r w:rsidRPr="000250FA">
        <w:rPr>
          <w:sz w:val="22"/>
          <w:szCs w:val="22"/>
        </w:rPr>
        <w:t>hozzátartozójának tartós, személyes gondozása esetén, továbbá, ha</w:t>
      </w:r>
    </w:p>
    <w:p w14:paraId="67DD6BF3" w14:textId="77777777" w:rsidR="00893D5B" w:rsidRPr="000250FA" w:rsidRDefault="00893D5B" w:rsidP="00912564">
      <w:pPr>
        <w:numPr>
          <w:ilvl w:val="0"/>
          <w:numId w:val="20"/>
        </w:numPr>
        <w:jc w:val="both"/>
      </w:pPr>
      <w:r w:rsidRPr="000250FA">
        <w:rPr>
          <w:sz w:val="22"/>
          <w:szCs w:val="22"/>
        </w:rPr>
        <w:t>a rehabilitációs szakértői szerv legalább ötven százalékos mértékű egészségkárosodását megállapította</w:t>
      </w:r>
      <w:r w:rsidRPr="000250FA">
        <w:t>.</w:t>
      </w:r>
    </w:p>
    <w:p w14:paraId="34832E82" w14:textId="77777777" w:rsidR="00893D5B" w:rsidRPr="000250FA" w:rsidRDefault="00893D5B" w:rsidP="00893D5B">
      <w:pPr>
        <w:tabs>
          <w:tab w:val="left" w:pos="9781"/>
        </w:tabs>
        <w:ind w:right="-144"/>
        <w:rPr>
          <w:sz w:val="22"/>
          <w:szCs w:val="22"/>
        </w:rPr>
      </w:pPr>
    </w:p>
    <w:p w14:paraId="279BF3EA" w14:textId="77777777" w:rsidR="00893D5B" w:rsidRPr="000250FA" w:rsidRDefault="00893D5B" w:rsidP="00893D5B">
      <w:pPr>
        <w:tabs>
          <w:tab w:val="left" w:pos="9781"/>
        </w:tabs>
        <w:ind w:right="-144"/>
        <w:jc w:val="both"/>
        <w:rPr>
          <w:sz w:val="22"/>
          <w:szCs w:val="22"/>
        </w:rPr>
      </w:pPr>
      <w:r w:rsidRPr="000250FA">
        <w:rPr>
          <w:sz w:val="22"/>
          <w:szCs w:val="22"/>
        </w:rPr>
        <w:t xml:space="preserve">(2) </w:t>
      </w:r>
    </w:p>
    <w:p w14:paraId="24E924D0" w14:textId="77777777" w:rsidR="00893D5B" w:rsidRPr="000250FA" w:rsidRDefault="00893D5B" w:rsidP="00893D5B">
      <w:pPr>
        <w:pStyle w:val="Cmsor4"/>
      </w:pPr>
      <w:bookmarkStart w:id="49" w:name="_Toc432753527"/>
      <w:r w:rsidRPr="000250FA">
        <w:t>A munkakör módosítása</w:t>
      </w:r>
      <w:bookmarkEnd w:id="49"/>
    </w:p>
    <w:p w14:paraId="1F35FA02" w14:textId="77777777" w:rsidR="00893D5B" w:rsidRPr="000250FA" w:rsidRDefault="00893D5B" w:rsidP="00893D5B">
      <w:pPr>
        <w:tabs>
          <w:tab w:val="left" w:pos="9781"/>
        </w:tabs>
        <w:ind w:right="-144"/>
        <w:jc w:val="both"/>
        <w:rPr>
          <w:sz w:val="22"/>
          <w:szCs w:val="22"/>
        </w:rPr>
      </w:pPr>
    </w:p>
    <w:p w14:paraId="74C4EC46" w14:textId="77777777" w:rsidR="00893D5B" w:rsidRPr="000250FA" w:rsidRDefault="00893D5B" w:rsidP="00893D5B">
      <w:pPr>
        <w:jc w:val="both"/>
        <w:rPr>
          <w:sz w:val="22"/>
          <w:szCs w:val="22"/>
        </w:rPr>
      </w:pPr>
      <w:r w:rsidRPr="000250FA">
        <w:rPr>
          <w:b/>
          <w:sz w:val="22"/>
          <w:szCs w:val="22"/>
        </w:rPr>
        <w:t>16. §</w:t>
      </w:r>
      <w:r w:rsidRPr="000250FA">
        <w:rPr>
          <w:rStyle w:val="Lbjegyzet-hivatkozs"/>
          <w:sz w:val="22"/>
          <w:szCs w:val="22"/>
        </w:rPr>
        <w:footnoteReference w:id="100"/>
      </w:r>
      <w:r w:rsidRPr="000250FA">
        <w:rPr>
          <w:sz w:val="22"/>
          <w:szCs w:val="22"/>
        </w:rPr>
        <w:t xml:space="preserve"> (1) A munkakör azon munkák körét tartalmazza, amit a közalkalmazott végezni köteles és jogosult közalkalmazotti jogviszonya fennállása alatt.</w:t>
      </w:r>
    </w:p>
    <w:p w14:paraId="41A9398F" w14:textId="77777777" w:rsidR="00893D5B" w:rsidRPr="000250FA" w:rsidRDefault="00893D5B" w:rsidP="00893D5B">
      <w:pPr>
        <w:jc w:val="both"/>
        <w:rPr>
          <w:sz w:val="22"/>
          <w:szCs w:val="22"/>
        </w:rPr>
      </w:pPr>
    </w:p>
    <w:p w14:paraId="1411EDCE" w14:textId="77777777" w:rsidR="00893D5B" w:rsidRPr="000250FA" w:rsidRDefault="00893D5B" w:rsidP="00893D5B">
      <w:pPr>
        <w:jc w:val="both"/>
        <w:rPr>
          <w:sz w:val="22"/>
          <w:szCs w:val="22"/>
        </w:rPr>
      </w:pPr>
      <w:r w:rsidRPr="000250FA">
        <w:rPr>
          <w:sz w:val="22"/>
          <w:szCs w:val="22"/>
        </w:rPr>
        <w:t>(2) Ha a közalkalmazotti kinevezés módosítása a munkakör megváltozásával, vagy az eredeti munkakör lényeges módosításával jár, akkor az e szabályzat 6-9. §-</w:t>
      </w:r>
      <w:proofErr w:type="spellStart"/>
      <w:r w:rsidRPr="000250FA">
        <w:rPr>
          <w:sz w:val="22"/>
          <w:szCs w:val="22"/>
        </w:rPr>
        <w:t>ában</w:t>
      </w:r>
      <w:proofErr w:type="spellEnd"/>
      <w:r w:rsidRPr="000250FA">
        <w:rPr>
          <w:sz w:val="22"/>
          <w:szCs w:val="22"/>
        </w:rPr>
        <w:t xml:space="preserve"> foglaltak szerint kell eljárni, és a módosítást megelőzően meg kell győződni arról, hogy az alkalmazási feltételek az új, illetve a megváltozott munkakör vonatkozásában is fennállnak. A munkakör megváltozásakor minden esetben el kell készíteni az új munkaköri leírást.</w:t>
      </w:r>
    </w:p>
    <w:p w14:paraId="0EDCBCEC" w14:textId="77777777" w:rsidR="00893D5B" w:rsidRPr="000250FA" w:rsidRDefault="00893D5B" w:rsidP="00893D5B">
      <w:pPr>
        <w:jc w:val="both"/>
        <w:rPr>
          <w:sz w:val="22"/>
          <w:szCs w:val="22"/>
        </w:rPr>
      </w:pPr>
    </w:p>
    <w:p w14:paraId="45486F58" w14:textId="77777777" w:rsidR="00893D5B" w:rsidRPr="000250FA" w:rsidRDefault="00893D5B" w:rsidP="00893D5B">
      <w:pPr>
        <w:jc w:val="both"/>
        <w:rPr>
          <w:sz w:val="22"/>
          <w:szCs w:val="22"/>
        </w:rPr>
      </w:pPr>
      <w:r w:rsidRPr="000250FA">
        <w:rPr>
          <w:sz w:val="22"/>
          <w:szCs w:val="22"/>
        </w:rPr>
        <w:t>(3) Ha a munkakör módosítása a munkavégzés helyének megváltoztatását is magában foglalja, akkor erről a kinevezést módosító okmányban külön rendelkezni kell.</w:t>
      </w:r>
    </w:p>
    <w:p w14:paraId="06E452FF" w14:textId="77777777" w:rsidR="00893D5B" w:rsidRPr="000250FA" w:rsidRDefault="00893D5B" w:rsidP="00893D5B">
      <w:pPr>
        <w:jc w:val="both"/>
        <w:rPr>
          <w:sz w:val="22"/>
          <w:szCs w:val="22"/>
        </w:rPr>
      </w:pPr>
    </w:p>
    <w:p w14:paraId="0050B3D1" w14:textId="77777777" w:rsidR="00893D5B" w:rsidRPr="000250FA" w:rsidRDefault="00893D5B" w:rsidP="00893D5B">
      <w:pPr>
        <w:jc w:val="both"/>
        <w:rPr>
          <w:sz w:val="22"/>
          <w:szCs w:val="22"/>
        </w:rPr>
      </w:pPr>
      <w:r w:rsidRPr="000250FA">
        <w:rPr>
          <w:sz w:val="22"/>
          <w:szCs w:val="22"/>
        </w:rPr>
        <w:t xml:space="preserve">(4) Az e szakasz (2) bekezdése alapján, ha az új, vagy a megváltozott munkakör vonatkozásában ez jogszabály vagy szabályzat rendelkezése alapján szükséges – a közalkalmazott személyi </w:t>
      </w:r>
      <w:proofErr w:type="spellStart"/>
      <w:r w:rsidRPr="000250FA">
        <w:rPr>
          <w:sz w:val="22"/>
          <w:szCs w:val="22"/>
        </w:rPr>
        <w:t>anyagához</w:t>
      </w:r>
      <w:proofErr w:type="spellEnd"/>
      <w:r w:rsidRPr="000250FA">
        <w:rPr>
          <w:sz w:val="22"/>
          <w:szCs w:val="22"/>
        </w:rPr>
        <w:t xml:space="preserve"> csatolás céljából – át kell venni </w:t>
      </w:r>
    </w:p>
    <w:p w14:paraId="330F0EBA" w14:textId="77777777" w:rsidR="00893D5B" w:rsidRPr="000250FA" w:rsidRDefault="00893D5B" w:rsidP="00893D5B">
      <w:pPr>
        <w:rPr>
          <w:sz w:val="22"/>
          <w:szCs w:val="22"/>
        </w:rPr>
      </w:pPr>
    </w:p>
    <w:p w14:paraId="63B4B915" w14:textId="77777777" w:rsidR="00893D5B" w:rsidRPr="000250FA" w:rsidRDefault="00893D5B" w:rsidP="00912564">
      <w:pPr>
        <w:numPr>
          <w:ilvl w:val="0"/>
          <w:numId w:val="21"/>
        </w:numPr>
        <w:jc w:val="both"/>
        <w:rPr>
          <w:sz w:val="22"/>
          <w:szCs w:val="22"/>
        </w:rPr>
      </w:pPr>
      <w:r w:rsidRPr="000250FA">
        <w:rPr>
          <w:sz w:val="22"/>
          <w:szCs w:val="22"/>
        </w:rPr>
        <w:lastRenderedPageBreak/>
        <w:t>az új vagy megváltozott munkakör betöltéséhez szükséges végzettséget és képzettséget igazoló oklevelek, bizonyítványok másolatát,</w:t>
      </w:r>
    </w:p>
    <w:p w14:paraId="272D35BE" w14:textId="77777777" w:rsidR="00893D5B" w:rsidRPr="000250FA" w:rsidRDefault="00893D5B" w:rsidP="00912564">
      <w:pPr>
        <w:numPr>
          <w:ilvl w:val="0"/>
          <w:numId w:val="21"/>
        </w:numPr>
        <w:jc w:val="both"/>
        <w:rPr>
          <w:sz w:val="22"/>
          <w:szCs w:val="22"/>
        </w:rPr>
      </w:pPr>
      <w:r w:rsidRPr="000250FA">
        <w:rPr>
          <w:sz w:val="22"/>
          <w:szCs w:val="22"/>
        </w:rPr>
        <w:t xml:space="preserve">a foglalkozás-egészségügyi szolgálat egészségügyi </w:t>
      </w:r>
      <w:proofErr w:type="spellStart"/>
      <w:r w:rsidRPr="000250FA">
        <w:rPr>
          <w:sz w:val="22"/>
          <w:szCs w:val="22"/>
        </w:rPr>
        <w:t>alkalmasságról</w:t>
      </w:r>
      <w:proofErr w:type="spellEnd"/>
      <w:r w:rsidRPr="000250FA">
        <w:rPr>
          <w:sz w:val="22"/>
          <w:szCs w:val="22"/>
        </w:rPr>
        <w:t xml:space="preserve"> szóló igazolását,</w:t>
      </w:r>
    </w:p>
    <w:p w14:paraId="0C738F12" w14:textId="77777777" w:rsidR="00893D5B" w:rsidRPr="000250FA" w:rsidRDefault="00893D5B" w:rsidP="00912564">
      <w:pPr>
        <w:numPr>
          <w:ilvl w:val="0"/>
          <w:numId w:val="21"/>
        </w:numPr>
        <w:jc w:val="both"/>
        <w:rPr>
          <w:sz w:val="22"/>
          <w:szCs w:val="22"/>
        </w:rPr>
      </w:pPr>
      <w:r w:rsidRPr="000250FA">
        <w:rPr>
          <w:sz w:val="22"/>
          <w:szCs w:val="22"/>
        </w:rPr>
        <w:t>az új tűz- és munkavédelmi szabályokra vonatkozó oktatás bizonylatát.</w:t>
      </w:r>
    </w:p>
    <w:p w14:paraId="48445F3C" w14:textId="77777777" w:rsidR="00893D5B" w:rsidRPr="000250FA" w:rsidRDefault="00893D5B" w:rsidP="00893D5B">
      <w:pPr>
        <w:jc w:val="both"/>
        <w:rPr>
          <w:sz w:val="22"/>
          <w:szCs w:val="22"/>
        </w:rPr>
      </w:pPr>
    </w:p>
    <w:p w14:paraId="02065565" w14:textId="3840003A" w:rsidR="00893D5B" w:rsidRPr="000250FA" w:rsidRDefault="00893D5B" w:rsidP="00893D5B">
      <w:pPr>
        <w:tabs>
          <w:tab w:val="left" w:pos="9781"/>
        </w:tabs>
        <w:ind w:right="-144"/>
        <w:jc w:val="both"/>
        <w:rPr>
          <w:sz w:val="22"/>
          <w:szCs w:val="22"/>
        </w:rPr>
      </w:pPr>
      <w:r w:rsidRPr="000250FA">
        <w:rPr>
          <w:sz w:val="22"/>
          <w:szCs w:val="22"/>
        </w:rPr>
        <w:t>(5)</w:t>
      </w:r>
      <w:r w:rsidRPr="000250FA">
        <w:rPr>
          <w:rStyle w:val="Lbjegyzet-hivatkozs"/>
          <w:sz w:val="22"/>
          <w:szCs w:val="22"/>
        </w:rPr>
        <w:footnoteReference w:id="101"/>
      </w:r>
      <w:r w:rsidRPr="000250FA">
        <w:rPr>
          <w:sz w:val="22"/>
          <w:szCs w:val="22"/>
        </w:rPr>
        <w:t xml:space="preserve"> Nem kell alkalmazni a jelen szakasz (4) bekezdésében foglaltakat, ha az új munkakör betöltésére pályázati eljárás alapján került sor, és a pályázathoz a szükséges iratokat már csatolták, vagy azok egyébként az Egyetem rendelkezésére állnak. Ennek érdekében a munkáltatói jogkör gyakorlók, illetőleg a vezetői megbízásra jogosultak a pályázat egy teljes példányát kötelesek a </w:t>
      </w:r>
      <w:r w:rsidR="008F3214" w:rsidRPr="00BD6AF1">
        <w:rPr>
          <w:bCs/>
          <w:iCs/>
          <w:sz w:val="22"/>
          <w:szCs w:val="22"/>
        </w:rPr>
        <w:t>HFO-</w:t>
      </w:r>
      <w:proofErr w:type="spellStart"/>
      <w:r w:rsidR="008F3214" w:rsidRPr="00BD6AF1">
        <w:rPr>
          <w:bCs/>
          <w:iCs/>
          <w:sz w:val="22"/>
          <w:szCs w:val="22"/>
        </w:rPr>
        <w:t>ra</w:t>
      </w:r>
      <w:proofErr w:type="spellEnd"/>
      <w:r w:rsidRPr="000250FA">
        <w:rPr>
          <w:sz w:val="22"/>
          <w:szCs w:val="22"/>
        </w:rPr>
        <w:t xml:space="preserve"> nyilvántartás céljából megküldeni.</w:t>
      </w:r>
    </w:p>
    <w:p w14:paraId="4806B9F0" w14:textId="77777777" w:rsidR="00893D5B" w:rsidRPr="000250FA" w:rsidRDefault="00893D5B" w:rsidP="00893D5B">
      <w:pPr>
        <w:tabs>
          <w:tab w:val="left" w:pos="9781"/>
        </w:tabs>
        <w:ind w:right="-144"/>
        <w:jc w:val="both"/>
        <w:rPr>
          <w:sz w:val="22"/>
          <w:szCs w:val="22"/>
        </w:rPr>
      </w:pPr>
    </w:p>
    <w:p w14:paraId="45181983" w14:textId="77777777" w:rsidR="00893D5B" w:rsidRPr="000250FA" w:rsidRDefault="00893D5B" w:rsidP="00893D5B">
      <w:pPr>
        <w:tabs>
          <w:tab w:val="left" w:pos="9781"/>
        </w:tabs>
        <w:ind w:right="-144"/>
        <w:jc w:val="both"/>
        <w:rPr>
          <w:sz w:val="22"/>
          <w:szCs w:val="22"/>
        </w:rPr>
      </w:pPr>
      <w:r w:rsidRPr="000250FA">
        <w:rPr>
          <w:sz w:val="22"/>
          <w:szCs w:val="22"/>
        </w:rPr>
        <w:t>(6) Nem minősül a munkakör módosításának a munkakör jellegét meg nem változtató feladattal való kibővítése. A kibővített feladatokat a munkaköri leíráson át kell vezetni.</w:t>
      </w:r>
    </w:p>
    <w:p w14:paraId="48978198" w14:textId="77777777" w:rsidR="00893D5B" w:rsidRPr="000250FA" w:rsidRDefault="00893D5B" w:rsidP="00893D5B">
      <w:pPr>
        <w:tabs>
          <w:tab w:val="left" w:pos="9781"/>
        </w:tabs>
        <w:ind w:right="-144"/>
        <w:rPr>
          <w:b/>
          <w:sz w:val="22"/>
          <w:szCs w:val="22"/>
        </w:rPr>
      </w:pPr>
    </w:p>
    <w:p w14:paraId="7753773C" w14:textId="77777777" w:rsidR="00893D5B" w:rsidRPr="000250FA" w:rsidRDefault="00893D5B" w:rsidP="00893D5B">
      <w:pPr>
        <w:tabs>
          <w:tab w:val="left" w:pos="9781"/>
        </w:tabs>
        <w:ind w:right="-144"/>
        <w:jc w:val="center"/>
        <w:rPr>
          <w:b/>
          <w:strike/>
          <w:sz w:val="22"/>
          <w:szCs w:val="22"/>
        </w:rPr>
      </w:pPr>
      <w:r w:rsidRPr="000250FA">
        <w:rPr>
          <w:b/>
          <w:sz w:val="22"/>
          <w:szCs w:val="22"/>
        </w:rPr>
        <w:t>Többletfeladat elrendelése</w:t>
      </w:r>
      <w:r w:rsidRPr="000250FA">
        <w:rPr>
          <w:rStyle w:val="Lbjegyzet-hivatkozs"/>
          <w:b/>
          <w:sz w:val="22"/>
          <w:szCs w:val="22"/>
        </w:rPr>
        <w:footnoteReference w:id="102"/>
      </w:r>
    </w:p>
    <w:p w14:paraId="581242E3" w14:textId="77777777" w:rsidR="00893D5B" w:rsidRPr="000250FA" w:rsidRDefault="00893D5B" w:rsidP="00893D5B">
      <w:pPr>
        <w:tabs>
          <w:tab w:val="left" w:pos="9781"/>
        </w:tabs>
        <w:ind w:right="-144"/>
        <w:jc w:val="both"/>
        <w:rPr>
          <w:strike/>
          <w:sz w:val="22"/>
          <w:szCs w:val="22"/>
        </w:rPr>
      </w:pPr>
    </w:p>
    <w:p w14:paraId="4F9CF5AD" w14:textId="77777777" w:rsidR="00893D5B" w:rsidRPr="000250FA" w:rsidRDefault="00893D5B" w:rsidP="00893D5B">
      <w:pPr>
        <w:tabs>
          <w:tab w:val="left" w:pos="9781"/>
        </w:tabs>
        <w:ind w:right="-144"/>
        <w:jc w:val="both"/>
        <w:rPr>
          <w:strike/>
          <w:sz w:val="22"/>
          <w:szCs w:val="22"/>
        </w:rPr>
      </w:pPr>
      <w:r w:rsidRPr="000250FA">
        <w:rPr>
          <w:b/>
          <w:sz w:val="22"/>
          <w:szCs w:val="22"/>
        </w:rPr>
        <w:t>17. §</w:t>
      </w:r>
      <w:r w:rsidRPr="000250FA">
        <w:rPr>
          <w:rStyle w:val="Lbjegyzet-hivatkozs"/>
          <w:b/>
          <w:sz w:val="22"/>
          <w:szCs w:val="22"/>
        </w:rPr>
        <w:footnoteReference w:id="103"/>
      </w:r>
      <w:r w:rsidRPr="000250FA">
        <w:rPr>
          <w:sz w:val="22"/>
          <w:szCs w:val="22"/>
        </w:rPr>
        <w:t xml:space="preserve"> (1)</w:t>
      </w:r>
      <w:r w:rsidRPr="000250FA">
        <w:rPr>
          <w:strike/>
          <w:sz w:val="22"/>
          <w:szCs w:val="22"/>
        </w:rPr>
        <w:t xml:space="preserve"> </w:t>
      </w:r>
    </w:p>
    <w:p w14:paraId="5389C750" w14:textId="77777777" w:rsidR="00893D5B" w:rsidRPr="000250FA" w:rsidRDefault="00893D5B" w:rsidP="00893D5B">
      <w:pPr>
        <w:tabs>
          <w:tab w:val="left" w:pos="9781"/>
        </w:tabs>
        <w:ind w:left="360" w:right="-144"/>
        <w:jc w:val="both"/>
        <w:rPr>
          <w:strike/>
          <w:sz w:val="22"/>
          <w:szCs w:val="22"/>
        </w:rPr>
      </w:pPr>
    </w:p>
    <w:p w14:paraId="67B01D41" w14:textId="77777777" w:rsidR="00893D5B" w:rsidRPr="000250FA" w:rsidRDefault="00893D5B" w:rsidP="00893D5B">
      <w:pPr>
        <w:tabs>
          <w:tab w:val="left" w:pos="9781"/>
        </w:tabs>
        <w:ind w:right="-144"/>
        <w:jc w:val="both"/>
        <w:rPr>
          <w:sz w:val="22"/>
          <w:szCs w:val="22"/>
        </w:rPr>
      </w:pPr>
      <w:r w:rsidRPr="000250FA">
        <w:rPr>
          <w:sz w:val="22"/>
          <w:szCs w:val="22"/>
        </w:rPr>
        <w:t xml:space="preserve">(2) </w:t>
      </w:r>
    </w:p>
    <w:p w14:paraId="6A5F349B" w14:textId="77777777" w:rsidR="00893D5B" w:rsidRPr="000250FA" w:rsidRDefault="00893D5B" w:rsidP="00893D5B">
      <w:pPr>
        <w:tabs>
          <w:tab w:val="left" w:pos="9781"/>
        </w:tabs>
        <w:ind w:left="360" w:right="-144"/>
        <w:jc w:val="both"/>
        <w:rPr>
          <w:sz w:val="22"/>
          <w:szCs w:val="22"/>
        </w:rPr>
      </w:pPr>
    </w:p>
    <w:p w14:paraId="61721106" w14:textId="77777777" w:rsidR="00893D5B" w:rsidRPr="000250FA" w:rsidRDefault="00893D5B" w:rsidP="00893D5B">
      <w:pPr>
        <w:tabs>
          <w:tab w:val="left" w:pos="9781"/>
        </w:tabs>
        <w:ind w:right="-144"/>
        <w:jc w:val="both"/>
        <w:rPr>
          <w:sz w:val="22"/>
          <w:szCs w:val="22"/>
        </w:rPr>
      </w:pPr>
      <w:r w:rsidRPr="000250FA">
        <w:rPr>
          <w:sz w:val="22"/>
          <w:szCs w:val="22"/>
        </w:rPr>
        <w:t xml:space="preserve">(3) </w:t>
      </w:r>
    </w:p>
    <w:p w14:paraId="7003F08A" w14:textId="77777777" w:rsidR="00893D5B" w:rsidRPr="000250FA" w:rsidRDefault="00893D5B" w:rsidP="00893D5B">
      <w:pPr>
        <w:tabs>
          <w:tab w:val="left" w:pos="9781"/>
        </w:tabs>
        <w:ind w:left="360" w:right="-144"/>
        <w:jc w:val="both"/>
        <w:rPr>
          <w:sz w:val="22"/>
          <w:szCs w:val="22"/>
        </w:rPr>
      </w:pPr>
    </w:p>
    <w:p w14:paraId="622FC468" w14:textId="77777777" w:rsidR="00893D5B" w:rsidRPr="000250FA" w:rsidRDefault="00893D5B" w:rsidP="00893D5B">
      <w:pPr>
        <w:tabs>
          <w:tab w:val="left" w:pos="9781"/>
        </w:tabs>
        <w:ind w:right="-144"/>
        <w:jc w:val="both"/>
        <w:rPr>
          <w:sz w:val="22"/>
          <w:szCs w:val="22"/>
        </w:rPr>
      </w:pPr>
      <w:r w:rsidRPr="000250FA">
        <w:rPr>
          <w:sz w:val="22"/>
          <w:szCs w:val="22"/>
        </w:rPr>
        <w:t xml:space="preserve">(4) </w:t>
      </w:r>
    </w:p>
    <w:p w14:paraId="5D8EC7BC" w14:textId="77777777" w:rsidR="00893D5B" w:rsidRPr="000250FA" w:rsidRDefault="00893D5B" w:rsidP="00893D5B">
      <w:pPr>
        <w:rPr>
          <w:b/>
          <w:i/>
          <w:sz w:val="22"/>
          <w:szCs w:val="22"/>
        </w:rPr>
      </w:pPr>
    </w:p>
    <w:p w14:paraId="49915E19" w14:textId="77777777" w:rsidR="00893D5B" w:rsidRPr="000250FA" w:rsidRDefault="00893D5B" w:rsidP="00893D5B">
      <w:pPr>
        <w:tabs>
          <w:tab w:val="left" w:pos="9781"/>
        </w:tabs>
        <w:ind w:right="-144"/>
        <w:jc w:val="both"/>
        <w:rPr>
          <w:sz w:val="22"/>
          <w:szCs w:val="22"/>
        </w:rPr>
      </w:pPr>
      <w:r w:rsidRPr="000250FA">
        <w:rPr>
          <w:sz w:val="22"/>
          <w:szCs w:val="22"/>
        </w:rPr>
        <w:t>(5)</w:t>
      </w:r>
    </w:p>
    <w:p w14:paraId="68D3C703" w14:textId="77777777" w:rsidR="00893D5B" w:rsidRPr="000250FA" w:rsidRDefault="00893D5B" w:rsidP="00893D5B">
      <w:pPr>
        <w:tabs>
          <w:tab w:val="left" w:pos="9781"/>
        </w:tabs>
        <w:ind w:right="-144"/>
        <w:jc w:val="both"/>
        <w:rPr>
          <w:sz w:val="22"/>
          <w:szCs w:val="22"/>
        </w:rPr>
      </w:pPr>
    </w:p>
    <w:p w14:paraId="1F86A771" w14:textId="77777777" w:rsidR="00893D5B" w:rsidRPr="000250FA" w:rsidRDefault="00893D5B" w:rsidP="00893D5B">
      <w:pPr>
        <w:tabs>
          <w:tab w:val="left" w:pos="9781"/>
        </w:tabs>
        <w:ind w:right="-144"/>
        <w:rPr>
          <w:b/>
          <w:sz w:val="22"/>
          <w:szCs w:val="22"/>
        </w:rPr>
      </w:pPr>
    </w:p>
    <w:p w14:paraId="0BD25C5E" w14:textId="77777777" w:rsidR="00893D5B" w:rsidRPr="000250FA" w:rsidRDefault="00893D5B" w:rsidP="00893D5B">
      <w:pPr>
        <w:pStyle w:val="Cmsor4"/>
      </w:pPr>
      <w:bookmarkStart w:id="50" w:name="_Toc432753528"/>
      <w:r w:rsidRPr="000250FA">
        <w:t>Belső áthelyezés</w:t>
      </w:r>
      <w:bookmarkEnd w:id="50"/>
    </w:p>
    <w:p w14:paraId="202E2C1C" w14:textId="77777777" w:rsidR="00893D5B" w:rsidRPr="000250FA" w:rsidRDefault="00893D5B" w:rsidP="00893D5B">
      <w:pPr>
        <w:tabs>
          <w:tab w:val="left" w:pos="9781"/>
        </w:tabs>
        <w:ind w:right="-144"/>
        <w:jc w:val="both"/>
        <w:rPr>
          <w:sz w:val="22"/>
          <w:szCs w:val="22"/>
        </w:rPr>
      </w:pPr>
    </w:p>
    <w:p w14:paraId="265EFD39" w14:textId="77777777" w:rsidR="00893D5B" w:rsidRPr="000250FA" w:rsidRDefault="00893D5B" w:rsidP="00893D5B">
      <w:pPr>
        <w:autoSpaceDE w:val="0"/>
        <w:autoSpaceDN w:val="0"/>
        <w:adjustRightInd w:val="0"/>
        <w:spacing w:line="276" w:lineRule="auto"/>
        <w:jc w:val="both"/>
        <w:rPr>
          <w:sz w:val="22"/>
          <w:szCs w:val="22"/>
        </w:rPr>
      </w:pPr>
      <w:r w:rsidRPr="000250FA">
        <w:rPr>
          <w:b/>
          <w:sz w:val="22"/>
          <w:szCs w:val="22"/>
        </w:rPr>
        <w:t>18. §</w:t>
      </w:r>
      <w:r w:rsidRPr="00827537">
        <w:rPr>
          <w:rStyle w:val="Lbjegyzet-hivatkozs"/>
          <w:sz w:val="22"/>
          <w:szCs w:val="22"/>
        </w:rPr>
        <w:footnoteReference w:id="104"/>
      </w:r>
      <w:r w:rsidRPr="00827537">
        <w:rPr>
          <w:sz w:val="22"/>
          <w:szCs w:val="22"/>
        </w:rPr>
        <w:t xml:space="preserve"> </w:t>
      </w:r>
      <w:r w:rsidRPr="00827537">
        <w:rPr>
          <w:rStyle w:val="Lbjegyzet-hivatkozs"/>
          <w:sz w:val="22"/>
          <w:szCs w:val="22"/>
        </w:rPr>
        <w:footnoteReference w:id="105"/>
      </w:r>
      <w:r w:rsidRPr="00827537">
        <w:rPr>
          <w:sz w:val="22"/>
          <w:szCs w:val="22"/>
        </w:rPr>
        <w:t xml:space="preserve"> </w:t>
      </w:r>
      <w:r w:rsidRPr="000250FA">
        <w:rPr>
          <w:sz w:val="22"/>
          <w:szCs w:val="22"/>
        </w:rPr>
        <w:t xml:space="preserve">(1) Ha az Egyetemmel közalkalmazotti jogviszonyban álló személy munkáltatói jogkör gyakorlására jogosult egyik egyetemi szervezeti egységből másik szervezeti egységhez kerül át (belső áthelyezés), akkor erről megállapodást kell kötni. A Klinikai Központ szervezeti egységei közötti megállapodás érvényességéhez a Klinikai Központ elnökének hozzájárulása szükséges. A belső áthelyezésre vonatkozó részletszabályokat a HR Kézikönyv tartalmazza. </w:t>
      </w:r>
    </w:p>
    <w:p w14:paraId="25253F63" w14:textId="77777777" w:rsidR="00893D5B" w:rsidRPr="000250FA" w:rsidRDefault="00893D5B" w:rsidP="00893D5B">
      <w:pPr>
        <w:autoSpaceDE w:val="0"/>
        <w:autoSpaceDN w:val="0"/>
        <w:adjustRightInd w:val="0"/>
        <w:spacing w:line="276" w:lineRule="auto"/>
        <w:jc w:val="both"/>
        <w:rPr>
          <w:sz w:val="22"/>
          <w:szCs w:val="22"/>
        </w:rPr>
      </w:pPr>
    </w:p>
    <w:p w14:paraId="20FD7DFA" w14:textId="77777777" w:rsidR="00893D5B" w:rsidRPr="000250FA" w:rsidRDefault="00893D5B" w:rsidP="00893D5B">
      <w:pPr>
        <w:autoSpaceDE w:val="0"/>
        <w:autoSpaceDN w:val="0"/>
        <w:adjustRightInd w:val="0"/>
        <w:spacing w:line="276" w:lineRule="auto"/>
        <w:jc w:val="both"/>
        <w:rPr>
          <w:rFonts w:eastAsia="Calibri"/>
          <w:sz w:val="22"/>
          <w:szCs w:val="22"/>
          <w:lang w:eastAsia="en-US"/>
        </w:rPr>
      </w:pPr>
      <w:r w:rsidRPr="000250FA">
        <w:rPr>
          <w:sz w:val="22"/>
          <w:szCs w:val="22"/>
        </w:rPr>
        <w:t>(2)</w:t>
      </w:r>
      <w:r w:rsidRPr="000250FA">
        <w:rPr>
          <w:rStyle w:val="Lbjegyzet-hivatkozs"/>
          <w:sz w:val="22"/>
          <w:szCs w:val="22"/>
        </w:rPr>
        <w:footnoteReference w:id="106"/>
      </w:r>
      <w:r w:rsidRPr="000250FA">
        <w:rPr>
          <w:sz w:val="22"/>
          <w:szCs w:val="22"/>
        </w:rPr>
        <w:t xml:space="preserve"> Az (1) bekezdésben meghatározott megállapodás hiányában a közalkalmazott egyoldalú nyilatkozata alapján a közalkalmazotti jogviszony a Kjt. 28. §-a szerinti lemondási idő elteltét követő naptól módosul. A nyilatkozatot a HR Kézikönyv szerinti tartalommal és formában kell közölni az átadó munkáltatói jogkör gyakorlóval. A lemondási idő tartamát a közalkalmazott nyilatkozatának közlésétől kell számítani. A módosulás nyomán a közalkalmazott foglalkoztatója az átvevő szervezeti egység. </w:t>
      </w:r>
      <w:r w:rsidRPr="000250FA">
        <w:rPr>
          <w:rFonts w:eastAsia="Calibri"/>
          <w:sz w:val="22"/>
          <w:szCs w:val="22"/>
          <w:lang w:eastAsia="en-US"/>
        </w:rPr>
        <w:t xml:space="preserve">A Klinikai Központban foglalkoztatott közalkalmazott a Klinikai Központ elnökének előzetes írásbeli hozzájárulásával teheti meg nyilatkozatát.  </w:t>
      </w:r>
    </w:p>
    <w:p w14:paraId="37D69E76" w14:textId="77777777" w:rsidR="00893D5B" w:rsidRPr="000250FA" w:rsidRDefault="00893D5B" w:rsidP="00893D5B">
      <w:pPr>
        <w:autoSpaceDE w:val="0"/>
        <w:autoSpaceDN w:val="0"/>
        <w:adjustRightInd w:val="0"/>
        <w:spacing w:line="276" w:lineRule="auto"/>
        <w:jc w:val="both"/>
        <w:rPr>
          <w:sz w:val="22"/>
          <w:szCs w:val="22"/>
        </w:rPr>
      </w:pPr>
    </w:p>
    <w:p w14:paraId="3F89E903" w14:textId="77777777" w:rsidR="00893D5B" w:rsidRPr="000250FA" w:rsidRDefault="00893D5B" w:rsidP="00893D5B">
      <w:pPr>
        <w:autoSpaceDE w:val="0"/>
        <w:autoSpaceDN w:val="0"/>
        <w:adjustRightInd w:val="0"/>
        <w:spacing w:line="276" w:lineRule="auto"/>
        <w:jc w:val="both"/>
        <w:rPr>
          <w:sz w:val="22"/>
          <w:szCs w:val="22"/>
        </w:rPr>
      </w:pPr>
      <w:r w:rsidRPr="000250FA">
        <w:rPr>
          <w:sz w:val="22"/>
          <w:szCs w:val="22"/>
        </w:rPr>
        <w:lastRenderedPageBreak/>
        <w:t xml:space="preserve">(3) A (2) bekezdés szerinti esetben a közalkalmazott időarányos szabadságát – eltérő megállapodás hiányában – az átadó munkáltatói jogkör gyakorlója köteles kiadni az Mt. 122. § rendelkezései szerint. A közalkalmazott köteles legkésőbb az átadó szervezeti egységnél fennálló foglalkoztatás utolsó napján az átadó szervezeti egységgel elszámolni, feladatkörét átadni. </w:t>
      </w:r>
    </w:p>
    <w:p w14:paraId="28BCF142" w14:textId="77777777" w:rsidR="00893D5B" w:rsidRPr="000250FA" w:rsidRDefault="00893D5B" w:rsidP="00893D5B">
      <w:pPr>
        <w:autoSpaceDE w:val="0"/>
        <w:autoSpaceDN w:val="0"/>
        <w:adjustRightInd w:val="0"/>
        <w:spacing w:line="276" w:lineRule="auto"/>
        <w:jc w:val="both"/>
        <w:rPr>
          <w:sz w:val="22"/>
          <w:szCs w:val="22"/>
        </w:rPr>
      </w:pPr>
    </w:p>
    <w:p w14:paraId="73802A4B" w14:textId="77777777" w:rsidR="00893D5B" w:rsidRPr="000250FA" w:rsidRDefault="00893D5B" w:rsidP="00893D5B">
      <w:pPr>
        <w:jc w:val="both"/>
        <w:rPr>
          <w:sz w:val="22"/>
          <w:szCs w:val="22"/>
        </w:rPr>
      </w:pPr>
      <w:r w:rsidRPr="000250FA">
        <w:rPr>
          <w:sz w:val="22"/>
          <w:szCs w:val="22"/>
        </w:rPr>
        <w:t>(4) A belső áthelyezésre vonatkozó szabályokat kell alkalmazni a közalkalmazottnak az átadó szervezeti egységgel fennálló tanulmányi szerződésére.</w:t>
      </w:r>
    </w:p>
    <w:p w14:paraId="16E37DBA" w14:textId="77777777" w:rsidR="00893D5B" w:rsidRPr="000250FA" w:rsidRDefault="00893D5B" w:rsidP="00893D5B">
      <w:pPr>
        <w:tabs>
          <w:tab w:val="left" w:pos="9781"/>
        </w:tabs>
        <w:ind w:right="-144"/>
        <w:jc w:val="both"/>
        <w:rPr>
          <w:sz w:val="22"/>
          <w:szCs w:val="22"/>
        </w:rPr>
      </w:pPr>
    </w:p>
    <w:p w14:paraId="305B136D" w14:textId="77777777" w:rsidR="00893D5B" w:rsidRPr="000250FA" w:rsidRDefault="00893D5B" w:rsidP="00893D5B">
      <w:pPr>
        <w:pStyle w:val="Cmsor3"/>
      </w:pPr>
      <w:bookmarkStart w:id="51" w:name="_Toc432753529"/>
      <w:bookmarkStart w:id="52" w:name="_Toc444603551"/>
      <w:bookmarkStart w:id="53" w:name="_Toc445200811"/>
      <w:bookmarkStart w:id="54" w:name="_Toc58569533"/>
      <w:r w:rsidRPr="000250FA">
        <w:t>II. fejezet - A közalkalmazotti jogviszony megszűnése és megszüntetése</w:t>
      </w:r>
      <w:bookmarkEnd w:id="51"/>
      <w:bookmarkEnd w:id="52"/>
      <w:bookmarkEnd w:id="53"/>
      <w:bookmarkEnd w:id="54"/>
    </w:p>
    <w:p w14:paraId="310501AF" w14:textId="77777777" w:rsidR="00893D5B" w:rsidRPr="000250FA" w:rsidRDefault="00893D5B" w:rsidP="00893D5B">
      <w:pPr>
        <w:pStyle w:val="Normlstilus1norml"/>
        <w:tabs>
          <w:tab w:val="left" w:pos="9781"/>
        </w:tabs>
        <w:ind w:left="57" w:right="-144"/>
        <w:rPr>
          <w:b/>
          <w:bCs/>
          <w:color w:val="auto"/>
          <w:sz w:val="22"/>
          <w:szCs w:val="22"/>
        </w:rPr>
      </w:pPr>
    </w:p>
    <w:p w14:paraId="281E5C2F" w14:textId="77777777" w:rsidR="00893D5B" w:rsidRPr="000250FA" w:rsidRDefault="00893D5B" w:rsidP="00893D5B">
      <w:pPr>
        <w:pStyle w:val="Cmsor4"/>
      </w:pPr>
      <w:bookmarkStart w:id="55" w:name="_Toc432753530"/>
      <w:r w:rsidRPr="000250FA">
        <w:t>A közalkalmazotti jogviszony megszűnésének és megszüntetésének jogcímei</w:t>
      </w:r>
      <w:bookmarkEnd w:id="55"/>
    </w:p>
    <w:p w14:paraId="2FC34719" w14:textId="77777777" w:rsidR="00893D5B" w:rsidRPr="000250FA" w:rsidRDefault="00893D5B" w:rsidP="00893D5B">
      <w:pPr>
        <w:pStyle w:val="Normlstilus1norml"/>
        <w:tabs>
          <w:tab w:val="left" w:pos="9781"/>
        </w:tabs>
        <w:ind w:left="57" w:right="-144"/>
        <w:jc w:val="center"/>
        <w:rPr>
          <w:b/>
          <w:bCs/>
          <w:color w:val="auto"/>
          <w:sz w:val="22"/>
          <w:szCs w:val="22"/>
        </w:rPr>
      </w:pPr>
    </w:p>
    <w:p w14:paraId="718B639E" w14:textId="77777777" w:rsidR="00893D5B" w:rsidRPr="000250FA" w:rsidRDefault="00893D5B" w:rsidP="00893D5B">
      <w:pPr>
        <w:pStyle w:val="Normlstilus1norml"/>
        <w:tabs>
          <w:tab w:val="left" w:pos="9781"/>
        </w:tabs>
        <w:ind w:right="-144"/>
        <w:rPr>
          <w:strike/>
          <w:color w:val="auto"/>
          <w:sz w:val="22"/>
          <w:szCs w:val="22"/>
        </w:rPr>
      </w:pPr>
      <w:r w:rsidRPr="000250FA">
        <w:rPr>
          <w:b/>
          <w:bCs/>
          <w:color w:val="auto"/>
          <w:sz w:val="22"/>
          <w:szCs w:val="22"/>
        </w:rPr>
        <w:t>19. §</w:t>
      </w:r>
      <w:r w:rsidRPr="00827537">
        <w:rPr>
          <w:rStyle w:val="Lbjegyzet-hivatkozs"/>
          <w:bCs/>
          <w:color w:val="auto"/>
          <w:sz w:val="22"/>
          <w:szCs w:val="22"/>
        </w:rPr>
        <w:footnoteReference w:id="107"/>
      </w:r>
      <w:r w:rsidRPr="00827537">
        <w:rPr>
          <w:color w:val="auto"/>
          <w:sz w:val="22"/>
          <w:szCs w:val="22"/>
        </w:rPr>
        <w:t xml:space="preserve"> </w:t>
      </w:r>
      <w:r w:rsidRPr="000250FA">
        <w:rPr>
          <w:color w:val="auto"/>
          <w:sz w:val="22"/>
          <w:szCs w:val="22"/>
        </w:rPr>
        <w:t>(1) A közalkalmazotti jogviszony megszűnik:</w:t>
      </w:r>
    </w:p>
    <w:p w14:paraId="0B79A6ED" w14:textId="77777777" w:rsidR="00893D5B" w:rsidRPr="000250FA" w:rsidRDefault="00893D5B" w:rsidP="00893D5B">
      <w:pPr>
        <w:pStyle w:val="Normlstilus1norml"/>
        <w:tabs>
          <w:tab w:val="left" w:pos="9781"/>
        </w:tabs>
        <w:ind w:left="561" w:right="-144"/>
        <w:rPr>
          <w:strike/>
          <w:color w:val="auto"/>
          <w:sz w:val="22"/>
          <w:szCs w:val="22"/>
        </w:rPr>
      </w:pPr>
    </w:p>
    <w:p w14:paraId="550595C2" w14:textId="77777777" w:rsidR="00893D5B" w:rsidRPr="000250FA" w:rsidRDefault="00893D5B" w:rsidP="00912564">
      <w:pPr>
        <w:numPr>
          <w:ilvl w:val="0"/>
          <w:numId w:val="22"/>
        </w:numPr>
        <w:jc w:val="both"/>
        <w:rPr>
          <w:sz w:val="22"/>
          <w:szCs w:val="22"/>
        </w:rPr>
      </w:pPr>
      <w:r w:rsidRPr="000250FA">
        <w:rPr>
          <w:sz w:val="22"/>
          <w:szCs w:val="22"/>
        </w:rPr>
        <w:t>a kinevezésben foglalt határozott idő lejártával,</w:t>
      </w:r>
    </w:p>
    <w:p w14:paraId="524F0E24" w14:textId="77777777" w:rsidR="00893D5B" w:rsidRPr="000250FA" w:rsidRDefault="00893D5B" w:rsidP="00912564">
      <w:pPr>
        <w:numPr>
          <w:ilvl w:val="0"/>
          <w:numId w:val="22"/>
        </w:numPr>
        <w:jc w:val="both"/>
        <w:rPr>
          <w:sz w:val="22"/>
          <w:szCs w:val="22"/>
        </w:rPr>
      </w:pPr>
      <w:r w:rsidRPr="000250FA">
        <w:rPr>
          <w:sz w:val="22"/>
          <w:szCs w:val="22"/>
        </w:rPr>
        <w:t>a közalkalmazott halálával,</w:t>
      </w:r>
    </w:p>
    <w:p w14:paraId="3DDE4CAD" w14:textId="77777777" w:rsidR="00893D5B" w:rsidRPr="000250FA" w:rsidRDefault="00893D5B" w:rsidP="00912564">
      <w:pPr>
        <w:numPr>
          <w:ilvl w:val="0"/>
          <w:numId w:val="22"/>
        </w:numPr>
        <w:jc w:val="both"/>
        <w:rPr>
          <w:sz w:val="22"/>
          <w:szCs w:val="22"/>
        </w:rPr>
      </w:pPr>
      <w:r w:rsidRPr="000250FA">
        <w:rPr>
          <w:sz w:val="22"/>
          <w:szCs w:val="22"/>
        </w:rPr>
        <w:t xml:space="preserve">a munkáltató jogutód nélküli megszűnésével, </w:t>
      </w:r>
    </w:p>
    <w:p w14:paraId="14305B46" w14:textId="77777777" w:rsidR="00893D5B" w:rsidRPr="000250FA" w:rsidRDefault="00893D5B" w:rsidP="00912564">
      <w:pPr>
        <w:numPr>
          <w:ilvl w:val="0"/>
          <w:numId w:val="22"/>
        </w:numPr>
        <w:jc w:val="both"/>
        <w:rPr>
          <w:sz w:val="22"/>
          <w:szCs w:val="22"/>
        </w:rPr>
      </w:pPr>
      <w:r w:rsidRPr="000250FA">
        <w:rPr>
          <w:sz w:val="22"/>
          <w:szCs w:val="22"/>
        </w:rPr>
        <w:t>a 20. §-</w:t>
      </w:r>
      <w:proofErr w:type="spellStart"/>
      <w:r w:rsidRPr="000250FA">
        <w:rPr>
          <w:sz w:val="22"/>
          <w:szCs w:val="22"/>
        </w:rPr>
        <w:t>ban</w:t>
      </w:r>
      <w:proofErr w:type="spellEnd"/>
      <w:r w:rsidRPr="000250FA">
        <w:rPr>
          <w:sz w:val="22"/>
          <w:szCs w:val="22"/>
        </w:rPr>
        <w:t xml:space="preserve"> meghatározott esetben,</w:t>
      </w:r>
    </w:p>
    <w:p w14:paraId="1E2A386A" w14:textId="77777777" w:rsidR="00893D5B" w:rsidRPr="000250FA" w:rsidRDefault="00893D5B" w:rsidP="00912564">
      <w:pPr>
        <w:numPr>
          <w:ilvl w:val="0"/>
          <w:numId w:val="22"/>
        </w:numPr>
        <w:jc w:val="both"/>
        <w:rPr>
          <w:sz w:val="22"/>
          <w:szCs w:val="22"/>
        </w:rPr>
      </w:pPr>
      <w:r w:rsidRPr="000250FA">
        <w:rPr>
          <w:sz w:val="22"/>
          <w:szCs w:val="22"/>
        </w:rPr>
        <w:t>a prémiumévek programban történő részvétel esetén az erre vonatkozó külön törvény szabályai szerint,</w:t>
      </w:r>
    </w:p>
    <w:p w14:paraId="54C305E2" w14:textId="77777777" w:rsidR="00893D5B" w:rsidRPr="000250FA" w:rsidRDefault="00893D5B" w:rsidP="00912564">
      <w:pPr>
        <w:numPr>
          <w:ilvl w:val="0"/>
          <w:numId w:val="22"/>
        </w:numPr>
        <w:jc w:val="both"/>
        <w:rPr>
          <w:sz w:val="22"/>
          <w:szCs w:val="22"/>
        </w:rPr>
      </w:pPr>
      <w:r w:rsidRPr="000250FA">
        <w:rPr>
          <w:sz w:val="22"/>
          <w:szCs w:val="22"/>
        </w:rPr>
        <w:t>11/C. § (2) bekezdésében meghatározott esetben, továbbá,</w:t>
      </w:r>
    </w:p>
    <w:p w14:paraId="58C5A4F6" w14:textId="77777777" w:rsidR="00893D5B" w:rsidRPr="000250FA" w:rsidRDefault="00893D5B" w:rsidP="00912564">
      <w:pPr>
        <w:numPr>
          <w:ilvl w:val="0"/>
          <w:numId w:val="22"/>
        </w:numPr>
        <w:jc w:val="both"/>
      </w:pPr>
      <w:r w:rsidRPr="000250FA">
        <w:rPr>
          <w:sz w:val="22"/>
          <w:szCs w:val="22"/>
          <w:vertAlign w:val="superscript"/>
        </w:rPr>
        <w:footnoteReference w:id="108"/>
      </w:r>
      <w:r w:rsidRPr="000250FA">
        <w:rPr>
          <w:sz w:val="22"/>
          <w:szCs w:val="22"/>
        </w:rPr>
        <w:t xml:space="preserve"> ha törvény így rendelkezik</w:t>
      </w:r>
      <w:r w:rsidRPr="000250FA">
        <w:t>.</w:t>
      </w:r>
    </w:p>
    <w:p w14:paraId="315666DB" w14:textId="77777777" w:rsidR="00893D5B" w:rsidRPr="000250FA" w:rsidRDefault="00893D5B" w:rsidP="00893D5B">
      <w:pPr>
        <w:pStyle w:val="Normlstilus1norml"/>
        <w:tabs>
          <w:tab w:val="left" w:pos="9781"/>
        </w:tabs>
        <w:ind w:right="-144"/>
        <w:rPr>
          <w:i/>
          <w:color w:val="auto"/>
          <w:sz w:val="22"/>
          <w:szCs w:val="22"/>
        </w:rPr>
      </w:pPr>
      <w:bookmarkStart w:id="56" w:name="pr242"/>
      <w:bookmarkStart w:id="57" w:name="pr243"/>
      <w:bookmarkStart w:id="58" w:name="pr244"/>
      <w:bookmarkStart w:id="59" w:name="pr246"/>
      <w:bookmarkStart w:id="60" w:name="pr247"/>
      <w:bookmarkEnd w:id="56"/>
      <w:bookmarkEnd w:id="57"/>
      <w:bookmarkEnd w:id="58"/>
      <w:bookmarkEnd w:id="59"/>
      <w:bookmarkEnd w:id="60"/>
    </w:p>
    <w:p w14:paraId="5AB4B234"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w:t>
      </w:r>
      <w:r w:rsidRPr="000250FA">
        <w:rPr>
          <w:rStyle w:val="Lbjegyzet-hivatkozs"/>
          <w:color w:val="auto"/>
          <w:sz w:val="22"/>
          <w:szCs w:val="22"/>
        </w:rPr>
        <w:footnoteReference w:id="109"/>
      </w:r>
      <w:r w:rsidRPr="000250FA">
        <w:rPr>
          <w:color w:val="auto"/>
          <w:sz w:val="22"/>
          <w:szCs w:val="22"/>
        </w:rPr>
        <w:t xml:space="preserve"> A közalkalmazotti jogviszony megszüntethető:</w:t>
      </w:r>
    </w:p>
    <w:p w14:paraId="61255C24" w14:textId="77777777" w:rsidR="00893D5B" w:rsidRPr="000250FA" w:rsidRDefault="00893D5B" w:rsidP="00893D5B">
      <w:pPr>
        <w:pStyle w:val="Normlstilus1norml"/>
        <w:tabs>
          <w:tab w:val="left" w:pos="9781"/>
        </w:tabs>
        <w:ind w:left="748" w:right="-144"/>
        <w:rPr>
          <w:color w:val="auto"/>
          <w:sz w:val="22"/>
          <w:szCs w:val="22"/>
        </w:rPr>
      </w:pPr>
    </w:p>
    <w:p w14:paraId="714CB674" w14:textId="77777777" w:rsidR="00893D5B" w:rsidRPr="000250FA" w:rsidRDefault="00893D5B" w:rsidP="00912564">
      <w:pPr>
        <w:numPr>
          <w:ilvl w:val="0"/>
          <w:numId w:val="23"/>
        </w:numPr>
        <w:jc w:val="both"/>
        <w:rPr>
          <w:sz w:val="22"/>
          <w:szCs w:val="22"/>
        </w:rPr>
      </w:pPr>
      <w:r w:rsidRPr="000250FA">
        <w:rPr>
          <w:sz w:val="22"/>
          <w:szCs w:val="22"/>
        </w:rPr>
        <w:t>közös megegyezéssel,</w:t>
      </w:r>
    </w:p>
    <w:p w14:paraId="27007721" w14:textId="77777777" w:rsidR="00893D5B" w:rsidRPr="000250FA" w:rsidRDefault="00893D5B" w:rsidP="00912564">
      <w:pPr>
        <w:numPr>
          <w:ilvl w:val="0"/>
          <w:numId w:val="23"/>
        </w:numPr>
        <w:jc w:val="both"/>
        <w:rPr>
          <w:sz w:val="22"/>
          <w:szCs w:val="22"/>
        </w:rPr>
      </w:pPr>
      <w:r w:rsidRPr="000250FA">
        <w:rPr>
          <w:sz w:val="22"/>
          <w:szCs w:val="22"/>
        </w:rPr>
        <w:t>áthelyezéssel,</w:t>
      </w:r>
    </w:p>
    <w:p w14:paraId="57E6F18C" w14:textId="77777777" w:rsidR="00893D5B" w:rsidRPr="000250FA" w:rsidRDefault="00893D5B" w:rsidP="00912564">
      <w:pPr>
        <w:numPr>
          <w:ilvl w:val="0"/>
          <w:numId w:val="23"/>
        </w:numPr>
        <w:jc w:val="both"/>
        <w:rPr>
          <w:sz w:val="22"/>
          <w:szCs w:val="22"/>
        </w:rPr>
      </w:pPr>
      <w:r w:rsidRPr="000250FA">
        <w:rPr>
          <w:sz w:val="22"/>
          <w:szCs w:val="22"/>
        </w:rPr>
        <w:t>lemondással,</w:t>
      </w:r>
    </w:p>
    <w:p w14:paraId="51CD696A" w14:textId="77777777" w:rsidR="00893D5B" w:rsidRPr="000250FA" w:rsidRDefault="00893D5B" w:rsidP="00912564">
      <w:pPr>
        <w:numPr>
          <w:ilvl w:val="0"/>
          <w:numId w:val="23"/>
        </w:numPr>
        <w:jc w:val="both"/>
        <w:rPr>
          <w:sz w:val="22"/>
          <w:szCs w:val="22"/>
        </w:rPr>
      </w:pPr>
      <w:r w:rsidRPr="000250FA">
        <w:rPr>
          <w:sz w:val="22"/>
          <w:szCs w:val="22"/>
        </w:rPr>
        <w:t>rendkívüli lemondással,</w:t>
      </w:r>
    </w:p>
    <w:p w14:paraId="5051F461" w14:textId="77777777" w:rsidR="00893D5B" w:rsidRPr="000250FA" w:rsidRDefault="00893D5B" w:rsidP="00912564">
      <w:pPr>
        <w:numPr>
          <w:ilvl w:val="0"/>
          <w:numId w:val="23"/>
        </w:numPr>
        <w:jc w:val="both"/>
        <w:rPr>
          <w:sz w:val="22"/>
          <w:szCs w:val="22"/>
        </w:rPr>
      </w:pPr>
      <w:r w:rsidRPr="000250FA">
        <w:rPr>
          <w:sz w:val="22"/>
          <w:szCs w:val="22"/>
        </w:rPr>
        <w:t>felmentéssel</w:t>
      </w:r>
    </w:p>
    <w:p w14:paraId="73190427" w14:textId="77777777" w:rsidR="00893D5B" w:rsidRPr="000250FA" w:rsidRDefault="00893D5B" w:rsidP="00912564">
      <w:pPr>
        <w:numPr>
          <w:ilvl w:val="0"/>
          <w:numId w:val="23"/>
        </w:numPr>
        <w:jc w:val="both"/>
        <w:rPr>
          <w:sz w:val="22"/>
          <w:szCs w:val="22"/>
        </w:rPr>
      </w:pPr>
      <w:r w:rsidRPr="000250FA">
        <w:rPr>
          <w:sz w:val="22"/>
          <w:szCs w:val="22"/>
        </w:rPr>
        <w:t>azonnali hatállyal</w:t>
      </w:r>
    </w:p>
    <w:p w14:paraId="21C140FC" w14:textId="77777777" w:rsidR="00893D5B" w:rsidRPr="000250FA" w:rsidRDefault="00893D5B" w:rsidP="00893D5B">
      <w:pPr>
        <w:ind w:left="720"/>
        <w:jc w:val="both"/>
        <w:rPr>
          <w:sz w:val="22"/>
          <w:szCs w:val="22"/>
        </w:rPr>
      </w:pPr>
      <w:r w:rsidRPr="000250FA">
        <w:rPr>
          <w:sz w:val="22"/>
          <w:szCs w:val="22"/>
        </w:rPr>
        <w:tab/>
      </w:r>
      <w:proofErr w:type="gramStart"/>
      <w:r w:rsidRPr="000250FA">
        <w:rPr>
          <w:sz w:val="22"/>
          <w:szCs w:val="22"/>
        </w:rPr>
        <w:t>fa</w:t>
      </w:r>
      <w:proofErr w:type="gramEnd"/>
      <w:r w:rsidRPr="000250FA">
        <w:rPr>
          <w:sz w:val="22"/>
          <w:szCs w:val="22"/>
        </w:rPr>
        <w:t>) a próbaidő alatt,</w:t>
      </w:r>
    </w:p>
    <w:p w14:paraId="0DE6BDEB" w14:textId="77777777" w:rsidR="00893D5B" w:rsidRPr="000250FA" w:rsidRDefault="00893D5B" w:rsidP="00893D5B">
      <w:pPr>
        <w:ind w:left="720"/>
        <w:jc w:val="both"/>
        <w:rPr>
          <w:sz w:val="22"/>
          <w:szCs w:val="22"/>
        </w:rPr>
      </w:pPr>
      <w:r w:rsidRPr="000250FA">
        <w:rPr>
          <w:sz w:val="22"/>
          <w:szCs w:val="22"/>
        </w:rPr>
        <w:tab/>
      </w:r>
      <w:proofErr w:type="spellStart"/>
      <w:r w:rsidRPr="000250FA">
        <w:rPr>
          <w:sz w:val="22"/>
          <w:szCs w:val="22"/>
        </w:rPr>
        <w:t>fb</w:t>
      </w:r>
      <w:proofErr w:type="spellEnd"/>
      <w:r w:rsidRPr="000250FA">
        <w:rPr>
          <w:sz w:val="22"/>
          <w:szCs w:val="22"/>
        </w:rPr>
        <w:t>) a Kjt. 27. § (2) bekezdése szerint,</w:t>
      </w:r>
    </w:p>
    <w:p w14:paraId="6810A6F4" w14:textId="77777777" w:rsidR="00893D5B" w:rsidRPr="000250FA" w:rsidRDefault="00893D5B" w:rsidP="00893D5B">
      <w:pPr>
        <w:ind w:left="720"/>
        <w:jc w:val="both"/>
        <w:rPr>
          <w:sz w:val="22"/>
          <w:szCs w:val="22"/>
        </w:rPr>
      </w:pPr>
      <w:r w:rsidRPr="000250FA">
        <w:rPr>
          <w:sz w:val="22"/>
          <w:szCs w:val="22"/>
        </w:rPr>
        <w:tab/>
      </w:r>
      <w:proofErr w:type="spellStart"/>
      <w:r w:rsidRPr="000250FA">
        <w:rPr>
          <w:sz w:val="22"/>
          <w:szCs w:val="22"/>
        </w:rPr>
        <w:t>fc</w:t>
      </w:r>
      <w:proofErr w:type="spellEnd"/>
      <w:r w:rsidRPr="000250FA">
        <w:rPr>
          <w:sz w:val="22"/>
          <w:szCs w:val="22"/>
        </w:rPr>
        <w:t>) a Kjt. 44. § (4) bekezdése szerint, vagy</w:t>
      </w:r>
    </w:p>
    <w:p w14:paraId="61E1BC86" w14:textId="77777777" w:rsidR="00893D5B" w:rsidRPr="000250FA" w:rsidRDefault="00893D5B" w:rsidP="00893D5B">
      <w:pPr>
        <w:ind w:left="720"/>
        <w:jc w:val="both"/>
        <w:rPr>
          <w:sz w:val="22"/>
          <w:szCs w:val="22"/>
        </w:rPr>
      </w:pPr>
      <w:r w:rsidRPr="000250FA">
        <w:rPr>
          <w:sz w:val="22"/>
          <w:szCs w:val="22"/>
        </w:rPr>
        <w:tab/>
        <w:t>fd) az Mt. 29. § (1) bekezdése alapján, valamint</w:t>
      </w:r>
    </w:p>
    <w:p w14:paraId="2C0A5160" w14:textId="77777777" w:rsidR="00893D5B" w:rsidRPr="000250FA" w:rsidRDefault="00893D5B" w:rsidP="00912564">
      <w:pPr>
        <w:numPr>
          <w:ilvl w:val="0"/>
          <w:numId w:val="23"/>
        </w:numPr>
        <w:jc w:val="both"/>
        <w:rPr>
          <w:sz w:val="22"/>
          <w:szCs w:val="22"/>
        </w:rPr>
      </w:pPr>
    </w:p>
    <w:p w14:paraId="22E08A8C" w14:textId="77777777" w:rsidR="00893D5B" w:rsidRPr="000250FA" w:rsidRDefault="00893D5B" w:rsidP="00912564">
      <w:pPr>
        <w:numPr>
          <w:ilvl w:val="0"/>
          <w:numId w:val="22"/>
        </w:numPr>
        <w:jc w:val="both"/>
        <w:rPr>
          <w:b/>
          <w:i/>
          <w:sz w:val="22"/>
          <w:szCs w:val="22"/>
        </w:rPr>
      </w:pPr>
      <w:r w:rsidRPr="000250FA">
        <w:rPr>
          <w:sz w:val="22"/>
          <w:szCs w:val="22"/>
        </w:rPr>
        <w:t>a 29/</w:t>
      </w:r>
      <w:proofErr w:type="gramStart"/>
      <w:r w:rsidRPr="000250FA">
        <w:rPr>
          <w:sz w:val="22"/>
          <w:szCs w:val="22"/>
        </w:rPr>
        <w:t>A</w:t>
      </w:r>
      <w:proofErr w:type="gramEnd"/>
      <w:r w:rsidRPr="000250FA">
        <w:rPr>
          <w:sz w:val="22"/>
          <w:szCs w:val="22"/>
        </w:rPr>
        <w:t>. §-</w:t>
      </w:r>
      <w:proofErr w:type="spellStart"/>
      <w:r w:rsidRPr="000250FA">
        <w:rPr>
          <w:sz w:val="22"/>
          <w:szCs w:val="22"/>
        </w:rPr>
        <w:t>ban</w:t>
      </w:r>
      <w:proofErr w:type="spellEnd"/>
      <w:r w:rsidRPr="000250FA">
        <w:rPr>
          <w:sz w:val="22"/>
          <w:szCs w:val="22"/>
        </w:rPr>
        <w:t xml:space="preserve"> meghatározott esetben</w:t>
      </w:r>
      <w:r w:rsidRPr="000250FA">
        <w:rPr>
          <w:b/>
          <w:i/>
          <w:sz w:val="22"/>
          <w:szCs w:val="22"/>
        </w:rPr>
        <w:t xml:space="preserve">, </w:t>
      </w:r>
      <w:r w:rsidRPr="000250FA">
        <w:rPr>
          <w:sz w:val="22"/>
          <w:szCs w:val="22"/>
        </w:rPr>
        <w:t>rendkívüli felmentéssel.</w:t>
      </w:r>
    </w:p>
    <w:p w14:paraId="1B2FD8F4" w14:textId="77777777" w:rsidR="00893D5B" w:rsidRPr="000250FA" w:rsidRDefault="00893D5B" w:rsidP="00893D5B">
      <w:pPr>
        <w:pStyle w:val="Normlstilus1norml"/>
        <w:tabs>
          <w:tab w:val="left" w:pos="9781"/>
        </w:tabs>
        <w:ind w:right="-144"/>
        <w:rPr>
          <w:color w:val="auto"/>
          <w:sz w:val="22"/>
          <w:szCs w:val="22"/>
        </w:rPr>
      </w:pPr>
    </w:p>
    <w:p w14:paraId="15A2D60B"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Az oktatók, kutatók közalkalmazotti jogviszonyának megszűnésére, megszüntetésére vonatkozó további rendelkezéseket e szabályzat 86-94. §-</w:t>
      </w:r>
      <w:proofErr w:type="spellStart"/>
      <w:r w:rsidRPr="000250FA">
        <w:rPr>
          <w:color w:val="auto"/>
          <w:sz w:val="22"/>
          <w:szCs w:val="22"/>
        </w:rPr>
        <w:t>ai</w:t>
      </w:r>
      <w:proofErr w:type="spellEnd"/>
      <w:r w:rsidRPr="000250FA">
        <w:rPr>
          <w:color w:val="auto"/>
          <w:sz w:val="22"/>
          <w:szCs w:val="22"/>
        </w:rPr>
        <w:t xml:space="preserve"> tartalmazzák.</w:t>
      </w:r>
    </w:p>
    <w:p w14:paraId="22FA2FD3" w14:textId="77777777" w:rsidR="00893D5B" w:rsidRPr="000250FA" w:rsidRDefault="00893D5B" w:rsidP="00893D5B">
      <w:pPr>
        <w:pStyle w:val="Normlstilus1norml"/>
        <w:tabs>
          <w:tab w:val="left" w:pos="9781"/>
        </w:tabs>
        <w:ind w:right="-144"/>
        <w:rPr>
          <w:color w:val="auto"/>
          <w:sz w:val="22"/>
          <w:szCs w:val="22"/>
        </w:rPr>
      </w:pPr>
    </w:p>
    <w:p w14:paraId="73098498"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w:t>
      </w:r>
      <w:r w:rsidRPr="000250FA">
        <w:rPr>
          <w:rStyle w:val="Lbjegyzet-hivatkozs"/>
          <w:color w:val="auto"/>
          <w:sz w:val="22"/>
          <w:szCs w:val="22"/>
        </w:rPr>
        <w:footnoteReference w:id="110"/>
      </w:r>
      <w:r w:rsidRPr="000250FA">
        <w:rPr>
          <w:color w:val="auto"/>
          <w:sz w:val="22"/>
          <w:szCs w:val="22"/>
        </w:rPr>
        <w:t xml:space="preserve"> A közalkalmazotti jogviszony megszüntetésének időpontját az elszámolási kötelezettség teljesítéséhez szükséges idő figyelembe vételével kell meghatározni. A közalkalmazotti jogviszony megszűnésével és megszüntetésével kapcsolatos iratmintákat a HR Kézikönyv tartalmazza.</w:t>
      </w:r>
    </w:p>
    <w:p w14:paraId="4F30BE58" w14:textId="77777777" w:rsidR="00893D5B" w:rsidRPr="000250FA" w:rsidRDefault="00893D5B" w:rsidP="00893D5B">
      <w:pPr>
        <w:pStyle w:val="Normlstilus1norml"/>
        <w:tabs>
          <w:tab w:val="left" w:pos="9781"/>
        </w:tabs>
        <w:ind w:right="-144"/>
        <w:rPr>
          <w:b/>
          <w:i/>
          <w:color w:val="auto"/>
          <w:sz w:val="22"/>
          <w:szCs w:val="22"/>
        </w:rPr>
      </w:pPr>
    </w:p>
    <w:p w14:paraId="1C030B04" w14:textId="77777777" w:rsidR="00893D5B" w:rsidRPr="000250FA" w:rsidRDefault="00893D5B" w:rsidP="00893D5B">
      <w:pPr>
        <w:pStyle w:val="Normlstilus1norml"/>
        <w:tabs>
          <w:tab w:val="left" w:pos="9781"/>
        </w:tabs>
        <w:ind w:right="-144"/>
        <w:jc w:val="center"/>
        <w:rPr>
          <w:b/>
          <w:bCs/>
          <w:color w:val="auto"/>
          <w:sz w:val="22"/>
          <w:szCs w:val="22"/>
        </w:rPr>
      </w:pPr>
      <w:r w:rsidRPr="000250FA">
        <w:rPr>
          <w:b/>
          <w:bCs/>
          <w:color w:val="auto"/>
          <w:sz w:val="22"/>
          <w:szCs w:val="22"/>
        </w:rPr>
        <w:t>Közalkalmazottak jogállása a munkáltató egyes tevékenységeinek megszűnése esetén</w:t>
      </w:r>
    </w:p>
    <w:p w14:paraId="3BCA5226" w14:textId="77777777" w:rsidR="00893D5B" w:rsidRPr="000250FA" w:rsidRDefault="00893D5B" w:rsidP="00893D5B">
      <w:pPr>
        <w:rPr>
          <w:b/>
          <w:sz w:val="22"/>
          <w:szCs w:val="22"/>
        </w:rPr>
      </w:pPr>
    </w:p>
    <w:p w14:paraId="5BBE5066" w14:textId="77777777" w:rsidR="00893D5B" w:rsidRPr="000250FA" w:rsidRDefault="00893D5B" w:rsidP="00893D5B">
      <w:pPr>
        <w:jc w:val="both"/>
        <w:rPr>
          <w:bCs/>
          <w:sz w:val="22"/>
          <w:szCs w:val="22"/>
        </w:rPr>
      </w:pPr>
      <w:r w:rsidRPr="000250FA">
        <w:rPr>
          <w:b/>
          <w:sz w:val="22"/>
          <w:szCs w:val="22"/>
        </w:rPr>
        <w:lastRenderedPageBreak/>
        <w:t>20. §</w:t>
      </w:r>
      <w:r w:rsidRPr="000250FA">
        <w:rPr>
          <w:sz w:val="22"/>
          <w:szCs w:val="22"/>
        </w:rPr>
        <w:t xml:space="preserve"> </w:t>
      </w:r>
      <w:r w:rsidRPr="000250FA">
        <w:rPr>
          <w:bCs/>
          <w:sz w:val="22"/>
          <w:szCs w:val="22"/>
        </w:rPr>
        <w:t>(1) Ha a munkáltató személye azért változik meg, mert az alapító vagy a munkáltató döntése alapján a munkáltató egésze vagy egy része (szervezeti egysége, anyagi és nem anyagi erőforrásainak vagy feladat- és hatáskörének meghatározott csoportja) az Mt. vagy a köztisztviselők jogállásáról szóló törvény hatálya alá tartozó munkáltató számára kerül átadásra, a munkáltató átadásra kerülő szervezete, illetve tevékenysége keretében foglalkoztatott közalkalmazott közalkalmazotti jogviszonya az átadás időpontjában megszűnik. E bekezdésben meghatározott munkáltatói döntésről a Szenátus köteles külön határozatot hozni a vonatkozó jogszabályok figyelembevételével.</w:t>
      </w:r>
    </w:p>
    <w:p w14:paraId="2F1F35AB" w14:textId="77777777" w:rsidR="00893D5B" w:rsidRPr="000250FA" w:rsidRDefault="00893D5B" w:rsidP="00893D5B">
      <w:pPr>
        <w:jc w:val="both"/>
        <w:rPr>
          <w:sz w:val="22"/>
          <w:szCs w:val="22"/>
        </w:rPr>
      </w:pPr>
    </w:p>
    <w:p w14:paraId="5B5AA814" w14:textId="77777777" w:rsidR="00893D5B" w:rsidRPr="000250FA" w:rsidRDefault="00893D5B" w:rsidP="00893D5B">
      <w:pPr>
        <w:jc w:val="both"/>
        <w:rPr>
          <w:bCs/>
          <w:sz w:val="22"/>
          <w:szCs w:val="22"/>
        </w:rPr>
      </w:pPr>
      <w:r w:rsidRPr="000250FA">
        <w:rPr>
          <w:bCs/>
          <w:sz w:val="22"/>
          <w:szCs w:val="22"/>
        </w:rPr>
        <w:t>(2) Az átadó és az átvevő munkáltató legkésőbb az átadást megelőzően tizenöt nappal korábban köteles tájékoztatni a közalkalmazottat, a munkáltatónál képviselettel rendelkező szakszervezetet és a Közalkalmazotti Tanácsot az átadás</w:t>
      </w:r>
    </w:p>
    <w:p w14:paraId="3FEEE1A1" w14:textId="77777777" w:rsidR="00893D5B" w:rsidRPr="000250FA" w:rsidRDefault="00893D5B" w:rsidP="00893D5B">
      <w:pPr>
        <w:jc w:val="both"/>
        <w:rPr>
          <w:bCs/>
          <w:iCs/>
          <w:sz w:val="22"/>
          <w:szCs w:val="22"/>
        </w:rPr>
      </w:pPr>
    </w:p>
    <w:p w14:paraId="4A52B993" w14:textId="77777777" w:rsidR="00893D5B" w:rsidRPr="000250FA" w:rsidRDefault="00893D5B" w:rsidP="00912564">
      <w:pPr>
        <w:numPr>
          <w:ilvl w:val="0"/>
          <w:numId w:val="24"/>
        </w:numPr>
        <w:jc w:val="both"/>
        <w:rPr>
          <w:sz w:val="22"/>
          <w:szCs w:val="22"/>
        </w:rPr>
      </w:pPr>
      <w:r w:rsidRPr="000250FA">
        <w:rPr>
          <w:sz w:val="22"/>
          <w:szCs w:val="22"/>
        </w:rPr>
        <w:t>időpontjáról,</w:t>
      </w:r>
    </w:p>
    <w:p w14:paraId="62A61F4E" w14:textId="77777777" w:rsidR="00893D5B" w:rsidRPr="000250FA" w:rsidRDefault="00893D5B" w:rsidP="00912564">
      <w:pPr>
        <w:numPr>
          <w:ilvl w:val="0"/>
          <w:numId w:val="24"/>
        </w:numPr>
        <w:jc w:val="both"/>
        <w:rPr>
          <w:sz w:val="22"/>
          <w:szCs w:val="22"/>
        </w:rPr>
      </w:pPr>
      <w:r w:rsidRPr="000250FA">
        <w:rPr>
          <w:sz w:val="22"/>
          <w:szCs w:val="22"/>
        </w:rPr>
        <w:t>okáról,</w:t>
      </w:r>
    </w:p>
    <w:p w14:paraId="1A0BEA8D" w14:textId="77777777" w:rsidR="00893D5B" w:rsidRPr="000250FA" w:rsidRDefault="00893D5B" w:rsidP="00912564">
      <w:pPr>
        <w:numPr>
          <w:ilvl w:val="0"/>
          <w:numId w:val="24"/>
        </w:numPr>
        <w:jc w:val="both"/>
      </w:pPr>
      <w:r w:rsidRPr="000250FA">
        <w:rPr>
          <w:sz w:val="22"/>
          <w:szCs w:val="22"/>
        </w:rPr>
        <w:t xml:space="preserve">a közalkalmazottakat </w:t>
      </w:r>
      <w:r w:rsidRPr="000250FA">
        <w:t>érintő jogi, gazdasági és szociális következményeiről.</w:t>
      </w:r>
    </w:p>
    <w:p w14:paraId="5631D653" w14:textId="77777777" w:rsidR="00893D5B" w:rsidRPr="000250FA" w:rsidRDefault="00893D5B" w:rsidP="00893D5B">
      <w:pPr>
        <w:tabs>
          <w:tab w:val="left" w:pos="9781"/>
        </w:tabs>
        <w:autoSpaceDE w:val="0"/>
        <w:autoSpaceDN w:val="0"/>
        <w:adjustRightInd w:val="0"/>
        <w:ind w:right="-144"/>
        <w:jc w:val="both"/>
        <w:rPr>
          <w:sz w:val="22"/>
          <w:szCs w:val="22"/>
        </w:rPr>
      </w:pPr>
    </w:p>
    <w:p w14:paraId="50F80358"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 xml:space="preserve">(3) A munkáltató köteles a szakszervezettel és a Közalkalmazotti Tanáccsal </w:t>
      </w:r>
      <w:proofErr w:type="gramStart"/>
      <w:r w:rsidRPr="000250FA">
        <w:rPr>
          <w:sz w:val="22"/>
          <w:szCs w:val="22"/>
        </w:rPr>
        <w:t>konzultációt</w:t>
      </w:r>
      <w:proofErr w:type="gramEnd"/>
      <w:r w:rsidRPr="000250FA">
        <w:rPr>
          <w:sz w:val="22"/>
          <w:szCs w:val="22"/>
        </w:rPr>
        <w:t xml:space="preserve"> kezdeményezni a közalkalmazottakat érintő tervbe vett egyéb intézkedésekről. A </w:t>
      </w:r>
      <w:proofErr w:type="gramStart"/>
      <w:r w:rsidRPr="000250FA">
        <w:rPr>
          <w:sz w:val="22"/>
          <w:szCs w:val="22"/>
        </w:rPr>
        <w:t>konzultációnak</w:t>
      </w:r>
      <w:proofErr w:type="gramEnd"/>
      <w:r w:rsidRPr="000250FA">
        <w:rPr>
          <w:sz w:val="22"/>
          <w:szCs w:val="22"/>
        </w:rPr>
        <w:t xml:space="preserve"> ki kell terjednie az intézkedések elveire, a hátrányos következmények elkerülésének módjára, illetve eszközére, továbbá a következmények enyhítését célzó eszközökre.</w:t>
      </w:r>
    </w:p>
    <w:p w14:paraId="55A534F6" w14:textId="77777777" w:rsidR="00893D5B" w:rsidRPr="000250FA" w:rsidRDefault="00893D5B" w:rsidP="00893D5B">
      <w:pPr>
        <w:pStyle w:val="Normlstilus1norml"/>
        <w:tabs>
          <w:tab w:val="left" w:pos="9781"/>
        </w:tabs>
        <w:ind w:right="-144"/>
        <w:rPr>
          <w:color w:val="auto"/>
          <w:sz w:val="22"/>
          <w:szCs w:val="22"/>
        </w:rPr>
      </w:pPr>
    </w:p>
    <w:p w14:paraId="3DEDB415" w14:textId="77777777" w:rsidR="00893D5B" w:rsidRPr="000250FA" w:rsidRDefault="00893D5B" w:rsidP="00893D5B">
      <w:pPr>
        <w:pStyle w:val="Cmsor4"/>
      </w:pPr>
      <w:bookmarkStart w:id="61" w:name="_Toc432753531"/>
      <w:r w:rsidRPr="000250FA">
        <w:t>A közös megegyezés</w:t>
      </w:r>
      <w:bookmarkEnd w:id="61"/>
    </w:p>
    <w:p w14:paraId="632266FD" w14:textId="77777777" w:rsidR="00893D5B" w:rsidRPr="000250FA" w:rsidRDefault="00893D5B" w:rsidP="00893D5B">
      <w:pPr>
        <w:pStyle w:val="Normlstilus1norml"/>
        <w:tabs>
          <w:tab w:val="left" w:pos="9781"/>
        </w:tabs>
        <w:ind w:right="-144"/>
        <w:rPr>
          <w:color w:val="auto"/>
          <w:sz w:val="22"/>
          <w:szCs w:val="22"/>
        </w:rPr>
      </w:pPr>
    </w:p>
    <w:p w14:paraId="39D5DE30"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21. §</w:t>
      </w:r>
      <w:r w:rsidRPr="000250FA">
        <w:rPr>
          <w:color w:val="auto"/>
          <w:sz w:val="22"/>
          <w:szCs w:val="22"/>
        </w:rPr>
        <w:t xml:space="preserve"> (1) A 19. </w:t>
      </w:r>
      <w:r w:rsidRPr="000250FA">
        <w:rPr>
          <w:color w:val="auto"/>
          <w:sz w:val="22"/>
          <w:szCs w:val="22"/>
        </w:rPr>
        <w:sym w:font="Times New Roman" w:char="00A7"/>
      </w:r>
      <w:r w:rsidRPr="000250FA">
        <w:rPr>
          <w:b/>
          <w:bCs/>
          <w:color w:val="auto"/>
          <w:sz w:val="22"/>
          <w:szCs w:val="22"/>
        </w:rPr>
        <w:t xml:space="preserve"> </w:t>
      </w:r>
      <w:r w:rsidRPr="000250FA">
        <w:rPr>
          <w:color w:val="auto"/>
          <w:sz w:val="22"/>
          <w:szCs w:val="22"/>
        </w:rPr>
        <w:t>(2) bekezdés a) pontja szerinti közös megegyezéssel az Egyetem és a közalkalmazott a közalkalmazotti jogviszonyt azonnali hatállyal vagy valamely későbbi időpontra, legkésőbb azonban a munkáltatói felmentés esetében irányadó felmentési idő utolsó napjára szüntetheti meg.</w:t>
      </w:r>
    </w:p>
    <w:p w14:paraId="5CB9AEF4" w14:textId="77777777" w:rsidR="00893D5B" w:rsidRPr="000250FA" w:rsidRDefault="00893D5B" w:rsidP="00893D5B">
      <w:pPr>
        <w:pStyle w:val="Normlstilus1norml"/>
        <w:tabs>
          <w:tab w:val="left" w:pos="9781"/>
        </w:tabs>
        <w:ind w:right="-144"/>
        <w:rPr>
          <w:color w:val="auto"/>
          <w:sz w:val="22"/>
          <w:szCs w:val="22"/>
        </w:rPr>
      </w:pPr>
    </w:p>
    <w:p w14:paraId="5A79A679"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megszüntetésre vonatkozó megállapodást írásba kell foglalni. A megállapodásnak tartalmaznia kell:</w:t>
      </w:r>
    </w:p>
    <w:p w14:paraId="07F45603" w14:textId="77777777" w:rsidR="00893D5B" w:rsidRPr="000250FA" w:rsidRDefault="00893D5B" w:rsidP="00893D5B">
      <w:pPr>
        <w:pStyle w:val="Normlstilus1norml"/>
        <w:tabs>
          <w:tab w:val="left" w:pos="9781"/>
        </w:tabs>
        <w:ind w:left="561" w:right="-144"/>
        <w:rPr>
          <w:color w:val="auto"/>
          <w:sz w:val="22"/>
          <w:szCs w:val="22"/>
        </w:rPr>
      </w:pPr>
    </w:p>
    <w:p w14:paraId="439473B4" w14:textId="77777777" w:rsidR="00893D5B" w:rsidRPr="000250FA" w:rsidRDefault="00893D5B" w:rsidP="00912564">
      <w:pPr>
        <w:numPr>
          <w:ilvl w:val="0"/>
          <w:numId w:val="25"/>
        </w:numPr>
        <w:jc w:val="both"/>
        <w:rPr>
          <w:sz w:val="22"/>
          <w:szCs w:val="22"/>
        </w:rPr>
      </w:pPr>
      <w:r w:rsidRPr="000250FA">
        <w:rPr>
          <w:sz w:val="22"/>
          <w:szCs w:val="22"/>
        </w:rPr>
        <w:t>a megszüntetésre vonatkozó közös nyilatkozatot,</w:t>
      </w:r>
    </w:p>
    <w:p w14:paraId="3127863A" w14:textId="77777777" w:rsidR="00893D5B" w:rsidRPr="000250FA" w:rsidRDefault="00893D5B" w:rsidP="00912564">
      <w:pPr>
        <w:numPr>
          <w:ilvl w:val="0"/>
          <w:numId w:val="25"/>
        </w:numPr>
        <w:jc w:val="both"/>
        <w:rPr>
          <w:sz w:val="22"/>
          <w:szCs w:val="22"/>
        </w:rPr>
      </w:pPr>
      <w:r w:rsidRPr="000250FA">
        <w:rPr>
          <w:sz w:val="22"/>
          <w:szCs w:val="22"/>
        </w:rPr>
        <w:t>a megszüntetés időpontját,</w:t>
      </w:r>
    </w:p>
    <w:p w14:paraId="54551DA2" w14:textId="77777777" w:rsidR="00893D5B" w:rsidRPr="000250FA" w:rsidRDefault="00893D5B" w:rsidP="00912564">
      <w:pPr>
        <w:numPr>
          <w:ilvl w:val="0"/>
          <w:numId w:val="25"/>
        </w:numPr>
        <w:jc w:val="both"/>
        <w:rPr>
          <w:sz w:val="22"/>
          <w:szCs w:val="22"/>
        </w:rPr>
      </w:pPr>
      <w:r w:rsidRPr="000250FA">
        <w:rPr>
          <w:sz w:val="22"/>
          <w:szCs w:val="22"/>
          <w:vertAlign w:val="superscript"/>
        </w:rPr>
        <w:footnoteReference w:id="111"/>
      </w:r>
      <w:r w:rsidRPr="000250FA">
        <w:rPr>
          <w:sz w:val="22"/>
          <w:szCs w:val="22"/>
          <w:vertAlign w:val="superscript"/>
        </w:rPr>
        <w:t xml:space="preserve"> </w:t>
      </w:r>
      <w:r w:rsidRPr="000250FA">
        <w:rPr>
          <w:sz w:val="22"/>
          <w:szCs w:val="22"/>
        </w:rPr>
        <w:t>a közalkalmazotti jogviszonyból eredő kötelezettségeinek elszámolása időpontját és szabályait.</w:t>
      </w:r>
    </w:p>
    <w:p w14:paraId="605EC364" w14:textId="77777777" w:rsidR="00893D5B" w:rsidRPr="000250FA" w:rsidRDefault="00893D5B" w:rsidP="00893D5B">
      <w:pPr>
        <w:pStyle w:val="Normlstilus1norml"/>
        <w:tabs>
          <w:tab w:val="left" w:pos="9781"/>
        </w:tabs>
        <w:ind w:left="561" w:right="-144"/>
        <w:rPr>
          <w:color w:val="auto"/>
          <w:sz w:val="22"/>
          <w:szCs w:val="22"/>
        </w:rPr>
      </w:pPr>
    </w:p>
    <w:p w14:paraId="2E7AB09E" w14:textId="77777777" w:rsidR="00893D5B" w:rsidRPr="000250FA" w:rsidRDefault="00893D5B" w:rsidP="00893D5B">
      <w:pPr>
        <w:pStyle w:val="Cmsor4"/>
      </w:pPr>
      <w:bookmarkStart w:id="62" w:name="_Toc432753532"/>
      <w:r w:rsidRPr="000250FA">
        <w:t>Az áthelyezés</w:t>
      </w:r>
      <w:bookmarkEnd w:id="62"/>
    </w:p>
    <w:p w14:paraId="33D65658" w14:textId="77777777" w:rsidR="00893D5B" w:rsidRPr="000250FA" w:rsidRDefault="00893D5B" w:rsidP="00893D5B">
      <w:pPr>
        <w:pStyle w:val="Normlstilus1norml"/>
        <w:tabs>
          <w:tab w:val="left" w:pos="9781"/>
        </w:tabs>
        <w:ind w:right="-144"/>
        <w:rPr>
          <w:color w:val="auto"/>
          <w:sz w:val="22"/>
          <w:szCs w:val="22"/>
        </w:rPr>
      </w:pPr>
    </w:p>
    <w:p w14:paraId="40BB499B"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22. §</w:t>
      </w:r>
      <w:r w:rsidRPr="000250FA">
        <w:rPr>
          <w:rStyle w:val="Lbjegyzet-hivatkozs"/>
          <w:b/>
          <w:bCs/>
          <w:color w:val="auto"/>
          <w:sz w:val="22"/>
          <w:szCs w:val="22"/>
        </w:rPr>
        <w:footnoteReference w:id="112"/>
      </w:r>
      <w:r w:rsidRPr="000250FA">
        <w:rPr>
          <w:color w:val="auto"/>
          <w:sz w:val="22"/>
          <w:szCs w:val="22"/>
        </w:rPr>
        <w:t xml:space="preserve"> (1) A 19. </w:t>
      </w:r>
      <w:r w:rsidRPr="000250FA">
        <w:rPr>
          <w:color w:val="auto"/>
          <w:sz w:val="22"/>
          <w:szCs w:val="22"/>
        </w:rPr>
        <w:sym w:font="Times New Roman" w:char="00A7"/>
      </w:r>
      <w:r w:rsidRPr="000250FA">
        <w:rPr>
          <w:b/>
          <w:bCs/>
          <w:color w:val="auto"/>
          <w:sz w:val="22"/>
          <w:szCs w:val="22"/>
        </w:rPr>
        <w:t xml:space="preserve"> </w:t>
      </w:r>
      <w:r w:rsidRPr="000250FA">
        <w:rPr>
          <w:color w:val="auto"/>
          <w:sz w:val="22"/>
          <w:szCs w:val="22"/>
        </w:rPr>
        <w:t xml:space="preserve">(2) bekezdés b) pontjában meghatározott áthelyezéssel történő közalkalmazotti jogviszony megszüntetése esetén a közalkalmazottnak, az Egyetemnek, valamint az új munkáltatónak kölcsönösen meg kell állapodnia az áthelyezésről. </w:t>
      </w:r>
    </w:p>
    <w:p w14:paraId="6C039EC4" w14:textId="77777777" w:rsidR="00893D5B" w:rsidRPr="000250FA" w:rsidRDefault="00893D5B" w:rsidP="00893D5B">
      <w:pPr>
        <w:pStyle w:val="Normlstilus1norml"/>
        <w:tabs>
          <w:tab w:val="left" w:pos="9781"/>
        </w:tabs>
        <w:ind w:right="-144"/>
        <w:rPr>
          <w:color w:val="auto"/>
          <w:sz w:val="22"/>
          <w:szCs w:val="22"/>
        </w:rPr>
      </w:pPr>
    </w:p>
    <w:p w14:paraId="61EEAEC6"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megállapodásnak tartalmaznia kell:</w:t>
      </w:r>
    </w:p>
    <w:p w14:paraId="1CB3DF96" w14:textId="77777777" w:rsidR="00893D5B" w:rsidRPr="000250FA" w:rsidRDefault="00893D5B" w:rsidP="00893D5B">
      <w:pPr>
        <w:pStyle w:val="Normlstilus1norml"/>
        <w:tabs>
          <w:tab w:val="left" w:pos="9781"/>
        </w:tabs>
        <w:ind w:left="561" w:right="-144"/>
        <w:rPr>
          <w:color w:val="auto"/>
          <w:sz w:val="22"/>
          <w:szCs w:val="22"/>
        </w:rPr>
      </w:pPr>
    </w:p>
    <w:p w14:paraId="3B95486C" w14:textId="77777777" w:rsidR="00893D5B" w:rsidRPr="000250FA" w:rsidRDefault="00893D5B" w:rsidP="00912564">
      <w:pPr>
        <w:numPr>
          <w:ilvl w:val="0"/>
          <w:numId w:val="26"/>
        </w:numPr>
        <w:jc w:val="both"/>
        <w:rPr>
          <w:sz w:val="22"/>
          <w:szCs w:val="22"/>
        </w:rPr>
      </w:pPr>
      <w:r w:rsidRPr="000250FA">
        <w:rPr>
          <w:sz w:val="22"/>
          <w:szCs w:val="22"/>
        </w:rPr>
        <w:t>a megszüntetésre vonatkozó közös nyilatkozatot,</w:t>
      </w:r>
    </w:p>
    <w:p w14:paraId="69082349" w14:textId="77777777" w:rsidR="00893D5B" w:rsidRPr="000250FA" w:rsidRDefault="00893D5B" w:rsidP="00912564">
      <w:pPr>
        <w:numPr>
          <w:ilvl w:val="0"/>
          <w:numId w:val="26"/>
        </w:numPr>
        <w:jc w:val="both"/>
        <w:rPr>
          <w:sz w:val="22"/>
          <w:szCs w:val="22"/>
        </w:rPr>
      </w:pPr>
      <w:r w:rsidRPr="000250FA">
        <w:rPr>
          <w:sz w:val="22"/>
          <w:szCs w:val="22"/>
        </w:rPr>
        <w:t>a megszüntetés időpontját,</w:t>
      </w:r>
    </w:p>
    <w:p w14:paraId="783E8F5E" w14:textId="77777777" w:rsidR="00893D5B" w:rsidRPr="000250FA" w:rsidRDefault="00893D5B" w:rsidP="00912564">
      <w:pPr>
        <w:numPr>
          <w:ilvl w:val="0"/>
          <w:numId w:val="26"/>
        </w:numPr>
        <w:jc w:val="both"/>
        <w:rPr>
          <w:sz w:val="22"/>
          <w:szCs w:val="22"/>
        </w:rPr>
      </w:pPr>
      <w:r w:rsidRPr="000250FA">
        <w:rPr>
          <w:sz w:val="22"/>
          <w:szCs w:val="22"/>
        </w:rPr>
        <w:t>új munkakört, munkahelyet, illetményt,</w:t>
      </w:r>
    </w:p>
    <w:p w14:paraId="130EFFEA" w14:textId="77777777" w:rsidR="00893D5B" w:rsidRPr="000250FA" w:rsidRDefault="00893D5B" w:rsidP="00912564">
      <w:pPr>
        <w:numPr>
          <w:ilvl w:val="0"/>
          <w:numId w:val="26"/>
        </w:numPr>
        <w:jc w:val="both"/>
        <w:rPr>
          <w:sz w:val="22"/>
          <w:szCs w:val="22"/>
        </w:rPr>
      </w:pPr>
      <w:r w:rsidRPr="000250FA">
        <w:rPr>
          <w:sz w:val="22"/>
          <w:szCs w:val="22"/>
        </w:rPr>
        <w:t>a közalkalmazottat terhelő tartozások és a közalkalmazottat illető járandóságok rendezésére vonatkozó szabályokat, valamint egyéb, a felek által lényegesnek ítélt kérdésekben történő megállapodást.</w:t>
      </w:r>
    </w:p>
    <w:p w14:paraId="417C63BD" w14:textId="77777777" w:rsidR="00893D5B" w:rsidRPr="000250FA" w:rsidRDefault="00893D5B" w:rsidP="00893D5B">
      <w:pPr>
        <w:pStyle w:val="Normlstilus1norml"/>
        <w:tabs>
          <w:tab w:val="left" w:pos="9781"/>
        </w:tabs>
        <w:ind w:right="-144"/>
        <w:rPr>
          <w:color w:val="auto"/>
          <w:sz w:val="22"/>
          <w:szCs w:val="22"/>
        </w:rPr>
      </w:pPr>
    </w:p>
    <w:p w14:paraId="5C0B182F"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lastRenderedPageBreak/>
        <w:t>(3) Az áthelyezett közalkalmazottnak az áthelyezést megelőző közalkalmazotti jogviszonyát úgy kell tekinteni, mintha az új munkáltatónál töltötte volna el.</w:t>
      </w:r>
    </w:p>
    <w:p w14:paraId="30ABAAB4" w14:textId="77777777" w:rsidR="00893D5B" w:rsidRPr="000250FA" w:rsidRDefault="00893D5B" w:rsidP="00893D5B">
      <w:pPr>
        <w:pStyle w:val="Normlstilus1norml"/>
        <w:tabs>
          <w:tab w:val="left" w:pos="9781"/>
        </w:tabs>
        <w:ind w:right="-144"/>
        <w:rPr>
          <w:b/>
          <w:bCs/>
          <w:color w:val="auto"/>
          <w:sz w:val="22"/>
          <w:szCs w:val="22"/>
        </w:rPr>
      </w:pPr>
    </w:p>
    <w:p w14:paraId="44C076E2" w14:textId="77777777" w:rsidR="00893D5B" w:rsidRPr="000250FA" w:rsidRDefault="00893D5B" w:rsidP="00893D5B">
      <w:pPr>
        <w:pStyle w:val="Cmsor4"/>
      </w:pPr>
      <w:bookmarkStart w:id="63" w:name="_Toc432753533"/>
      <w:r w:rsidRPr="000250FA">
        <w:t>A lemondás</w:t>
      </w:r>
      <w:bookmarkEnd w:id="63"/>
    </w:p>
    <w:p w14:paraId="269D9E7C" w14:textId="77777777" w:rsidR="00893D5B" w:rsidRPr="000250FA" w:rsidRDefault="00893D5B" w:rsidP="00893D5B">
      <w:pPr>
        <w:pStyle w:val="Normlstilus1norml"/>
        <w:tabs>
          <w:tab w:val="left" w:pos="9781"/>
        </w:tabs>
        <w:ind w:right="-144"/>
        <w:rPr>
          <w:color w:val="auto"/>
          <w:sz w:val="22"/>
          <w:szCs w:val="22"/>
        </w:rPr>
      </w:pPr>
    </w:p>
    <w:p w14:paraId="07D5C17C"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23. §</w:t>
      </w:r>
      <w:r w:rsidRPr="00827537">
        <w:rPr>
          <w:rStyle w:val="Lbjegyzet-hivatkozs"/>
          <w:bCs/>
          <w:color w:val="auto"/>
          <w:sz w:val="22"/>
          <w:szCs w:val="22"/>
        </w:rPr>
        <w:footnoteReference w:id="113"/>
      </w:r>
      <w:r w:rsidRPr="00827537">
        <w:rPr>
          <w:bCs/>
          <w:color w:val="auto"/>
          <w:sz w:val="22"/>
          <w:szCs w:val="22"/>
        </w:rPr>
        <w:t xml:space="preserve"> </w:t>
      </w:r>
      <w:r w:rsidRPr="00827537">
        <w:rPr>
          <w:rStyle w:val="Lbjegyzet-hivatkozs"/>
          <w:bCs/>
          <w:color w:val="auto"/>
          <w:sz w:val="22"/>
          <w:szCs w:val="22"/>
        </w:rPr>
        <w:footnoteReference w:id="114"/>
      </w:r>
      <w:r w:rsidRPr="00827537">
        <w:rPr>
          <w:color w:val="auto"/>
          <w:sz w:val="22"/>
          <w:szCs w:val="22"/>
        </w:rPr>
        <w:t xml:space="preserve"> </w:t>
      </w:r>
      <w:r w:rsidRPr="000250FA">
        <w:rPr>
          <w:color w:val="auto"/>
          <w:sz w:val="22"/>
          <w:szCs w:val="22"/>
        </w:rPr>
        <w:t xml:space="preserve">(1) A 19. </w:t>
      </w:r>
      <w:r w:rsidRPr="000250FA">
        <w:rPr>
          <w:color w:val="auto"/>
          <w:sz w:val="22"/>
          <w:szCs w:val="22"/>
        </w:rPr>
        <w:sym w:font="Times New Roman" w:char="00A7"/>
      </w:r>
      <w:r w:rsidRPr="000250FA">
        <w:rPr>
          <w:color w:val="auto"/>
          <w:sz w:val="22"/>
          <w:szCs w:val="22"/>
        </w:rPr>
        <w:t xml:space="preserve"> (2) bekezdés c) pontja szerinti lemondással a közalkalmazott a határozatlan idejű közalkalmazotti jogviszonyt bármikor megszüntetheti. Ha közalkalmazott közalkalmazotti jogviszonyát lemondással arra hivatkozva szünteti meg, hogy a munkáltató személyében bekövetkezett változás miatt a rá irányadó munkafeltételek lényeges és hátrányos megváltozása következtében a közalkalmazotti jogviszony fenntartása számára aránytalan sérelemmel járna vagy lehetetlenné válna, a lemondást a közalkalmazott indokolni köteles.</w:t>
      </w:r>
    </w:p>
    <w:p w14:paraId="2E6C5BA2" w14:textId="77777777" w:rsidR="00893D5B" w:rsidRPr="000250FA" w:rsidRDefault="00893D5B" w:rsidP="00893D5B">
      <w:pPr>
        <w:pStyle w:val="Normlstilus1norml"/>
        <w:tabs>
          <w:tab w:val="left" w:pos="9781"/>
        </w:tabs>
        <w:ind w:right="-144"/>
        <w:rPr>
          <w:color w:val="auto"/>
          <w:sz w:val="22"/>
          <w:szCs w:val="22"/>
        </w:rPr>
      </w:pPr>
    </w:p>
    <w:p w14:paraId="0E04286D" w14:textId="77777777" w:rsidR="00893D5B" w:rsidRPr="000250FA" w:rsidRDefault="00893D5B" w:rsidP="00893D5B">
      <w:pPr>
        <w:pStyle w:val="Normlstilus1norml"/>
        <w:tabs>
          <w:tab w:val="left" w:pos="9781"/>
        </w:tabs>
        <w:ind w:right="-144"/>
        <w:rPr>
          <w:strike/>
          <w:color w:val="auto"/>
          <w:sz w:val="22"/>
          <w:szCs w:val="22"/>
        </w:rPr>
      </w:pPr>
      <w:r w:rsidRPr="000250FA">
        <w:rPr>
          <w:color w:val="auto"/>
          <w:sz w:val="22"/>
          <w:szCs w:val="22"/>
        </w:rPr>
        <w:t xml:space="preserve">(2) A határozott idejű közalkalmazotti jogviszonyt a közalkalmazott írásban indokolt lemondással akkor szüntetheti meg, ha a lemondás indoka olyan ok, amely számára a közalkalmazotti jogviszony fenntartását lehetetlenné tenné vagy körülményeire tekintettel, aránytalan sérelemmel járna. </w:t>
      </w:r>
    </w:p>
    <w:p w14:paraId="508F9784" w14:textId="77777777" w:rsidR="00893D5B" w:rsidRPr="000250FA" w:rsidRDefault="00893D5B" w:rsidP="00893D5B">
      <w:pPr>
        <w:pStyle w:val="Normlstilus1norml"/>
        <w:tabs>
          <w:tab w:val="left" w:pos="9781"/>
        </w:tabs>
        <w:ind w:right="-144"/>
        <w:rPr>
          <w:color w:val="auto"/>
          <w:sz w:val="22"/>
          <w:szCs w:val="22"/>
        </w:rPr>
      </w:pPr>
    </w:p>
    <w:p w14:paraId="2FB48C74"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(3) A lemondási idő két hónap, amely időtartam egy részére, vagy annak egészére az Egyetem mentesítheti a közalkalmazottat a munkavégzés alól. A munkavégzés alóli </w:t>
      </w:r>
      <w:proofErr w:type="gramStart"/>
      <w:r w:rsidRPr="000250FA">
        <w:rPr>
          <w:color w:val="auto"/>
          <w:sz w:val="22"/>
          <w:szCs w:val="22"/>
        </w:rPr>
        <w:t>mentesítésről</w:t>
      </w:r>
      <w:proofErr w:type="gramEnd"/>
      <w:r w:rsidRPr="000250FA">
        <w:rPr>
          <w:color w:val="auto"/>
          <w:sz w:val="22"/>
          <w:szCs w:val="22"/>
        </w:rPr>
        <w:t xml:space="preserve"> és annak időtartamáról a munkáltatói jogkör gyakorlója dönt. Lemondás esetén – a </w:t>
      </w:r>
      <w:proofErr w:type="gramStart"/>
      <w:r w:rsidRPr="000250FA">
        <w:rPr>
          <w:color w:val="auto"/>
          <w:sz w:val="22"/>
          <w:szCs w:val="22"/>
        </w:rPr>
        <w:t>mentesítéstől</w:t>
      </w:r>
      <w:proofErr w:type="gramEnd"/>
      <w:r w:rsidRPr="000250FA">
        <w:rPr>
          <w:color w:val="auto"/>
          <w:sz w:val="22"/>
          <w:szCs w:val="22"/>
        </w:rPr>
        <w:t xml:space="preserve"> függetlenül – a közalkalmazotti jogviszony a lemondási idő utolsó napján szűnik meg.</w:t>
      </w:r>
    </w:p>
    <w:p w14:paraId="3C7D0E64" w14:textId="77777777" w:rsidR="00893D5B" w:rsidRPr="000250FA" w:rsidRDefault="00893D5B" w:rsidP="00893D5B">
      <w:pPr>
        <w:pStyle w:val="Normlstilus1norml"/>
        <w:tabs>
          <w:tab w:val="left" w:pos="9781"/>
        </w:tabs>
        <w:ind w:right="-144"/>
        <w:rPr>
          <w:b/>
          <w:bCs/>
          <w:color w:val="auto"/>
          <w:sz w:val="22"/>
          <w:szCs w:val="22"/>
        </w:rPr>
      </w:pPr>
    </w:p>
    <w:p w14:paraId="249DDA69" w14:textId="77777777" w:rsidR="00893D5B" w:rsidRPr="000250FA" w:rsidRDefault="00893D5B" w:rsidP="00893D5B">
      <w:pPr>
        <w:pStyle w:val="Cmsor4"/>
      </w:pPr>
      <w:bookmarkStart w:id="64" w:name="_Toc432753534"/>
      <w:r w:rsidRPr="000250FA">
        <w:t>Rendkívüli lemondás</w:t>
      </w:r>
      <w:bookmarkEnd w:id="64"/>
    </w:p>
    <w:p w14:paraId="56D0BDF1" w14:textId="77777777" w:rsidR="00893D5B" w:rsidRPr="000250FA" w:rsidRDefault="00893D5B" w:rsidP="00893D5B">
      <w:pPr>
        <w:pStyle w:val="Normlstilus1norml"/>
        <w:tabs>
          <w:tab w:val="left" w:pos="9781"/>
        </w:tabs>
        <w:ind w:right="-144"/>
        <w:rPr>
          <w:color w:val="auto"/>
          <w:sz w:val="22"/>
          <w:szCs w:val="22"/>
        </w:rPr>
      </w:pPr>
    </w:p>
    <w:p w14:paraId="2113B18D"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24. §</w:t>
      </w:r>
      <w:r w:rsidRPr="000250FA">
        <w:rPr>
          <w:color w:val="auto"/>
          <w:sz w:val="22"/>
          <w:szCs w:val="22"/>
        </w:rPr>
        <w:t xml:space="preserve"> (1) A 19. </w:t>
      </w:r>
      <w:r w:rsidRPr="000250FA">
        <w:rPr>
          <w:color w:val="auto"/>
          <w:sz w:val="22"/>
          <w:szCs w:val="22"/>
        </w:rPr>
        <w:sym w:font="Times New Roman" w:char="00A7"/>
      </w:r>
      <w:r w:rsidRPr="000250FA">
        <w:rPr>
          <w:b/>
          <w:bCs/>
          <w:color w:val="auto"/>
          <w:sz w:val="22"/>
          <w:szCs w:val="22"/>
        </w:rPr>
        <w:t xml:space="preserve"> </w:t>
      </w:r>
      <w:r w:rsidRPr="000250FA">
        <w:rPr>
          <w:color w:val="auto"/>
          <w:sz w:val="22"/>
          <w:szCs w:val="22"/>
        </w:rPr>
        <w:t>(2) bekezdés d) pontja szerinti rendkívüli lemondással a közalkalmazott csak akkor szüntetheti meg a közalkalmazotti jogviszonyát, ha az Egyetem:</w:t>
      </w:r>
    </w:p>
    <w:p w14:paraId="0B8F3063" w14:textId="77777777" w:rsidR="00893D5B" w:rsidRPr="000250FA" w:rsidRDefault="00893D5B" w:rsidP="00893D5B">
      <w:pPr>
        <w:pStyle w:val="Normlstilus1norml"/>
        <w:tabs>
          <w:tab w:val="left" w:pos="9781"/>
        </w:tabs>
        <w:ind w:left="561" w:right="-144"/>
        <w:rPr>
          <w:color w:val="auto"/>
          <w:sz w:val="22"/>
          <w:szCs w:val="22"/>
        </w:rPr>
      </w:pPr>
    </w:p>
    <w:p w14:paraId="0F40085B" w14:textId="77777777" w:rsidR="00893D5B" w:rsidRPr="000250FA" w:rsidRDefault="00893D5B" w:rsidP="00912564">
      <w:pPr>
        <w:numPr>
          <w:ilvl w:val="0"/>
          <w:numId w:val="27"/>
        </w:numPr>
        <w:jc w:val="both"/>
        <w:rPr>
          <w:sz w:val="22"/>
          <w:szCs w:val="22"/>
        </w:rPr>
      </w:pPr>
      <w:r w:rsidRPr="000250FA">
        <w:rPr>
          <w:sz w:val="22"/>
          <w:szCs w:val="22"/>
        </w:rPr>
        <w:t>a közalkalmazotti jogviszonyból eredő lényeges kötelezettségét szándékosan vagy súlyos gondatlansággal jelentős mértékben megszegi, vagy</w:t>
      </w:r>
    </w:p>
    <w:p w14:paraId="268D3BFD" w14:textId="77777777" w:rsidR="00893D5B" w:rsidRPr="000250FA" w:rsidRDefault="00893D5B" w:rsidP="00912564">
      <w:pPr>
        <w:numPr>
          <w:ilvl w:val="0"/>
          <w:numId w:val="27"/>
        </w:numPr>
        <w:jc w:val="both"/>
        <w:rPr>
          <w:sz w:val="22"/>
          <w:szCs w:val="22"/>
        </w:rPr>
      </w:pPr>
      <w:r w:rsidRPr="000250FA">
        <w:rPr>
          <w:sz w:val="22"/>
          <w:szCs w:val="22"/>
        </w:rPr>
        <w:t>olyan magatartást tanúsít, amely a közalkalmazotti jogviszony fenntartását lehetetlenné teszi.</w:t>
      </w:r>
    </w:p>
    <w:p w14:paraId="134323D7" w14:textId="77777777" w:rsidR="00893D5B" w:rsidRPr="000250FA" w:rsidRDefault="00893D5B" w:rsidP="00893D5B">
      <w:pPr>
        <w:pStyle w:val="Normlstilus1norml"/>
        <w:tabs>
          <w:tab w:val="left" w:pos="9781"/>
        </w:tabs>
        <w:ind w:right="-144"/>
        <w:rPr>
          <w:color w:val="auto"/>
          <w:sz w:val="22"/>
          <w:szCs w:val="22"/>
        </w:rPr>
      </w:pPr>
    </w:p>
    <w:p w14:paraId="11C2BB29"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(2) Rendkívüli lemondásra okot adó körülmények különösen: </w:t>
      </w:r>
    </w:p>
    <w:p w14:paraId="7692D561" w14:textId="77777777" w:rsidR="00893D5B" w:rsidRPr="000250FA" w:rsidRDefault="00893D5B" w:rsidP="00893D5B">
      <w:pPr>
        <w:pStyle w:val="Normlstilus1norml"/>
        <w:tabs>
          <w:tab w:val="left" w:pos="9781"/>
        </w:tabs>
        <w:ind w:left="561" w:right="-144"/>
        <w:rPr>
          <w:color w:val="auto"/>
          <w:sz w:val="22"/>
          <w:szCs w:val="22"/>
        </w:rPr>
      </w:pPr>
    </w:p>
    <w:p w14:paraId="7A10E0FF" w14:textId="77777777" w:rsidR="00893D5B" w:rsidRPr="000250FA" w:rsidRDefault="00893D5B" w:rsidP="00912564">
      <w:pPr>
        <w:numPr>
          <w:ilvl w:val="0"/>
          <w:numId w:val="28"/>
        </w:numPr>
        <w:jc w:val="both"/>
        <w:rPr>
          <w:sz w:val="22"/>
          <w:szCs w:val="22"/>
        </w:rPr>
      </w:pPr>
      <w:r w:rsidRPr="000250FA">
        <w:rPr>
          <w:sz w:val="22"/>
          <w:szCs w:val="22"/>
        </w:rPr>
        <w:t>az Egyetem illetményfizetési kötelezettségét két hónapot meghaladóan nem teljesíti,</w:t>
      </w:r>
    </w:p>
    <w:p w14:paraId="74949317" w14:textId="77777777" w:rsidR="00893D5B" w:rsidRPr="000250FA" w:rsidRDefault="00893D5B" w:rsidP="00912564">
      <w:pPr>
        <w:numPr>
          <w:ilvl w:val="0"/>
          <w:numId w:val="28"/>
        </w:numPr>
        <w:jc w:val="both"/>
        <w:rPr>
          <w:sz w:val="22"/>
          <w:szCs w:val="22"/>
        </w:rPr>
      </w:pPr>
      <w:r w:rsidRPr="000250FA">
        <w:rPr>
          <w:sz w:val="22"/>
          <w:szCs w:val="22"/>
        </w:rPr>
        <w:t>az Egyetem nem biztosítja az egészséges és biztonságos munkavégzés feltételeit,</w:t>
      </w:r>
    </w:p>
    <w:p w14:paraId="02DBCE53" w14:textId="77777777" w:rsidR="00893D5B" w:rsidRPr="000250FA" w:rsidRDefault="00893D5B" w:rsidP="00912564">
      <w:pPr>
        <w:numPr>
          <w:ilvl w:val="0"/>
          <w:numId w:val="28"/>
        </w:numPr>
        <w:jc w:val="both"/>
        <w:rPr>
          <w:sz w:val="22"/>
          <w:szCs w:val="22"/>
        </w:rPr>
      </w:pPr>
      <w:r w:rsidRPr="000250FA">
        <w:rPr>
          <w:sz w:val="22"/>
          <w:szCs w:val="22"/>
        </w:rPr>
        <w:t xml:space="preserve">az </w:t>
      </w:r>
      <w:proofErr w:type="gramStart"/>
      <w:r w:rsidRPr="000250FA">
        <w:rPr>
          <w:sz w:val="22"/>
          <w:szCs w:val="22"/>
        </w:rPr>
        <w:t>Egyetem foglalkoztatási</w:t>
      </w:r>
      <w:proofErr w:type="gramEnd"/>
      <w:r w:rsidRPr="000250FA">
        <w:rPr>
          <w:sz w:val="22"/>
          <w:szCs w:val="22"/>
        </w:rPr>
        <w:t xml:space="preserve"> kötelezettségét neki felróható okból nem teljesíti.</w:t>
      </w:r>
    </w:p>
    <w:p w14:paraId="4586E818" w14:textId="77777777" w:rsidR="00893D5B" w:rsidRPr="000250FA" w:rsidRDefault="00893D5B" w:rsidP="00893D5B">
      <w:pPr>
        <w:pStyle w:val="Normlstilus1norml"/>
        <w:tabs>
          <w:tab w:val="left" w:pos="9781"/>
        </w:tabs>
        <w:ind w:right="-144"/>
        <w:rPr>
          <w:color w:val="auto"/>
          <w:sz w:val="22"/>
          <w:szCs w:val="22"/>
        </w:rPr>
      </w:pPr>
    </w:p>
    <w:p w14:paraId="6382C56C"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 lemondás jogával a közalkalmazott az annak alapjául szolgáló okról való tudomásszerzésétől számított 15 napon belül, legfeljebb azonban az ok bekövetkeztétől számított 1 éven belül élhet, bűncselekmény elkövetése esetén a büntetőeljárás megindítására nyitva álló elévülési idő alatt lehet gyakorolni.</w:t>
      </w:r>
    </w:p>
    <w:p w14:paraId="2ADCB5E0" w14:textId="77777777" w:rsidR="00893D5B" w:rsidRPr="000250FA" w:rsidRDefault="00893D5B" w:rsidP="00893D5B">
      <w:pPr>
        <w:pStyle w:val="Normlstilus1norml"/>
        <w:tabs>
          <w:tab w:val="left" w:pos="9781"/>
        </w:tabs>
        <w:ind w:right="-144"/>
        <w:rPr>
          <w:color w:val="auto"/>
          <w:sz w:val="22"/>
          <w:szCs w:val="22"/>
        </w:rPr>
      </w:pPr>
    </w:p>
    <w:p w14:paraId="703A0C97"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w:t>
      </w:r>
      <w:r w:rsidRPr="000250FA">
        <w:rPr>
          <w:rStyle w:val="Lbjegyzet-hivatkozs"/>
          <w:color w:val="auto"/>
          <w:sz w:val="22"/>
          <w:szCs w:val="22"/>
        </w:rPr>
        <w:footnoteReference w:id="115"/>
      </w:r>
      <w:r w:rsidRPr="000250FA">
        <w:rPr>
          <w:color w:val="auto"/>
          <w:sz w:val="22"/>
          <w:szCs w:val="22"/>
        </w:rPr>
        <w:t xml:space="preserve"> Rendkívüli lemondás esetén a közalkalmazottat annyi időre járó távolléti díj illeti meg, amennyi felmentés esetén a felmentési időre megilletné. A közalkalmazotti jogviszony megszűnésének időpontját a közalkalmazottra irányadó felmentési idő figyelembevételével kell megállapítani. A közalkalmazott követelheti felmerült kárának megtérítését is.</w:t>
      </w:r>
    </w:p>
    <w:p w14:paraId="7E020239" w14:textId="77777777" w:rsidR="00893D5B" w:rsidRPr="000250FA" w:rsidRDefault="00893D5B" w:rsidP="00893D5B">
      <w:pPr>
        <w:pStyle w:val="Normlstilus1norml"/>
        <w:tabs>
          <w:tab w:val="left" w:pos="9781"/>
        </w:tabs>
        <w:ind w:right="-144"/>
        <w:rPr>
          <w:color w:val="auto"/>
          <w:sz w:val="22"/>
          <w:szCs w:val="22"/>
        </w:rPr>
      </w:pPr>
    </w:p>
    <w:p w14:paraId="2E1C5133" w14:textId="77777777" w:rsidR="00893D5B" w:rsidRPr="000250FA" w:rsidRDefault="00893D5B" w:rsidP="00893D5B">
      <w:pPr>
        <w:pStyle w:val="Cmsor4"/>
      </w:pPr>
      <w:bookmarkStart w:id="65" w:name="_Toc432753535"/>
      <w:r w:rsidRPr="000250FA">
        <w:lastRenderedPageBreak/>
        <w:t>A felmentés</w:t>
      </w:r>
      <w:bookmarkEnd w:id="65"/>
    </w:p>
    <w:p w14:paraId="0F63DB2F" w14:textId="77777777" w:rsidR="00893D5B" w:rsidRPr="000250FA" w:rsidRDefault="00893D5B" w:rsidP="00893D5B">
      <w:pPr>
        <w:pStyle w:val="Normlstilus1norml"/>
        <w:tabs>
          <w:tab w:val="left" w:pos="9781"/>
        </w:tabs>
        <w:ind w:right="-144"/>
        <w:rPr>
          <w:color w:val="auto"/>
          <w:sz w:val="22"/>
          <w:szCs w:val="22"/>
        </w:rPr>
      </w:pPr>
    </w:p>
    <w:p w14:paraId="04DC62C2"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25. §</w:t>
      </w:r>
      <w:r w:rsidRPr="000250FA">
        <w:rPr>
          <w:color w:val="auto"/>
          <w:sz w:val="22"/>
          <w:szCs w:val="22"/>
        </w:rPr>
        <w:t xml:space="preserve"> (1)</w:t>
      </w:r>
      <w:r w:rsidRPr="000250FA">
        <w:rPr>
          <w:rStyle w:val="Lbjegyzet-hivatkozs"/>
          <w:color w:val="auto"/>
          <w:sz w:val="22"/>
          <w:szCs w:val="22"/>
        </w:rPr>
        <w:footnoteReference w:id="116"/>
      </w:r>
      <w:r w:rsidRPr="000250FA">
        <w:rPr>
          <w:color w:val="auto"/>
          <w:sz w:val="22"/>
          <w:szCs w:val="22"/>
        </w:rPr>
        <w:t xml:space="preserve"> </w:t>
      </w:r>
      <w:r w:rsidRPr="000250FA">
        <w:rPr>
          <w:rStyle w:val="Lbjegyzet-hivatkozs"/>
          <w:color w:val="auto"/>
          <w:sz w:val="22"/>
          <w:szCs w:val="22"/>
        </w:rPr>
        <w:footnoteReference w:id="117"/>
      </w:r>
      <w:r w:rsidRPr="000250FA">
        <w:rPr>
          <w:color w:val="auto"/>
          <w:sz w:val="22"/>
          <w:szCs w:val="22"/>
        </w:rPr>
        <w:t xml:space="preserve"> Felmentéssel akkor szüntetheti meg az Egyetem a közalkalmazott jogviszonyt a Kjt. 30/A-30/B. §-</w:t>
      </w:r>
      <w:proofErr w:type="spellStart"/>
      <w:r w:rsidRPr="000250FA">
        <w:rPr>
          <w:color w:val="auto"/>
          <w:sz w:val="22"/>
          <w:szCs w:val="22"/>
        </w:rPr>
        <w:t>ban</w:t>
      </w:r>
      <w:proofErr w:type="spellEnd"/>
      <w:r w:rsidRPr="000250FA">
        <w:rPr>
          <w:color w:val="auto"/>
          <w:sz w:val="22"/>
          <w:szCs w:val="22"/>
        </w:rPr>
        <w:t xml:space="preserve"> és a 32. §-</w:t>
      </w:r>
      <w:proofErr w:type="spellStart"/>
      <w:r w:rsidRPr="000250FA">
        <w:rPr>
          <w:color w:val="auto"/>
          <w:sz w:val="22"/>
          <w:szCs w:val="22"/>
        </w:rPr>
        <w:t>ban</w:t>
      </w:r>
      <w:proofErr w:type="spellEnd"/>
      <w:r w:rsidRPr="000250FA">
        <w:rPr>
          <w:color w:val="auto"/>
          <w:sz w:val="22"/>
          <w:szCs w:val="22"/>
        </w:rPr>
        <w:t xml:space="preserve"> foglalt korlátozással, ha</w:t>
      </w:r>
    </w:p>
    <w:p w14:paraId="15C5674C" w14:textId="77777777" w:rsidR="00893D5B" w:rsidRPr="000250FA" w:rsidRDefault="00893D5B" w:rsidP="00893D5B">
      <w:pPr>
        <w:rPr>
          <w:bCs/>
          <w:i/>
          <w:iCs/>
          <w:sz w:val="22"/>
          <w:szCs w:val="22"/>
        </w:rPr>
      </w:pPr>
    </w:p>
    <w:p w14:paraId="511898A3" w14:textId="77777777" w:rsidR="00893D5B" w:rsidRPr="000250FA" w:rsidRDefault="00893D5B" w:rsidP="00912564">
      <w:pPr>
        <w:numPr>
          <w:ilvl w:val="0"/>
          <w:numId w:val="29"/>
        </w:numPr>
        <w:jc w:val="both"/>
        <w:rPr>
          <w:sz w:val="22"/>
          <w:szCs w:val="22"/>
        </w:rPr>
      </w:pPr>
      <w:r w:rsidRPr="000250FA">
        <w:rPr>
          <w:sz w:val="22"/>
          <w:szCs w:val="22"/>
        </w:rPr>
        <w:t>megszűnt a munkáltatónak az a tevékenysége, amelyben a közalkalmazottat foglalkoztatták,</w:t>
      </w:r>
    </w:p>
    <w:p w14:paraId="37A490BD" w14:textId="77777777" w:rsidR="00893D5B" w:rsidRPr="000250FA" w:rsidRDefault="00893D5B" w:rsidP="00912564">
      <w:pPr>
        <w:numPr>
          <w:ilvl w:val="0"/>
          <w:numId w:val="29"/>
        </w:numPr>
        <w:jc w:val="both"/>
        <w:rPr>
          <w:sz w:val="22"/>
          <w:szCs w:val="22"/>
        </w:rPr>
      </w:pPr>
      <w:r w:rsidRPr="000250FA">
        <w:rPr>
          <w:sz w:val="22"/>
          <w:szCs w:val="22"/>
        </w:rPr>
        <w:t>az Országgyűlés, a Kormány, a költségvetési fejezet felügyeletét ellátó szerv vezetője, a központi költségvetési szerv vezetője döntése alapján a munkáltatónál létszámcsökkentést, illetve átszervezést kell végrehajtani, és emiatt a közalkalmazott további foglalkoztatására nincs lehetőség,</w:t>
      </w:r>
    </w:p>
    <w:p w14:paraId="3F516F3D" w14:textId="77777777" w:rsidR="00893D5B" w:rsidRPr="000250FA" w:rsidRDefault="00893D5B" w:rsidP="00912564">
      <w:pPr>
        <w:numPr>
          <w:ilvl w:val="0"/>
          <w:numId w:val="29"/>
        </w:numPr>
        <w:jc w:val="both"/>
        <w:rPr>
          <w:sz w:val="22"/>
          <w:szCs w:val="22"/>
        </w:rPr>
      </w:pPr>
      <w:r w:rsidRPr="000250FA">
        <w:rPr>
          <w:sz w:val="22"/>
          <w:szCs w:val="22"/>
        </w:rPr>
        <w:t>a közalkalmazott munkaköri feladatainak ellátására tartósan alkalmatlanná vált vagy munkáját nem végzi megfelelően,</w:t>
      </w:r>
    </w:p>
    <w:p w14:paraId="32254310" w14:textId="77777777" w:rsidR="00893D5B" w:rsidRPr="000250FA" w:rsidRDefault="00893D5B" w:rsidP="00912564">
      <w:pPr>
        <w:numPr>
          <w:ilvl w:val="0"/>
          <w:numId w:val="29"/>
        </w:numPr>
        <w:jc w:val="both"/>
        <w:rPr>
          <w:sz w:val="22"/>
          <w:szCs w:val="22"/>
        </w:rPr>
      </w:pPr>
      <w:r w:rsidRPr="000250FA">
        <w:rPr>
          <w:sz w:val="22"/>
          <w:szCs w:val="22"/>
        </w:rPr>
        <w:t>a közalkalmazott a felmentés közlésének, illetőleg legkésőbb a felmentési idő kezdetének napján nyugdíjasnak minősül (Mt. 294. § (1) g) pont), illetve</w:t>
      </w:r>
    </w:p>
    <w:p w14:paraId="5A8A96BA" w14:textId="77777777" w:rsidR="00893D5B" w:rsidRPr="000250FA" w:rsidRDefault="00893D5B" w:rsidP="00912564">
      <w:pPr>
        <w:numPr>
          <w:ilvl w:val="0"/>
          <w:numId w:val="29"/>
        </w:numPr>
        <w:jc w:val="both"/>
        <w:rPr>
          <w:sz w:val="22"/>
          <w:szCs w:val="22"/>
        </w:rPr>
      </w:pPr>
    </w:p>
    <w:p w14:paraId="11C53637" w14:textId="77777777" w:rsidR="00893D5B" w:rsidRPr="000250FA" w:rsidRDefault="00893D5B" w:rsidP="00912564">
      <w:pPr>
        <w:numPr>
          <w:ilvl w:val="0"/>
          <w:numId w:val="29"/>
        </w:numPr>
        <w:jc w:val="both"/>
        <w:rPr>
          <w:sz w:val="22"/>
          <w:szCs w:val="22"/>
        </w:rPr>
      </w:pPr>
      <w:r w:rsidRPr="000250FA">
        <w:rPr>
          <w:sz w:val="22"/>
          <w:szCs w:val="22"/>
        </w:rPr>
        <w:t>a társadalombiztosítási nyugellátásról szóló 1997. évi LXXXI. törvény 18. § (2a) bekezdés a) pontjában foglalt feltételt a felmentési idő leteltekor teljesítő közalkalmazott kérelmezi,</w:t>
      </w:r>
    </w:p>
    <w:p w14:paraId="55BD8AE2" w14:textId="77777777" w:rsidR="00893D5B" w:rsidRPr="000250FA" w:rsidRDefault="00893D5B" w:rsidP="00912564">
      <w:pPr>
        <w:numPr>
          <w:ilvl w:val="0"/>
          <w:numId w:val="29"/>
        </w:numPr>
        <w:jc w:val="both"/>
        <w:rPr>
          <w:sz w:val="22"/>
          <w:szCs w:val="22"/>
        </w:rPr>
      </w:pPr>
      <w:r w:rsidRPr="000250FA">
        <w:rPr>
          <w:sz w:val="22"/>
          <w:szCs w:val="22"/>
        </w:rPr>
        <w:t>e szabályzat 86. §-</w:t>
      </w:r>
      <w:proofErr w:type="spellStart"/>
      <w:r w:rsidRPr="000250FA">
        <w:rPr>
          <w:sz w:val="22"/>
          <w:szCs w:val="22"/>
        </w:rPr>
        <w:t>ban</w:t>
      </w:r>
      <w:proofErr w:type="spellEnd"/>
      <w:r w:rsidRPr="000250FA">
        <w:rPr>
          <w:sz w:val="22"/>
          <w:szCs w:val="22"/>
        </w:rPr>
        <w:t xml:space="preserve"> meghatározott esetekben.</w:t>
      </w:r>
    </w:p>
    <w:p w14:paraId="6385F510" w14:textId="77777777" w:rsidR="00893D5B" w:rsidRPr="000250FA" w:rsidRDefault="00893D5B" w:rsidP="00893D5B">
      <w:pPr>
        <w:pStyle w:val="Normlstilus1norml"/>
        <w:tabs>
          <w:tab w:val="left" w:pos="9781"/>
        </w:tabs>
        <w:ind w:right="-144"/>
        <w:rPr>
          <w:color w:val="auto"/>
          <w:sz w:val="22"/>
          <w:szCs w:val="22"/>
        </w:rPr>
      </w:pPr>
    </w:p>
    <w:p w14:paraId="25175569"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munkáltató a felmentést köteles megindokolni. Az indokolásból a felmentés okának világosan ki kell tűnnie és a munkáltatónak kell bizonyítania, hogy a felmentés indoka valós és okszerű.</w:t>
      </w:r>
    </w:p>
    <w:p w14:paraId="0B345485" w14:textId="77777777" w:rsidR="00893D5B" w:rsidRPr="000250FA" w:rsidRDefault="00893D5B" w:rsidP="00893D5B">
      <w:pPr>
        <w:pStyle w:val="Normlstilus1norml"/>
        <w:tabs>
          <w:tab w:val="left" w:pos="9781"/>
        </w:tabs>
        <w:ind w:right="-144"/>
        <w:rPr>
          <w:color w:val="auto"/>
          <w:sz w:val="22"/>
          <w:szCs w:val="22"/>
        </w:rPr>
      </w:pPr>
    </w:p>
    <w:p w14:paraId="719B2EB5"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Amennyiben (1) bekezdés c) pontjában meghatározott alkalmatlanság egészségügyi ok következménye, a közalkalmazott akkor menthető fel, ha a munkáltatónál nincs az egészségi állapotának megfelelő munkakör vagy, ha az ilyen munkakörbe történő áthelyezéséhez a közalkalmazott nem járult hozzá.</w:t>
      </w:r>
    </w:p>
    <w:p w14:paraId="695BBF07" w14:textId="77777777" w:rsidR="00893D5B" w:rsidRPr="000250FA" w:rsidRDefault="00893D5B" w:rsidP="00893D5B">
      <w:pPr>
        <w:pStyle w:val="Normlstilus1norml"/>
        <w:tabs>
          <w:tab w:val="left" w:pos="9781"/>
        </w:tabs>
        <w:ind w:right="-144"/>
        <w:rPr>
          <w:color w:val="auto"/>
          <w:sz w:val="22"/>
          <w:szCs w:val="22"/>
        </w:rPr>
      </w:pPr>
    </w:p>
    <w:p w14:paraId="7FBC5152"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(4) Ha az (1) bekezdés c) pontjában meghatározott alkalmatlanság a közalkalmazott munkavégzésével vagy magatartásával függ össze, a felmentés előtt lehetőséget kell adni számára a vele szemben felhozott </w:t>
      </w:r>
      <w:proofErr w:type="gramStart"/>
      <w:r w:rsidRPr="000250FA">
        <w:rPr>
          <w:color w:val="auto"/>
          <w:sz w:val="22"/>
          <w:szCs w:val="22"/>
        </w:rPr>
        <w:t>kifogások</w:t>
      </w:r>
      <w:proofErr w:type="gramEnd"/>
      <w:r w:rsidRPr="000250FA">
        <w:rPr>
          <w:color w:val="auto"/>
          <w:sz w:val="22"/>
          <w:szCs w:val="22"/>
        </w:rPr>
        <w:t xml:space="preserve"> elleni védekezésre, kivéve, ha az eset összes körülményeiből következően ez a munkáltatótól nem várható el.</w:t>
      </w:r>
    </w:p>
    <w:p w14:paraId="7688B890" w14:textId="77777777" w:rsidR="00893D5B" w:rsidRPr="000250FA" w:rsidRDefault="00893D5B" w:rsidP="00893D5B">
      <w:pPr>
        <w:pStyle w:val="Normlstilus1norml"/>
        <w:tabs>
          <w:tab w:val="left" w:pos="9781"/>
        </w:tabs>
        <w:ind w:right="-144"/>
        <w:rPr>
          <w:color w:val="auto"/>
          <w:sz w:val="22"/>
          <w:szCs w:val="22"/>
        </w:rPr>
      </w:pPr>
    </w:p>
    <w:p w14:paraId="761D5D3A" w14:textId="77777777" w:rsidR="00893D5B" w:rsidRPr="000250FA" w:rsidRDefault="00893D5B" w:rsidP="00893D5B">
      <w:pPr>
        <w:pStyle w:val="Cmsor5"/>
        <w:rPr>
          <w:color w:val="auto"/>
          <w:sz w:val="22"/>
          <w:szCs w:val="22"/>
        </w:rPr>
      </w:pPr>
      <w:bookmarkStart w:id="66" w:name="_Toc432753536"/>
      <w:r w:rsidRPr="000250FA">
        <w:rPr>
          <w:color w:val="auto"/>
          <w:sz w:val="22"/>
          <w:szCs w:val="22"/>
        </w:rPr>
        <w:t>Felmentési tilalmak</w:t>
      </w:r>
      <w:bookmarkEnd w:id="66"/>
    </w:p>
    <w:p w14:paraId="5F8E7015" w14:textId="77777777" w:rsidR="00893D5B" w:rsidRPr="000250FA" w:rsidRDefault="00893D5B" w:rsidP="00893D5B">
      <w:pPr>
        <w:pStyle w:val="Normlstilus1norml"/>
        <w:tabs>
          <w:tab w:val="left" w:pos="9781"/>
        </w:tabs>
        <w:ind w:right="-144"/>
        <w:rPr>
          <w:color w:val="auto"/>
          <w:sz w:val="22"/>
          <w:szCs w:val="22"/>
        </w:rPr>
      </w:pPr>
    </w:p>
    <w:p w14:paraId="766EB2C3"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26. §</w:t>
      </w:r>
      <w:r w:rsidRPr="000250FA">
        <w:rPr>
          <w:rStyle w:val="Lbjegyzet-hivatkozs"/>
          <w:b/>
          <w:bCs/>
          <w:color w:val="auto"/>
          <w:sz w:val="22"/>
          <w:szCs w:val="22"/>
        </w:rPr>
        <w:footnoteReference w:id="118"/>
      </w:r>
      <w:r w:rsidRPr="000250FA">
        <w:rPr>
          <w:color w:val="auto"/>
          <w:sz w:val="22"/>
          <w:szCs w:val="22"/>
        </w:rPr>
        <w:t xml:space="preserve"> (1) A közalkalmazotti jogviszonyt a munkáltató felmentéssel nem szüntetheti meg az alábbiakban meghatározott időtartam alatt:</w:t>
      </w:r>
    </w:p>
    <w:p w14:paraId="0FCCDA94" w14:textId="77777777" w:rsidR="00893D5B" w:rsidRPr="000250FA" w:rsidRDefault="00893D5B" w:rsidP="00893D5B">
      <w:pPr>
        <w:pStyle w:val="vonaljobb"/>
        <w:pBdr>
          <w:right w:val="none" w:sz="0" w:space="0" w:color="auto"/>
        </w:pBdr>
        <w:tabs>
          <w:tab w:val="left" w:pos="9781"/>
        </w:tabs>
        <w:ind w:left="561" w:right="-144"/>
        <w:rPr>
          <w:rFonts w:ascii="Times New Roman" w:hAnsi="Times New Roman" w:cs="Times New Roman"/>
          <w:b w:val="0"/>
          <w:bCs w:val="0"/>
        </w:rPr>
      </w:pPr>
    </w:p>
    <w:p w14:paraId="40EA1D6F" w14:textId="77777777" w:rsidR="00893D5B" w:rsidRPr="000250FA" w:rsidRDefault="00893D5B" w:rsidP="00912564">
      <w:pPr>
        <w:numPr>
          <w:ilvl w:val="0"/>
          <w:numId w:val="30"/>
        </w:numPr>
        <w:jc w:val="both"/>
        <w:rPr>
          <w:sz w:val="22"/>
          <w:szCs w:val="22"/>
        </w:rPr>
      </w:pPr>
      <w:r w:rsidRPr="000250FA">
        <w:rPr>
          <w:sz w:val="22"/>
          <w:szCs w:val="22"/>
        </w:rPr>
        <w:t>a várandósság,</w:t>
      </w:r>
    </w:p>
    <w:p w14:paraId="7077F19B" w14:textId="77777777" w:rsidR="00893D5B" w:rsidRPr="000250FA" w:rsidRDefault="00893D5B" w:rsidP="00912564">
      <w:pPr>
        <w:numPr>
          <w:ilvl w:val="0"/>
          <w:numId w:val="30"/>
        </w:numPr>
        <w:jc w:val="both"/>
        <w:rPr>
          <w:sz w:val="22"/>
          <w:szCs w:val="22"/>
        </w:rPr>
      </w:pPr>
      <w:bookmarkStart w:id="67" w:name="pr316"/>
      <w:bookmarkEnd w:id="67"/>
      <w:r w:rsidRPr="000250FA">
        <w:rPr>
          <w:sz w:val="22"/>
          <w:szCs w:val="22"/>
        </w:rPr>
        <w:t>a szülési szabadság,</w:t>
      </w:r>
    </w:p>
    <w:p w14:paraId="447CAFAF" w14:textId="77777777" w:rsidR="00893D5B" w:rsidRPr="000250FA" w:rsidRDefault="00893D5B" w:rsidP="00912564">
      <w:pPr>
        <w:numPr>
          <w:ilvl w:val="0"/>
          <w:numId w:val="30"/>
        </w:numPr>
        <w:jc w:val="both"/>
        <w:rPr>
          <w:sz w:val="22"/>
          <w:szCs w:val="22"/>
        </w:rPr>
      </w:pPr>
      <w:bookmarkStart w:id="68" w:name="pr317"/>
      <w:bookmarkEnd w:id="68"/>
      <w:r w:rsidRPr="000250FA">
        <w:rPr>
          <w:sz w:val="22"/>
          <w:szCs w:val="22"/>
        </w:rPr>
        <w:t xml:space="preserve">a gyermek gondozása céljából igénybe vett fizetés nélküli szabadság (Mt.128. § értelmében a közalkalmazott gyermeke személyes gondozása céljából a gyermek 3. életéve betöltéséig, illetve Mt.130. § szerint 10. életéve betöltéséig a GYES folyósításának tartama </w:t>
      </w:r>
      <w:proofErr w:type="gramStart"/>
      <w:r w:rsidRPr="000250FA">
        <w:rPr>
          <w:sz w:val="22"/>
          <w:szCs w:val="22"/>
        </w:rPr>
        <w:t>alatt )</w:t>
      </w:r>
      <w:proofErr w:type="gramEnd"/>
      <w:r w:rsidRPr="000250FA">
        <w:rPr>
          <w:sz w:val="22"/>
          <w:szCs w:val="22"/>
        </w:rPr>
        <w:t>,</w:t>
      </w:r>
    </w:p>
    <w:p w14:paraId="7E6CA775" w14:textId="77777777" w:rsidR="00893D5B" w:rsidRPr="000250FA" w:rsidRDefault="00893D5B" w:rsidP="00912564">
      <w:pPr>
        <w:numPr>
          <w:ilvl w:val="0"/>
          <w:numId w:val="30"/>
        </w:numPr>
        <w:jc w:val="both"/>
        <w:rPr>
          <w:sz w:val="22"/>
          <w:szCs w:val="22"/>
        </w:rPr>
      </w:pPr>
      <w:bookmarkStart w:id="69" w:name="pr318"/>
      <w:bookmarkEnd w:id="69"/>
      <w:r w:rsidRPr="000250FA">
        <w:rPr>
          <w:sz w:val="22"/>
          <w:szCs w:val="22"/>
        </w:rPr>
        <w:t>a tényleges önkéntes tartalékos katonai szolgálatteljesítés, valamint</w:t>
      </w:r>
    </w:p>
    <w:p w14:paraId="2961405F" w14:textId="77777777" w:rsidR="00893D5B" w:rsidRPr="000250FA" w:rsidRDefault="00893D5B" w:rsidP="00912564">
      <w:pPr>
        <w:numPr>
          <w:ilvl w:val="0"/>
          <w:numId w:val="30"/>
        </w:numPr>
        <w:jc w:val="both"/>
      </w:pPr>
      <w:bookmarkStart w:id="70" w:name="pr319"/>
      <w:bookmarkEnd w:id="70"/>
      <w:r w:rsidRPr="000250FA">
        <w:rPr>
          <w:sz w:val="22"/>
          <w:szCs w:val="22"/>
        </w:rPr>
        <w:t>a nő jogszabály szerinti, az emberi reprodukciós eljárással összefüggő kezelésének, de legfeljebb ennek megkezdésétől számított hat hónap tartama alatt</w:t>
      </w:r>
      <w:r w:rsidRPr="000250FA">
        <w:t>.</w:t>
      </w:r>
    </w:p>
    <w:p w14:paraId="12EF4293" w14:textId="77777777" w:rsidR="00893D5B" w:rsidRPr="000250FA" w:rsidRDefault="00893D5B" w:rsidP="00893D5B">
      <w:pPr>
        <w:pStyle w:val="vonaljobb"/>
        <w:pBdr>
          <w:right w:val="none" w:sz="0" w:space="0" w:color="auto"/>
        </w:pBdr>
        <w:tabs>
          <w:tab w:val="left" w:pos="9781"/>
        </w:tabs>
        <w:ind w:right="-144"/>
        <w:rPr>
          <w:rFonts w:ascii="Times New Roman" w:hAnsi="Times New Roman" w:cs="Times New Roman"/>
          <w:b w:val="0"/>
          <w:bCs w:val="0"/>
        </w:rPr>
      </w:pPr>
    </w:p>
    <w:p w14:paraId="7FD9AE81" w14:textId="77777777" w:rsidR="00893D5B" w:rsidRPr="000250FA" w:rsidRDefault="00893D5B" w:rsidP="00893D5B">
      <w:pPr>
        <w:pStyle w:val="vonaljobb"/>
        <w:pBdr>
          <w:right w:val="none" w:sz="0" w:space="0" w:color="auto"/>
        </w:pBdr>
        <w:tabs>
          <w:tab w:val="left" w:pos="9781"/>
        </w:tabs>
        <w:ind w:right="-144"/>
        <w:rPr>
          <w:rFonts w:ascii="Times New Roman" w:hAnsi="Times New Roman" w:cs="Times New Roman"/>
          <w:b w:val="0"/>
          <w:bCs w:val="0"/>
        </w:rPr>
      </w:pPr>
      <w:r w:rsidRPr="000250FA">
        <w:rPr>
          <w:rFonts w:ascii="Times New Roman" w:hAnsi="Times New Roman" w:cs="Times New Roman"/>
          <w:b w:val="0"/>
          <w:bCs w:val="0"/>
        </w:rPr>
        <w:t>(2) A Közalkalmazotti Tanács egyetértése szükséges az közalkalmazotti tanács elnöke közalkalmazotti jogviszonyának a munkáltató által felmondással történő megszüntetéséhez vagy a munkáltató Közalkalmazotti Tanács elnökét érintő az Mt. 53. § szerinti intézkedéséhez. A védelem a Közalkalmazotti Tanács elnökét megbízatásának idejére és annak megszűnését követő hat hónapra illeti meg, feltéve, ha a tisztségét legalább tizenkét hónapon át betöltötte.</w:t>
      </w:r>
    </w:p>
    <w:p w14:paraId="5D089867" w14:textId="77777777" w:rsidR="00893D5B" w:rsidRPr="000250FA" w:rsidRDefault="00893D5B" w:rsidP="00893D5B">
      <w:pPr>
        <w:pStyle w:val="Normlstilus1norml"/>
        <w:tabs>
          <w:tab w:val="left" w:pos="9781"/>
        </w:tabs>
        <w:ind w:right="-144"/>
        <w:rPr>
          <w:bCs/>
          <w:color w:val="auto"/>
          <w:sz w:val="22"/>
          <w:szCs w:val="22"/>
        </w:rPr>
      </w:pPr>
    </w:p>
    <w:p w14:paraId="2DCB85E7"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(3) A közvetlen felsőbb szakszervezeti szerv egyetértése szükséges – az Mt. 273.§ (1) bekezdés szerint megjelölt - választott szakszervezeti tisztséget betöltő közalkalmazott (a továbbiakban: tisztségviselő) közalkalmazotti jogviszonyának a munkáltató által felmentéssel történő megszüntetéséhez, valamint a munkáltató tisztségviselőt érintő Mt. 53. § szerinti intézkedéséhez.</w:t>
      </w:r>
    </w:p>
    <w:p w14:paraId="73DCCAA1" w14:textId="77777777" w:rsidR="00893D5B" w:rsidRPr="000250FA" w:rsidRDefault="00893D5B" w:rsidP="00893D5B">
      <w:pPr>
        <w:pStyle w:val="Normlstilus1norml"/>
        <w:tabs>
          <w:tab w:val="left" w:pos="9781"/>
        </w:tabs>
        <w:ind w:right="-144"/>
        <w:rPr>
          <w:bCs/>
          <w:color w:val="auto"/>
          <w:sz w:val="22"/>
          <w:szCs w:val="22"/>
        </w:rPr>
      </w:pPr>
    </w:p>
    <w:p w14:paraId="785668EA"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 A munkavédelmi képviselő munkajogi védelmére a választott szakszervezeti tisztségviselőre vonatkozó szabályokat kell megfelelően alkalmazni azzal, hogy a közvetlen felsőbb szakszervezeti szerven a bizottságot, annak hiányában a munkavédelmi képviselőt megválasztó munkavállalókat kell érteni.</w:t>
      </w:r>
    </w:p>
    <w:p w14:paraId="2603BE8A"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p>
    <w:p w14:paraId="78B16C67"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(5) Felmentés esetén a felmentési idő legkorábban az alábbiakban meghatározott tartam lejártát követő napon kezdődik:</w:t>
      </w:r>
    </w:p>
    <w:p w14:paraId="49989511" w14:textId="77777777" w:rsidR="00893D5B" w:rsidRPr="000250FA" w:rsidRDefault="00893D5B" w:rsidP="00912564">
      <w:pPr>
        <w:numPr>
          <w:ilvl w:val="0"/>
          <w:numId w:val="31"/>
        </w:numPr>
        <w:jc w:val="both"/>
        <w:rPr>
          <w:sz w:val="22"/>
          <w:szCs w:val="22"/>
        </w:rPr>
      </w:pPr>
      <w:bookmarkStart w:id="71" w:name="pr355"/>
      <w:bookmarkEnd w:id="71"/>
      <w:r w:rsidRPr="000250FA">
        <w:rPr>
          <w:sz w:val="22"/>
          <w:szCs w:val="22"/>
        </w:rPr>
        <w:t>a külföldön nemzetközi szervezetnél, vagy államközi egyezmény végrehajtásaként idegen állami, illetőleg egyéb intézménynél munkára kötött megállapodás alapján, külföldön végzett munka;</w:t>
      </w:r>
    </w:p>
    <w:p w14:paraId="7D9B8B82" w14:textId="77777777" w:rsidR="00893D5B" w:rsidRPr="000250FA" w:rsidRDefault="00893D5B" w:rsidP="00912564">
      <w:pPr>
        <w:numPr>
          <w:ilvl w:val="0"/>
          <w:numId w:val="31"/>
        </w:numPr>
        <w:jc w:val="both"/>
        <w:rPr>
          <w:sz w:val="22"/>
          <w:szCs w:val="22"/>
        </w:rPr>
      </w:pPr>
      <w:bookmarkStart w:id="72" w:name="pr356"/>
      <w:bookmarkEnd w:id="72"/>
      <w:r w:rsidRPr="000250FA">
        <w:rPr>
          <w:sz w:val="22"/>
          <w:szCs w:val="22"/>
        </w:rPr>
        <w:t>a tartósan külföldi szolgálatot teljesítő személy külföldre utazására tekintettel fizetés nélküli szabadságban részesült házastársánál a fizetés nélküli szabadság;</w:t>
      </w:r>
    </w:p>
    <w:p w14:paraId="5343EE5D" w14:textId="77777777" w:rsidR="00893D5B" w:rsidRPr="000250FA" w:rsidRDefault="00893D5B" w:rsidP="00912564">
      <w:pPr>
        <w:numPr>
          <w:ilvl w:val="0"/>
          <w:numId w:val="31"/>
        </w:numPr>
        <w:jc w:val="both"/>
        <w:rPr>
          <w:sz w:val="22"/>
          <w:szCs w:val="22"/>
        </w:rPr>
      </w:pPr>
      <w:bookmarkStart w:id="73" w:name="pr357"/>
      <w:bookmarkEnd w:id="73"/>
      <w:r w:rsidRPr="000250FA">
        <w:rPr>
          <w:sz w:val="22"/>
          <w:szCs w:val="22"/>
        </w:rPr>
        <w:t>az ösztöndíjjal külföldi tanulmányútra kiküldött a tanulmányút és az esetleges előzetes tanfolyam, valamint</w:t>
      </w:r>
    </w:p>
    <w:p w14:paraId="701C549A" w14:textId="77777777" w:rsidR="00893D5B" w:rsidRPr="000250FA" w:rsidRDefault="00893D5B" w:rsidP="00912564">
      <w:pPr>
        <w:numPr>
          <w:ilvl w:val="0"/>
          <w:numId w:val="31"/>
        </w:numPr>
        <w:jc w:val="both"/>
      </w:pPr>
      <w:bookmarkStart w:id="74" w:name="pr358"/>
      <w:bookmarkEnd w:id="74"/>
      <w:r w:rsidRPr="000250FA">
        <w:rPr>
          <w:sz w:val="22"/>
          <w:szCs w:val="22"/>
        </w:rPr>
        <w:t>a munkáltató hozzájárulásával iskolai vagy iskolarendszeren kívüli képzésre tekintettel biztosított munkavégzés alóli felmentés tartama</w:t>
      </w:r>
      <w:r w:rsidRPr="000250FA">
        <w:t>.</w:t>
      </w:r>
      <w:bookmarkStart w:id="75" w:name="pr359"/>
      <w:bookmarkEnd w:id="75"/>
    </w:p>
    <w:p w14:paraId="09E68A97" w14:textId="77777777" w:rsidR="00893D5B" w:rsidRPr="000250FA" w:rsidRDefault="00893D5B" w:rsidP="00893D5B">
      <w:pPr>
        <w:pStyle w:val="Normlstilus1norml"/>
        <w:tabs>
          <w:tab w:val="left" w:pos="9781"/>
        </w:tabs>
        <w:ind w:left="567" w:right="-144"/>
        <w:rPr>
          <w:color w:val="auto"/>
          <w:sz w:val="22"/>
          <w:szCs w:val="22"/>
        </w:rPr>
      </w:pPr>
    </w:p>
    <w:p w14:paraId="6C5F7308" w14:textId="77777777" w:rsidR="00893D5B" w:rsidRPr="000250FA" w:rsidRDefault="00893D5B" w:rsidP="00893D5B">
      <w:pPr>
        <w:pStyle w:val="Cmsor5"/>
        <w:rPr>
          <w:color w:val="auto"/>
          <w:sz w:val="22"/>
          <w:szCs w:val="22"/>
        </w:rPr>
      </w:pPr>
      <w:bookmarkStart w:id="76" w:name="_Toc432753537"/>
      <w:r w:rsidRPr="000250FA">
        <w:rPr>
          <w:color w:val="auto"/>
          <w:sz w:val="22"/>
          <w:szCs w:val="22"/>
        </w:rPr>
        <w:t>A felmentés korlátozása</w:t>
      </w:r>
      <w:bookmarkEnd w:id="76"/>
    </w:p>
    <w:p w14:paraId="24CCF23E" w14:textId="77777777" w:rsidR="00893D5B" w:rsidRPr="000250FA" w:rsidRDefault="00893D5B" w:rsidP="00893D5B">
      <w:pPr>
        <w:pStyle w:val="Normlstilus1norml"/>
        <w:tabs>
          <w:tab w:val="left" w:pos="9781"/>
        </w:tabs>
        <w:ind w:right="-144"/>
        <w:rPr>
          <w:color w:val="auto"/>
          <w:sz w:val="22"/>
          <w:szCs w:val="22"/>
        </w:rPr>
      </w:pPr>
    </w:p>
    <w:p w14:paraId="65760392"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27. §</w:t>
      </w:r>
      <w:r w:rsidRPr="000250FA">
        <w:rPr>
          <w:color w:val="auto"/>
          <w:sz w:val="22"/>
          <w:szCs w:val="22"/>
        </w:rPr>
        <w:t xml:space="preserve"> (1) A közalkalmazotti jogviszony csak különösen indokolt esetben szüntethető meg felmentéssel</w:t>
      </w:r>
    </w:p>
    <w:p w14:paraId="7B73EA14" w14:textId="77777777" w:rsidR="00893D5B" w:rsidRPr="000250FA" w:rsidRDefault="00893D5B" w:rsidP="00893D5B">
      <w:pPr>
        <w:pStyle w:val="Normlstilus1norml"/>
        <w:tabs>
          <w:tab w:val="left" w:pos="9781"/>
        </w:tabs>
        <w:ind w:left="561" w:right="-144"/>
        <w:rPr>
          <w:color w:val="auto"/>
          <w:sz w:val="22"/>
          <w:szCs w:val="22"/>
        </w:rPr>
      </w:pPr>
    </w:p>
    <w:p w14:paraId="28E7ECA4" w14:textId="77777777" w:rsidR="00893D5B" w:rsidRPr="000250FA" w:rsidRDefault="00893D5B" w:rsidP="00912564">
      <w:pPr>
        <w:numPr>
          <w:ilvl w:val="0"/>
          <w:numId w:val="32"/>
        </w:numPr>
        <w:jc w:val="both"/>
        <w:rPr>
          <w:sz w:val="22"/>
          <w:szCs w:val="22"/>
        </w:rPr>
      </w:pPr>
      <w:r w:rsidRPr="000250FA">
        <w:rPr>
          <w:sz w:val="22"/>
          <w:szCs w:val="22"/>
        </w:rPr>
        <w:t>ha a közalkalmazott házastársa (élettársa) nem rendelkezik önálló, legalább az országosan kötelező legkisebb munkabérnek megfelelő jövedelemmel és legalább három eltartott gyermeke van,</w:t>
      </w:r>
    </w:p>
    <w:p w14:paraId="646E0E4B" w14:textId="77777777" w:rsidR="00893D5B" w:rsidRPr="000250FA" w:rsidRDefault="00893D5B" w:rsidP="00912564">
      <w:pPr>
        <w:numPr>
          <w:ilvl w:val="0"/>
          <w:numId w:val="32"/>
        </w:numPr>
        <w:jc w:val="both"/>
        <w:rPr>
          <w:sz w:val="22"/>
          <w:szCs w:val="22"/>
        </w:rPr>
      </w:pPr>
      <w:r w:rsidRPr="000250FA">
        <w:rPr>
          <w:sz w:val="22"/>
          <w:szCs w:val="22"/>
        </w:rPr>
        <w:t>ha a közalkalmazott egyedülálló, eltartott gyermeke tizennyolc éves koráig,</w:t>
      </w:r>
    </w:p>
    <w:p w14:paraId="6D272E5B" w14:textId="77777777" w:rsidR="00893D5B" w:rsidRPr="000250FA" w:rsidRDefault="00893D5B" w:rsidP="00912564">
      <w:pPr>
        <w:numPr>
          <w:ilvl w:val="0"/>
          <w:numId w:val="32"/>
        </w:numPr>
        <w:jc w:val="both"/>
        <w:rPr>
          <w:sz w:val="22"/>
          <w:szCs w:val="22"/>
        </w:rPr>
      </w:pPr>
      <w:r w:rsidRPr="000250FA">
        <w:rPr>
          <w:sz w:val="22"/>
          <w:szCs w:val="22"/>
        </w:rPr>
        <w:t>ha a közalkalmazott házastársa tényleges tartalékos önkéntes katonai szolgálatot teljesít,</w:t>
      </w:r>
    </w:p>
    <w:p w14:paraId="132A5478" w14:textId="77777777" w:rsidR="00893D5B" w:rsidRPr="000250FA" w:rsidRDefault="00893D5B" w:rsidP="00912564">
      <w:pPr>
        <w:numPr>
          <w:ilvl w:val="0"/>
          <w:numId w:val="32"/>
        </w:numPr>
        <w:jc w:val="both"/>
        <w:rPr>
          <w:sz w:val="22"/>
          <w:szCs w:val="22"/>
        </w:rPr>
      </w:pPr>
      <w:r w:rsidRPr="000250FA">
        <w:rPr>
          <w:sz w:val="22"/>
          <w:szCs w:val="22"/>
        </w:rPr>
        <w:t>.</w:t>
      </w:r>
      <w:r w:rsidRPr="000250FA">
        <w:rPr>
          <w:sz w:val="22"/>
          <w:szCs w:val="22"/>
          <w:vertAlign w:val="superscript"/>
        </w:rPr>
        <w:footnoteReference w:id="119"/>
      </w:r>
    </w:p>
    <w:p w14:paraId="59F7395D" w14:textId="77777777" w:rsidR="00893D5B" w:rsidRPr="000250FA" w:rsidRDefault="00893D5B" w:rsidP="00893D5B">
      <w:pPr>
        <w:pStyle w:val="Normlstilus1norml"/>
        <w:tabs>
          <w:tab w:val="left" w:pos="9781"/>
        </w:tabs>
        <w:ind w:right="-144"/>
        <w:rPr>
          <w:color w:val="auto"/>
          <w:sz w:val="22"/>
          <w:szCs w:val="22"/>
        </w:rPr>
      </w:pPr>
    </w:p>
    <w:p w14:paraId="7C608058"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Ha a munkáltatónál van olyan munkakör, amelynek ellátására az (1) bekezdésben említett közalkalmazott alkalmas, a közalkalmazotti jogviszonyt mindaddig nem lehet felmentéssel megszüntetni, amíg a közalkalmazott ilyen munkahelyre áthelyezhető, feltéve, hogy ezt elvállalja. Nem terheli ez a kötelezettség a munkáltatót, ha a felmentés indoka – az egészségügyi alkalmatlanság esetét kivéve – a 25. § (1) bekezdésének c)-d) pontján alapul.</w:t>
      </w:r>
    </w:p>
    <w:p w14:paraId="1D28AED3" w14:textId="77777777" w:rsidR="00893D5B" w:rsidRPr="000250FA" w:rsidRDefault="00893D5B" w:rsidP="00893D5B">
      <w:pPr>
        <w:pStyle w:val="Normlstilus1norml"/>
        <w:tabs>
          <w:tab w:val="left" w:pos="9781"/>
        </w:tabs>
        <w:ind w:right="-144"/>
        <w:rPr>
          <w:b/>
          <w:bCs/>
          <w:color w:val="auto"/>
          <w:sz w:val="22"/>
          <w:szCs w:val="22"/>
        </w:rPr>
      </w:pPr>
    </w:p>
    <w:p w14:paraId="3CC79C0F" w14:textId="77777777" w:rsidR="00893D5B" w:rsidRPr="000250FA" w:rsidRDefault="00893D5B" w:rsidP="00893D5B">
      <w:pPr>
        <w:pStyle w:val="Cmsor5"/>
        <w:rPr>
          <w:color w:val="auto"/>
          <w:sz w:val="22"/>
          <w:szCs w:val="22"/>
        </w:rPr>
      </w:pPr>
      <w:bookmarkStart w:id="77" w:name="_Toc432753538"/>
      <w:r w:rsidRPr="000250FA">
        <w:rPr>
          <w:color w:val="auto"/>
          <w:sz w:val="22"/>
          <w:szCs w:val="22"/>
        </w:rPr>
        <w:t>Kivételek a felmentési tilalmak és korlátozások alól</w:t>
      </w:r>
      <w:bookmarkEnd w:id="77"/>
    </w:p>
    <w:p w14:paraId="50BAC942" w14:textId="77777777" w:rsidR="00893D5B" w:rsidRPr="000250FA" w:rsidRDefault="00893D5B" w:rsidP="00893D5B">
      <w:pPr>
        <w:pStyle w:val="Normlstilus1norml"/>
        <w:tabs>
          <w:tab w:val="left" w:pos="9781"/>
        </w:tabs>
        <w:ind w:right="-144"/>
        <w:jc w:val="center"/>
        <w:rPr>
          <w:b/>
          <w:bCs/>
          <w:i/>
          <w:color w:val="auto"/>
          <w:sz w:val="22"/>
          <w:szCs w:val="22"/>
        </w:rPr>
      </w:pPr>
    </w:p>
    <w:p w14:paraId="28C7D2B4" w14:textId="77777777" w:rsidR="00893D5B" w:rsidRPr="000250FA" w:rsidRDefault="00893D5B" w:rsidP="00893D5B">
      <w:pPr>
        <w:pStyle w:val="Normlstilus1norml"/>
        <w:tabs>
          <w:tab w:val="left" w:pos="9781"/>
        </w:tabs>
        <w:ind w:right="-144"/>
        <w:rPr>
          <w:strike/>
          <w:color w:val="auto"/>
          <w:sz w:val="22"/>
          <w:szCs w:val="22"/>
        </w:rPr>
      </w:pPr>
      <w:r w:rsidRPr="000250FA">
        <w:rPr>
          <w:b/>
          <w:bCs/>
          <w:color w:val="auto"/>
          <w:sz w:val="22"/>
          <w:szCs w:val="22"/>
        </w:rPr>
        <w:t>27/A.§</w:t>
      </w:r>
      <w:r w:rsidRPr="00A5211E">
        <w:rPr>
          <w:rStyle w:val="Lbjegyzet-hivatkozs"/>
          <w:bCs/>
          <w:color w:val="auto"/>
          <w:sz w:val="22"/>
          <w:szCs w:val="22"/>
        </w:rPr>
        <w:footnoteReference w:id="120"/>
      </w:r>
      <w:r w:rsidRPr="00A5211E">
        <w:rPr>
          <w:bCs/>
          <w:color w:val="auto"/>
          <w:sz w:val="22"/>
          <w:szCs w:val="22"/>
        </w:rPr>
        <w:t xml:space="preserve"> </w:t>
      </w:r>
      <w:r w:rsidRPr="00A5211E">
        <w:rPr>
          <w:rStyle w:val="Lbjegyzet-hivatkozs"/>
          <w:bCs/>
          <w:color w:val="auto"/>
          <w:sz w:val="22"/>
          <w:szCs w:val="22"/>
        </w:rPr>
        <w:footnoteReference w:id="121"/>
      </w:r>
      <w:r w:rsidRPr="00A5211E">
        <w:rPr>
          <w:bCs/>
          <w:i/>
          <w:color w:val="auto"/>
          <w:sz w:val="22"/>
          <w:szCs w:val="22"/>
        </w:rPr>
        <w:t xml:space="preserve"> </w:t>
      </w:r>
      <w:r w:rsidRPr="000250FA">
        <w:rPr>
          <w:color w:val="auto"/>
          <w:sz w:val="22"/>
          <w:szCs w:val="22"/>
        </w:rPr>
        <w:t xml:space="preserve">(1) </w:t>
      </w:r>
      <w:proofErr w:type="gramStart"/>
      <w:r w:rsidRPr="000250FA">
        <w:rPr>
          <w:color w:val="auto"/>
          <w:sz w:val="22"/>
          <w:szCs w:val="22"/>
        </w:rPr>
        <w:t>A</w:t>
      </w:r>
      <w:proofErr w:type="gramEnd"/>
      <w:r w:rsidRPr="000250FA">
        <w:rPr>
          <w:color w:val="auto"/>
          <w:sz w:val="22"/>
          <w:szCs w:val="22"/>
        </w:rPr>
        <w:t xml:space="preserve"> nyugdíjasnak nem minősülő közalkalmazott határozatlan tartamú közalkalmazotti jogviszonya a közalkalmazottra irányadó öregségi nyugdíjkorhatár betöltését megelőző öt éven belül, valamint az anya vagy a gyermekét egyedül nevelő apa közalkalmazotti jogviszonya a gyermek hároméves koráig, ha a közalkalmazott szülési vagy a gyermek gondozása céljából fizetés nélküli szabadságot (Mt. 128. §) nem vesz igénybe, az alábbi esetekben szüntethető meg:</w:t>
      </w:r>
    </w:p>
    <w:p w14:paraId="14EB022F" w14:textId="77777777" w:rsidR="00893D5B" w:rsidRPr="000250FA" w:rsidRDefault="00893D5B" w:rsidP="00912564">
      <w:pPr>
        <w:numPr>
          <w:ilvl w:val="0"/>
          <w:numId w:val="33"/>
        </w:numPr>
        <w:jc w:val="both"/>
        <w:rPr>
          <w:sz w:val="22"/>
          <w:szCs w:val="22"/>
        </w:rPr>
      </w:pPr>
      <w:r w:rsidRPr="000250FA">
        <w:rPr>
          <w:sz w:val="22"/>
          <w:szCs w:val="22"/>
        </w:rPr>
        <w:t>a közalkalmazott közalkalmazotti jogviszonyból származó lényeges kötelezettségét szándékosan vagy súlyos gondatlansággal jelentős mértékben megszegi, vagy</w:t>
      </w:r>
    </w:p>
    <w:p w14:paraId="16BF80CB" w14:textId="77777777" w:rsidR="00893D5B" w:rsidRPr="000250FA" w:rsidRDefault="00893D5B" w:rsidP="00912564">
      <w:pPr>
        <w:numPr>
          <w:ilvl w:val="0"/>
          <w:numId w:val="33"/>
        </w:numPr>
        <w:jc w:val="both"/>
        <w:rPr>
          <w:sz w:val="22"/>
          <w:szCs w:val="22"/>
        </w:rPr>
      </w:pPr>
      <w:r w:rsidRPr="000250FA">
        <w:rPr>
          <w:sz w:val="22"/>
          <w:szCs w:val="22"/>
        </w:rPr>
        <w:t>egyébként olyan magatartást tanúsít, amely a közalkalmazotti jogviszony fenntartását lehetetlenné teszi azonnali hatályú felmentéssel;</w:t>
      </w:r>
    </w:p>
    <w:p w14:paraId="4BBCBCAB" w14:textId="77777777" w:rsidR="00893D5B" w:rsidRPr="000250FA" w:rsidRDefault="00893D5B" w:rsidP="00912564">
      <w:pPr>
        <w:numPr>
          <w:ilvl w:val="0"/>
          <w:numId w:val="33"/>
        </w:numPr>
        <w:jc w:val="both"/>
        <w:rPr>
          <w:sz w:val="22"/>
          <w:szCs w:val="22"/>
        </w:rPr>
      </w:pPr>
      <w:r w:rsidRPr="000250FA">
        <w:rPr>
          <w:sz w:val="22"/>
          <w:szCs w:val="22"/>
        </w:rPr>
        <w:lastRenderedPageBreak/>
        <w:t>a közalkalmazott képességével vagy a munkáltató működésével összefüggő okból, ha a munkáltatónál az Mt. 45. § (3) bekezdése szerinti munkahelyen nincs a közalkalmazott által betöltött munkakörhöz szükséges képességnek, végzettségnek, gyakorlatnak megfelelő betöltetlen másik munkakör vagy a közalkalmazott az e munkakörben való foglalkoztatásra irányuló ajánlatot elutasítja.</w:t>
      </w:r>
    </w:p>
    <w:p w14:paraId="229ECC8E" w14:textId="77777777" w:rsidR="00893D5B" w:rsidRPr="000250FA" w:rsidRDefault="00893D5B" w:rsidP="00893D5B">
      <w:pPr>
        <w:pStyle w:val="NormlWeb"/>
        <w:tabs>
          <w:tab w:val="left" w:pos="9781"/>
        </w:tabs>
        <w:spacing w:before="0" w:beforeAutospacing="0" w:after="0" w:afterAutospacing="0"/>
        <w:ind w:left="150" w:right="-144"/>
        <w:jc w:val="both"/>
        <w:rPr>
          <w:sz w:val="22"/>
          <w:szCs w:val="22"/>
        </w:rPr>
      </w:pPr>
    </w:p>
    <w:p w14:paraId="411A34A9" w14:textId="77777777" w:rsidR="00893D5B" w:rsidRPr="000250FA" w:rsidRDefault="00893D5B" w:rsidP="00893D5B">
      <w:pPr>
        <w:pStyle w:val="NormlWeb"/>
        <w:tabs>
          <w:tab w:val="left" w:pos="9781"/>
        </w:tabs>
        <w:spacing w:before="0" w:beforeAutospacing="0" w:after="0" w:afterAutospacing="0"/>
        <w:ind w:left="150" w:right="-144"/>
        <w:jc w:val="both"/>
        <w:rPr>
          <w:sz w:val="22"/>
          <w:szCs w:val="22"/>
        </w:rPr>
      </w:pPr>
      <w:bookmarkStart w:id="78" w:name="pr330"/>
      <w:bookmarkEnd w:id="78"/>
      <w:r w:rsidRPr="000250FA">
        <w:rPr>
          <w:sz w:val="22"/>
          <w:szCs w:val="22"/>
        </w:rPr>
        <w:t>(2) A munkáltató a rehabilitációs ellátásban vagy rehabilitációs járadékban részesülő közalkalmazott közalkalmazotti jogviszonyát a közalkalmazott egészségi okkal összefüggő képességével indokolt felmentéssel akkor szüntetheti meg, ha a közalkalmazott eredeti munkakörében nem foglalkoztatható tovább és a közalkalmazott számára állapotának egészségi szempontból megfelelő munkakört nem tud felajánlani, vagy a közalkalmazott a felajánlott munkakört alapos ok nélkül nem fogadja el.</w:t>
      </w:r>
    </w:p>
    <w:p w14:paraId="2562FF67" w14:textId="77777777" w:rsidR="00893D5B" w:rsidRPr="000250FA" w:rsidRDefault="00893D5B" w:rsidP="00893D5B">
      <w:pPr>
        <w:pStyle w:val="Normlstilus1norml"/>
        <w:tabs>
          <w:tab w:val="left" w:pos="9781"/>
        </w:tabs>
        <w:ind w:right="-144"/>
        <w:rPr>
          <w:b/>
          <w:bCs/>
          <w:color w:val="auto"/>
          <w:sz w:val="22"/>
          <w:szCs w:val="22"/>
        </w:rPr>
      </w:pPr>
    </w:p>
    <w:p w14:paraId="54B9EDEE" w14:textId="77777777" w:rsidR="00BD6AF1" w:rsidRDefault="00BD6AF1" w:rsidP="00893D5B">
      <w:pPr>
        <w:pStyle w:val="Cmsor5"/>
        <w:rPr>
          <w:color w:val="auto"/>
          <w:sz w:val="22"/>
          <w:szCs w:val="22"/>
        </w:rPr>
      </w:pPr>
      <w:bookmarkStart w:id="79" w:name="_Toc432753539"/>
    </w:p>
    <w:p w14:paraId="087A2C5A" w14:textId="77777777" w:rsidR="00BD6AF1" w:rsidRDefault="00BD6AF1" w:rsidP="00893D5B">
      <w:pPr>
        <w:pStyle w:val="Cmsor5"/>
        <w:rPr>
          <w:color w:val="auto"/>
          <w:sz w:val="22"/>
          <w:szCs w:val="22"/>
        </w:rPr>
      </w:pPr>
    </w:p>
    <w:p w14:paraId="7F1DBC7B" w14:textId="77777777" w:rsidR="00BD6AF1" w:rsidRDefault="00BD6AF1" w:rsidP="00893D5B">
      <w:pPr>
        <w:pStyle w:val="Cmsor5"/>
        <w:rPr>
          <w:color w:val="auto"/>
          <w:sz w:val="22"/>
          <w:szCs w:val="22"/>
        </w:rPr>
      </w:pPr>
    </w:p>
    <w:p w14:paraId="1A52B1D5" w14:textId="77777777" w:rsidR="00BD6AF1" w:rsidRDefault="00BD6AF1" w:rsidP="00893D5B">
      <w:pPr>
        <w:pStyle w:val="Cmsor5"/>
        <w:rPr>
          <w:color w:val="auto"/>
          <w:sz w:val="22"/>
          <w:szCs w:val="22"/>
        </w:rPr>
      </w:pPr>
    </w:p>
    <w:p w14:paraId="61ECDB3F" w14:textId="0918DFE9" w:rsidR="00893D5B" w:rsidRPr="000250FA" w:rsidRDefault="00893D5B" w:rsidP="00893D5B">
      <w:pPr>
        <w:pStyle w:val="Cmsor5"/>
        <w:rPr>
          <w:color w:val="auto"/>
          <w:sz w:val="22"/>
          <w:szCs w:val="22"/>
        </w:rPr>
      </w:pPr>
      <w:r w:rsidRPr="000250FA">
        <w:rPr>
          <w:color w:val="auto"/>
          <w:sz w:val="22"/>
          <w:szCs w:val="22"/>
        </w:rPr>
        <w:t>A felmentési idő</w:t>
      </w:r>
      <w:bookmarkEnd w:id="79"/>
    </w:p>
    <w:p w14:paraId="56A3EF01" w14:textId="77777777" w:rsidR="00893D5B" w:rsidRPr="000250FA" w:rsidRDefault="00893D5B" w:rsidP="00893D5B">
      <w:pPr>
        <w:pStyle w:val="Normlstilus1norml"/>
        <w:tabs>
          <w:tab w:val="left" w:pos="9781"/>
        </w:tabs>
        <w:ind w:right="-144"/>
        <w:rPr>
          <w:color w:val="auto"/>
          <w:sz w:val="22"/>
          <w:szCs w:val="22"/>
        </w:rPr>
      </w:pPr>
    </w:p>
    <w:p w14:paraId="6A14E183"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b/>
          <w:bCs/>
          <w:sz w:val="22"/>
          <w:szCs w:val="22"/>
        </w:rPr>
        <w:t>28. §</w:t>
      </w:r>
      <w:r w:rsidRPr="000250FA">
        <w:rPr>
          <w:sz w:val="22"/>
          <w:szCs w:val="22"/>
        </w:rPr>
        <w:t xml:space="preserve"> (1)</w:t>
      </w:r>
      <w:r w:rsidRPr="000250FA">
        <w:rPr>
          <w:rStyle w:val="Lbjegyzet-hivatkozs"/>
          <w:sz w:val="22"/>
          <w:szCs w:val="22"/>
        </w:rPr>
        <w:footnoteReference w:id="122"/>
      </w:r>
      <w:r w:rsidRPr="000250FA">
        <w:rPr>
          <w:sz w:val="22"/>
          <w:szCs w:val="22"/>
        </w:rPr>
        <w:t xml:space="preserve"> Felmentés esetén a felmentési idő legalább hatvan nap, de a nyolc hónapot nem haladhatja meg. Ettől eltérően, ha a felmentés - az egészségügyi alkalmatlanság esetét kivéve - a 25. § (1) bekezdésének </w:t>
      </w:r>
      <w:r w:rsidRPr="000250FA">
        <w:rPr>
          <w:iCs/>
          <w:sz w:val="22"/>
          <w:szCs w:val="22"/>
        </w:rPr>
        <w:t xml:space="preserve">c) </w:t>
      </w:r>
      <w:r w:rsidRPr="000250FA">
        <w:rPr>
          <w:sz w:val="22"/>
          <w:szCs w:val="22"/>
        </w:rPr>
        <w:t>pontján alapul, a felmentési idő harminc nap.</w:t>
      </w:r>
    </w:p>
    <w:p w14:paraId="3E1C4ADD" w14:textId="77777777" w:rsidR="00893D5B" w:rsidRPr="000250FA" w:rsidRDefault="00893D5B" w:rsidP="00893D5B">
      <w:pPr>
        <w:pStyle w:val="Normlstilus1norml"/>
        <w:tabs>
          <w:tab w:val="left" w:pos="9781"/>
        </w:tabs>
        <w:ind w:right="-144"/>
        <w:rPr>
          <w:color w:val="auto"/>
          <w:sz w:val="22"/>
          <w:szCs w:val="22"/>
        </w:rPr>
      </w:pPr>
    </w:p>
    <w:p w14:paraId="5E70C5D1"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Ha hosszabb felmentési időben a felek nem állapodnak meg, a hatvannapos felmentési idő a közalkalmazotti jogviszonyban töltött</w:t>
      </w:r>
    </w:p>
    <w:p w14:paraId="2761D259" w14:textId="77777777" w:rsidR="00893D5B" w:rsidRPr="000250FA" w:rsidRDefault="00893D5B" w:rsidP="00893D5B">
      <w:pPr>
        <w:pStyle w:val="Normlstilus1norml"/>
        <w:tabs>
          <w:tab w:val="left" w:pos="9781"/>
        </w:tabs>
        <w:ind w:left="561" w:right="-144"/>
        <w:rPr>
          <w:color w:val="auto"/>
          <w:sz w:val="22"/>
          <w:szCs w:val="22"/>
        </w:rPr>
      </w:pPr>
    </w:p>
    <w:p w14:paraId="6ECF57A0" w14:textId="77777777" w:rsidR="00893D5B" w:rsidRPr="000250FA" w:rsidRDefault="00893D5B" w:rsidP="00912564">
      <w:pPr>
        <w:numPr>
          <w:ilvl w:val="0"/>
          <w:numId w:val="34"/>
        </w:numPr>
        <w:jc w:val="both"/>
        <w:rPr>
          <w:sz w:val="22"/>
          <w:szCs w:val="22"/>
        </w:rPr>
      </w:pPr>
      <w:r w:rsidRPr="000250FA">
        <w:rPr>
          <w:sz w:val="22"/>
          <w:szCs w:val="22"/>
        </w:rPr>
        <w:t>öt év után egy hónappal,</w:t>
      </w:r>
    </w:p>
    <w:p w14:paraId="23619747" w14:textId="77777777" w:rsidR="00893D5B" w:rsidRPr="000250FA" w:rsidRDefault="00893D5B" w:rsidP="00912564">
      <w:pPr>
        <w:numPr>
          <w:ilvl w:val="0"/>
          <w:numId w:val="34"/>
        </w:numPr>
        <w:jc w:val="both"/>
        <w:rPr>
          <w:sz w:val="22"/>
          <w:szCs w:val="22"/>
        </w:rPr>
      </w:pPr>
      <w:r w:rsidRPr="000250FA">
        <w:rPr>
          <w:sz w:val="22"/>
          <w:szCs w:val="22"/>
        </w:rPr>
        <w:t>tíz év után két hónappal,</w:t>
      </w:r>
    </w:p>
    <w:p w14:paraId="71F545E6" w14:textId="77777777" w:rsidR="00893D5B" w:rsidRPr="000250FA" w:rsidRDefault="00893D5B" w:rsidP="00912564">
      <w:pPr>
        <w:numPr>
          <w:ilvl w:val="0"/>
          <w:numId w:val="34"/>
        </w:numPr>
        <w:jc w:val="both"/>
        <w:rPr>
          <w:sz w:val="22"/>
          <w:szCs w:val="22"/>
        </w:rPr>
      </w:pPr>
      <w:r w:rsidRPr="000250FA">
        <w:rPr>
          <w:sz w:val="22"/>
          <w:szCs w:val="22"/>
        </w:rPr>
        <w:t>tizenöt év után három hónappal,</w:t>
      </w:r>
    </w:p>
    <w:p w14:paraId="698770DA" w14:textId="77777777" w:rsidR="00893D5B" w:rsidRPr="000250FA" w:rsidRDefault="00893D5B" w:rsidP="00912564">
      <w:pPr>
        <w:numPr>
          <w:ilvl w:val="0"/>
          <w:numId w:val="34"/>
        </w:numPr>
        <w:jc w:val="both"/>
        <w:rPr>
          <w:sz w:val="22"/>
          <w:szCs w:val="22"/>
        </w:rPr>
      </w:pPr>
      <w:r w:rsidRPr="000250FA">
        <w:rPr>
          <w:sz w:val="22"/>
          <w:szCs w:val="22"/>
        </w:rPr>
        <w:t>húsz év után négy hónappal,</w:t>
      </w:r>
    </w:p>
    <w:p w14:paraId="0C015568" w14:textId="77777777" w:rsidR="00893D5B" w:rsidRPr="000250FA" w:rsidRDefault="00893D5B" w:rsidP="00912564">
      <w:pPr>
        <w:numPr>
          <w:ilvl w:val="0"/>
          <w:numId w:val="34"/>
        </w:numPr>
        <w:jc w:val="both"/>
        <w:rPr>
          <w:sz w:val="22"/>
          <w:szCs w:val="22"/>
        </w:rPr>
      </w:pPr>
      <w:r w:rsidRPr="000250FA">
        <w:rPr>
          <w:sz w:val="22"/>
          <w:szCs w:val="22"/>
        </w:rPr>
        <w:t>huszonöt év után öt hónappal,</w:t>
      </w:r>
    </w:p>
    <w:p w14:paraId="2A363413" w14:textId="77777777" w:rsidR="00893D5B" w:rsidRPr="000250FA" w:rsidRDefault="00893D5B" w:rsidP="00912564">
      <w:pPr>
        <w:numPr>
          <w:ilvl w:val="0"/>
          <w:numId w:val="34"/>
        </w:numPr>
        <w:jc w:val="both"/>
        <w:rPr>
          <w:sz w:val="22"/>
          <w:szCs w:val="22"/>
        </w:rPr>
      </w:pPr>
      <w:r w:rsidRPr="000250FA">
        <w:rPr>
          <w:sz w:val="22"/>
          <w:szCs w:val="22"/>
        </w:rPr>
        <w:t>harminc év után hat hónappal</w:t>
      </w:r>
    </w:p>
    <w:p w14:paraId="7C7886B4" w14:textId="77777777" w:rsidR="00893D5B" w:rsidRPr="000250FA" w:rsidRDefault="00893D5B" w:rsidP="00893D5B">
      <w:pPr>
        <w:pStyle w:val="Normlstilus1norml"/>
        <w:tabs>
          <w:tab w:val="left" w:pos="9781"/>
        </w:tabs>
        <w:ind w:right="-144"/>
        <w:rPr>
          <w:color w:val="auto"/>
          <w:sz w:val="22"/>
          <w:szCs w:val="22"/>
        </w:rPr>
      </w:pPr>
    </w:p>
    <w:p w14:paraId="36D4A45F" w14:textId="77777777" w:rsidR="00893D5B" w:rsidRPr="000250FA" w:rsidRDefault="00893D5B" w:rsidP="00893D5B">
      <w:pPr>
        <w:pStyle w:val="Normlstilus1norml"/>
        <w:tabs>
          <w:tab w:val="left" w:pos="9781"/>
        </w:tabs>
        <w:ind w:right="-144"/>
        <w:rPr>
          <w:color w:val="auto"/>
          <w:sz w:val="22"/>
          <w:szCs w:val="22"/>
        </w:rPr>
      </w:pPr>
      <w:proofErr w:type="gramStart"/>
      <w:r w:rsidRPr="000250FA">
        <w:rPr>
          <w:color w:val="auto"/>
          <w:sz w:val="22"/>
          <w:szCs w:val="22"/>
        </w:rPr>
        <w:t>meghosszabbodik</w:t>
      </w:r>
      <w:proofErr w:type="gramEnd"/>
      <w:r w:rsidRPr="000250FA">
        <w:rPr>
          <w:color w:val="auto"/>
          <w:sz w:val="22"/>
          <w:szCs w:val="22"/>
        </w:rPr>
        <w:t>.</w:t>
      </w:r>
    </w:p>
    <w:p w14:paraId="16B2A974" w14:textId="77777777" w:rsidR="00893D5B" w:rsidRPr="000250FA" w:rsidRDefault="00893D5B" w:rsidP="00893D5B">
      <w:pPr>
        <w:pStyle w:val="Normlstilus1norml"/>
        <w:tabs>
          <w:tab w:val="left" w:pos="9781"/>
        </w:tabs>
        <w:ind w:right="-144"/>
        <w:rPr>
          <w:color w:val="auto"/>
          <w:sz w:val="22"/>
          <w:szCs w:val="22"/>
        </w:rPr>
      </w:pPr>
    </w:p>
    <w:p w14:paraId="5F1B91EB"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(3) A munkáltató legalább a felmentési idő felére köteles a közalkalmazottat mentesíteni a munkavégzés alól. A munkavégzés alól a közalkalmazottat – a </w:t>
      </w:r>
      <w:proofErr w:type="gramStart"/>
      <w:r w:rsidRPr="000250FA">
        <w:rPr>
          <w:color w:val="auto"/>
          <w:sz w:val="22"/>
          <w:szCs w:val="22"/>
        </w:rPr>
        <w:t>mentesítési</w:t>
      </w:r>
      <w:proofErr w:type="gramEnd"/>
      <w:r w:rsidRPr="000250FA">
        <w:rPr>
          <w:color w:val="auto"/>
          <w:sz w:val="22"/>
          <w:szCs w:val="22"/>
        </w:rPr>
        <w:t xml:space="preserve"> idő legalább felének megfelelő időtartamban – a kívánságának megfelelő időben és részletekben kell felmenteni.</w:t>
      </w:r>
    </w:p>
    <w:p w14:paraId="3FB9C8DA" w14:textId="77777777" w:rsidR="00893D5B" w:rsidRPr="000250FA" w:rsidRDefault="00893D5B" w:rsidP="00893D5B">
      <w:pPr>
        <w:pStyle w:val="Normlstilus1norml"/>
        <w:tabs>
          <w:tab w:val="left" w:pos="9781"/>
        </w:tabs>
        <w:ind w:right="-144"/>
        <w:rPr>
          <w:bCs/>
          <w:color w:val="auto"/>
          <w:sz w:val="22"/>
          <w:szCs w:val="22"/>
        </w:rPr>
      </w:pPr>
    </w:p>
    <w:p w14:paraId="555B1CEC" w14:textId="77777777" w:rsidR="00893D5B" w:rsidRPr="000250FA" w:rsidRDefault="00893D5B" w:rsidP="00893D5B">
      <w:pPr>
        <w:jc w:val="both"/>
        <w:rPr>
          <w:bCs/>
          <w:sz w:val="22"/>
          <w:szCs w:val="22"/>
        </w:rPr>
      </w:pPr>
      <w:r w:rsidRPr="00A5211E">
        <w:rPr>
          <w:b/>
          <w:bCs/>
          <w:sz w:val="22"/>
          <w:szCs w:val="22"/>
        </w:rPr>
        <w:t>29. §</w:t>
      </w:r>
      <w:r w:rsidRPr="000250FA">
        <w:rPr>
          <w:bCs/>
          <w:sz w:val="22"/>
          <w:szCs w:val="22"/>
        </w:rPr>
        <w:t xml:space="preserve"> Ha a közalkalmazott a munkavégzési kötelezettség alóli </w:t>
      </w:r>
      <w:proofErr w:type="gramStart"/>
      <w:r w:rsidRPr="000250FA">
        <w:rPr>
          <w:bCs/>
          <w:sz w:val="22"/>
          <w:szCs w:val="22"/>
        </w:rPr>
        <w:t>mentesítés</w:t>
      </w:r>
      <w:proofErr w:type="gramEnd"/>
      <w:r w:rsidRPr="000250FA">
        <w:rPr>
          <w:bCs/>
          <w:sz w:val="22"/>
          <w:szCs w:val="22"/>
        </w:rPr>
        <w:t xml:space="preserve"> ideje alatt bármely költségvetési szervvel vagy költségvetési szerv legalább többségi befolyása alatt álló bármely gazdálkodó szervezettel teljes vagy részmunkaidős jogviszonyt létesít,</w:t>
      </w:r>
    </w:p>
    <w:p w14:paraId="23717FC0" w14:textId="77777777" w:rsidR="00893D5B" w:rsidRPr="000250FA" w:rsidRDefault="00893D5B" w:rsidP="00893D5B">
      <w:pPr>
        <w:jc w:val="both"/>
        <w:rPr>
          <w:bCs/>
          <w:iCs/>
          <w:sz w:val="22"/>
          <w:szCs w:val="22"/>
        </w:rPr>
      </w:pPr>
    </w:p>
    <w:p w14:paraId="543E9F72" w14:textId="77777777" w:rsidR="00893D5B" w:rsidRPr="000250FA" w:rsidRDefault="00893D5B" w:rsidP="00A5211E">
      <w:pPr>
        <w:ind w:left="426"/>
        <w:jc w:val="both"/>
        <w:rPr>
          <w:bCs/>
          <w:sz w:val="22"/>
          <w:szCs w:val="22"/>
        </w:rPr>
      </w:pPr>
      <w:proofErr w:type="gramStart"/>
      <w:r w:rsidRPr="000250FA">
        <w:rPr>
          <w:bCs/>
          <w:iCs/>
          <w:sz w:val="22"/>
          <w:szCs w:val="22"/>
        </w:rPr>
        <w:t>a</w:t>
      </w:r>
      <w:proofErr w:type="gramEnd"/>
      <w:r w:rsidRPr="000250FA">
        <w:rPr>
          <w:bCs/>
          <w:iCs/>
          <w:sz w:val="22"/>
          <w:szCs w:val="22"/>
        </w:rPr>
        <w:t xml:space="preserve">) </w:t>
      </w:r>
      <w:r w:rsidRPr="000250FA">
        <w:rPr>
          <w:bCs/>
          <w:sz w:val="22"/>
          <w:szCs w:val="22"/>
        </w:rPr>
        <w:t>ezt a tényt korábbi munkáltatójának haladéktalanul köteles írásban bejelenteni,</w:t>
      </w:r>
    </w:p>
    <w:p w14:paraId="0177C92F" w14:textId="77777777" w:rsidR="00893D5B" w:rsidRPr="000250FA" w:rsidRDefault="00893D5B" w:rsidP="00A5211E">
      <w:pPr>
        <w:ind w:left="426"/>
        <w:jc w:val="both"/>
        <w:rPr>
          <w:bCs/>
          <w:sz w:val="22"/>
          <w:szCs w:val="22"/>
        </w:rPr>
      </w:pPr>
      <w:r w:rsidRPr="000250FA">
        <w:rPr>
          <w:bCs/>
          <w:iCs/>
          <w:sz w:val="22"/>
          <w:szCs w:val="22"/>
        </w:rPr>
        <w:t>b)</w:t>
      </w:r>
      <w:r w:rsidRPr="000250FA">
        <w:rPr>
          <w:rStyle w:val="Lbjegyzet-hivatkozs"/>
          <w:bCs/>
          <w:iCs/>
          <w:sz w:val="22"/>
          <w:szCs w:val="22"/>
        </w:rPr>
        <w:footnoteReference w:id="123"/>
      </w:r>
      <w:r w:rsidRPr="000250FA">
        <w:rPr>
          <w:bCs/>
          <w:iCs/>
          <w:sz w:val="22"/>
          <w:szCs w:val="22"/>
        </w:rPr>
        <w:t xml:space="preserve"> </w:t>
      </w:r>
      <w:r w:rsidRPr="000250FA">
        <w:rPr>
          <w:bCs/>
          <w:sz w:val="22"/>
          <w:szCs w:val="22"/>
        </w:rPr>
        <w:t>a felmentési időből hátralevő idő tekintetében távolléti díjra nem jogosult,</w:t>
      </w:r>
    </w:p>
    <w:p w14:paraId="6B6DD1B6" w14:textId="77777777" w:rsidR="00893D5B" w:rsidRPr="000250FA" w:rsidRDefault="00893D5B" w:rsidP="00A5211E">
      <w:pPr>
        <w:ind w:left="426"/>
        <w:jc w:val="both"/>
        <w:rPr>
          <w:bCs/>
          <w:sz w:val="22"/>
          <w:szCs w:val="22"/>
        </w:rPr>
      </w:pPr>
      <w:r w:rsidRPr="000250FA">
        <w:rPr>
          <w:bCs/>
          <w:iCs/>
          <w:sz w:val="22"/>
          <w:szCs w:val="22"/>
        </w:rPr>
        <w:t xml:space="preserve">c) </w:t>
      </w:r>
      <w:r w:rsidRPr="000250FA">
        <w:rPr>
          <w:bCs/>
          <w:sz w:val="22"/>
          <w:szCs w:val="22"/>
        </w:rPr>
        <w:t>végkielégítésre nem jogosult, azonban új jogviszonyában a végkielégítés alapjául szolgáló időszak számítása során a felmentéssel megszüntetett jogviszony alapján végkielégítésre jogosító idejét is számításba kell venni.</w:t>
      </w:r>
    </w:p>
    <w:p w14:paraId="49916888" w14:textId="76613F89" w:rsidR="00893D5B" w:rsidRPr="000250FA" w:rsidRDefault="00893D5B" w:rsidP="00BD6AF1">
      <w:pPr>
        <w:spacing w:after="160" w:line="259" w:lineRule="auto"/>
        <w:rPr>
          <w:b/>
          <w:sz w:val="22"/>
          <w:szCs w:val="22"/>
        </w:rPr>
      </w:pPr>
    </w:p>
    <w:p w14:paraId="6A63F7B4" w14:textId="77777777" w:rsidR="00893D5B" w:rsidRPr="000250FA" w:rsidRDefault="00893D5B" w:rsidP="00893D5B">
      <w:pPr>
        <w:pStyle w:val="Cmsor4"/>
      </w:pPr>
      <w:bookmarkStart w:id="80" w:name="_Toc432753540"/>
      <w:r w:rsidRPr="000250FA">
        <w:t>Rendkívüli felmentés</w:t>
      </w:r>
      <w:r w:rsidRPr="000250FA">
        <w:rPr>
          <w:rStyle w:val="Lbjegyzet-hivatkozs"/>
          <w:b w:val="0"/>
        </w:rPr>
        <w:footnoteReference w:id="124"/>
      </w:r>
      <w:bookmarkEnd w:id="80"/>
    </w:p>
    <w:p w14:paraId="1822AD7A" w14:textId="77777777" w:rsidR="00893D5B" w:rsidRPr="000250FA" w:rsidRDefault="00893D5B" w:rsidP="00893D5B">
      <w:pPr>
        <w:tabs>
          <w:tab w:val="left" w:pos="9781"/>
        </w:tabs>
        <w:autoSpaceDE w:val="0"/>
        <w:autoSpaceDN w:val="0"/>
        <w:adjustRightInd w:val="0"/>
        <w:ind w:right="-144"/>
        <w:rPr>
          <w:b/>
          <w:i/>
          <w:sz w:val="22"/>
          <w:szCs w:val="22"/>
        </w:rPr>
      </w:pPr>
    </w:p>
    <w:p w14:paraId="0565E92E" w14:textId="77777777" w:rsidR="00893D5B" w:rsidRPr="000250FA" w:rsidRDefault="00893D5B" w:rsidP="00893D5B">
      <w:pPr>
        <w:jc w:val="both"/>
        <w:rPr>
          <w:bCs/>
          <w:sz w:val="22"/>
          <w:szCs w:val="22"/>
        </w:rPr>
      </w:pPr>
      <w:r w:rsidRPr="000250FA">
        <w:rPr>
          <w:b/>
          <w:sz w:val="22"/>
          <w:szCs w:val="22"/>
        </w:rPr>
        <w:lastRenderedPageBreak/>
        <w:t>29/</w:t>
      </w:r>
      <w:proofErr w:type="gramStart"/>
      <w:r w:rsidRPr="000250FA">
        <w:rPr>
          <w:b/>
          <w:sz w:val="22"/>
          <w:szCs w:val="22"/>
        </w:rPr>
        <w:t>A</w:t>
      </w:r>
      <w:r w:rsidRPr="000250FA">
        <w:rPr>
          <w:sz w:val="22"/>
          <w:szCs w:val="22"/>
        </w:rPr>
        <w:t>.</w:t>
      </w:r>
      <w:proofErr w:type="gramEnd"/>
      <w:r w:rsidRPr="000250FA">
        <w:rPr>
          <w:sz w:val="22"/>
          <w:szCs w:val="22"/>
        </w:rPr>
        <w:t xml:space="preserve"> §</w:t>
      </w:r>
      <w:r w:rsidRPr="000250FA">
        <w:rPr>
          <w:i/>
          <w:sz w:val="22"/>
          <w:szCs w:val="22"/>
        </w:rPr>
        <w:t xml:space="preserve"> </w:t>
      </w:r>
      <w:r w:rsidRPr="000250FA">
        <w:rPr>
          <w:bCs/>
          <w:sz w:val="22"/>
          <w:szCs w:val="22"/>
        </w:rPr>
        <w:t>(1)</w:t>
      </w:r>
      <w:r w:rsidRPr="000250FA">
        <w:rPr>
          <w:rStyle w:val="Lbjegyzet-hivatkozs"/>
          <w:bCs/>
          <w:sz w:val="22"/>
          <w:szCs w:val="22"/>
        </w:rPr>
        <w:footnoteReference w:id="125"/>
      </w:r>
      <w:r w:rsidRPr="000250FA">
        <w:rPr>
          <w:bCs/>
          <w:sz w:val="22"/>
          <w:szCs w:val="22"/>
        </w:rPr>
        <w:t xml:space="preserve"> A munkáltató a közalkalmazotti jogviszonyt rendkívüli felmentéssel megszüntetheti, ha a közalkalmazott</w:t>
      </w:r>
    </w:p>
    <w:p w14:paraId="31AF449B" w14:textId="77777777" w:rsidR="00893D5B" w:rsidRPr="000250FA" w:rsidRDefault="00893D5B" w:rsidP="00893D5B">
      <w:pPr>
        <w:jc w:val="both"/>
        <w:rPr>
          <w:bCs/>
          <w:iCs/>
          <w:sz w:val="22"/>
          <w:szCs w:val="22"/>
        </w:rPr>
      </w:pPr>
    </w:p>
    <w:p w14:paraId="2BE7BF4F" w14:textId="77777777" w:rsidR="00893D5B" w:rsidRPr="000250FA" w:rsidRDefault="00893D5B" w:rsidP="00912564">
      <w:pPr>
        <w:numPr>
          <w:ilvl w:val="0"/>
          <w:numId w:val="35"/>
        </w:numPr>
        <w:jc w:val="both"/>
        <w:rPr>
          <w:sz w:val="22"/>
          <w:szCs w:val="22"/>
        </w:rPr>
      </w:pPr>
      <w:r w:rsidRPr="000250FA">
        <w:rPr>
          <w:sz w:val="22"/>
          <w:szCs w:val="22"/>
        </w:rPr>
        <w:t>a közalkalmazotti jogviszonyból eredő lényeges kötelezettségét szándékosan vagy súlyos gondatlansággal jelentős mértékben megszegi, vagy</w:t>
      </w:r>
    </w:p>
    <w:p w14:paraId="74A2FABC" w14:textId="77777777" w:rsidR="00893D5B" w:rsidRPr="000250FA" w:rsidRDefault="00893D5B" w:rsidP="00912564">
      <w:pPr>
        <w:numPr>
          <w:ilvl w:val="0"/>
          <w:numId w:val="35"/>
        </w:numPr>
        <w:jc w:val="both"/>
        <w:rPr>
          <w:sz w:val="22"/>
          <w:szCs w:val="22"/>
        </w:rPr>
      </w:pPr>
      <w:r w:rsidRPr="000250FA">
        <w:rPr>
          <w:sz w:val="22"/>
          <w:szCs w:val="22"/>
        </w:rPr>
        <w:t>olyan magatartást tanúsít, amely a közalkalmazotti jogviszony fenntartását lehetetlenné teszi.</w:t>
      </w:r>
    </w:p>
    <w:p w14:paraId="2B79F19D" w14:textId="77777777" w:rsidR="00893D5B" w:rsidRPr="000250FA" w:rsidRDefault="00893D5B" w:rsidP="00893D5B">
      <w:pPr>
        <w:jc w:val="both"/>
        <w:rPr>
          <w:sz w:val="22"/>
          <w:szCs w:val="22"/>
        </w:rPr>
      </w:pPr>
    </w:p>
    <w:p w14:paraId="0036DC7F" w14:textId="77777777" w:rsidR="00893D5B" w:rsidRPr="000250FA" w:rsidRDefault="00893D5B" w:rsidP="00893D5B">
      <w:pPr>
        <w:jc w:val="both"/>
        <w:rPr>
          <w:bCs/>
          <w:sz w:val="22"/>
          <w:szCs w:val="22"/>
        </w:rPr>
      </w:pPr>
      <w:r w:rsidRPr="000250FA">
        <w:rPr>
          <w:bCs/>
          <w:sz w:val="22"/>
          <w:szCs w:val="22"/>
        </w:rPr>
        <w:t xml:space="preserve">(2) A munkáltató köteles a rendkívüli felmentést megindokolni. Az indokolásból a rendkívüli felmentés okának világosan ki kell tűnnie. Vita esetén a rendkívüli felmentés indokának valóságát és okszerűségét a munkáltatónak kell bizonyítania. A rendkívüli felmentés közlése előtt lehetőséget kell adni a közalkalmazottnak a tervezett intézkedés indokainak megismerésére és a vele szemben felhozott </w:t>
      </w:r>
      <w:proofErr w:type="gramStart"/>
      <w:r w:rsidRPr="000250FA">
        <w:rPr>
          <w:bCs/>
          <w:sz w:val="22"/>
          <w:szCs w:val="22"/>
        </w:rPr>
        <w:t>kifogások</w:t>
      </w:r>
      <w:proofErr w:type="gramEnd"/>
      <w:r w:rsidRPr="000250FA">
        <w:rPr>
          <w:bCs/>
          <w:sz w:val="22"/>
          <w:szCs w:val="22"/>
        </w:rPr>
        <w:t xml:space="preserve"> elleni védekezésre, kivéve, ha az eset összes körülményeiből következően ez a munkáltatótól nem várható el.</w:t>
      </w:r>
    </w:p>
    <w:p w14:paraId="53B59A0D" w14:textId="77777777" w:rsidR="00893D5B" w:rsidRPr="000250FA" w:rsidRDefault="00893D5B" w:rsidP="00893D5B">
      <w:pPr>
        <w:jc w:val="both"/>
        <w:rPr>
          <w:bCs/>
          <w:sz w:val="22"/>
          <w:szCs w:val="22"/>
        </w:rPr>
      </w:pPr>
    </w:p>
    <w:p w14:paraId="78E3BB1D" w14:textId="77777777" w:rsidR="00893D5B" w:rsidRPr="000250FA" w:rsidRDefault="00893D5B" w:rsidP="00893D5B">
      <w:pPr>
        <w:jc w:val="both"/>
        <w:rPr>
          <w:bCs/>
          <w:sz w:val="22"/>
          <w:szCs w:val="22"/>
        </w:rPr>
      </w:pPr>
      <w:r w:rsidRPr="000250FA">
        <w:rPr>
          <w:bCs/>
          <w:sz w:val="22"/>
          <w:szCs w:val="22"/>
        </w:rPr>
        <w:t>(3) A rendkívüli felmentés jogát az annak alapjául szolgáló okról való tudomásszerzéstől számított tizenöt napon belül, legfeljebb azonban az ok bekövetkeztétől számított egy éven belül, bűncselekmény elkövetése esetén a büntetőeljárás megindítására nyitva álló elévülési idő alatt lehet gyakorolni.</w:t>
      </w:r>
    </w:p>
    <w:p w14:paraId="538E4052" w14:textId="77777777" w:rsidR="00893D5B" w:rsidRPr="000250FA" w:rsidRDefault="00893D5B" w:rsidP="00893D5B">
      <w:pPr>
        <w:jc w:val="both"/>
        <w:rPr>
          <w:bCs/>
          <w:sz w:val="22"/>
          <w:szCs w:val="22"/>
        </w:rPr>
      </w:pPr>
    </w:p>
    <w:p w14:paraId="13465C23" w14:textId="77777777" w:rsidR="00893D5B" w:rsidRPr="000250FA" w:rsidRDefault="00893D5B" w:rsidP="00893D5B">
      <w:pPr>
        <w:jc w:val="both"/>
        <w:rPr>
          <w:bCs/>
          <w:sz w:val="22"/>
          <w:szCs w:val="22"/>
        </w:rPr>
      </w:pPr>
      <w:r w:rsidRPr="000250FA">
        <w:rPr>
          <w:bCs/>
          <w:sz w:val="22"/>
          <w:szCs w:val="22"/>
        </w:rPr>
        <w:t>(4) Rendkívüli felmentés esetén - a törvényben előírt kivételektől eltekintve - a felmentés szabályai nem alkalmazhatók.</w:t>
      </w:r>
    </w:p>
    <w:p w14:paraId="0D497619" w14:textId="77777777" w:rsidR="00893D5B" w:rsidRPr="000250FA" w:rsidRDefault="00893D5B" w:rsidP="00893D5B">
      <w:pPr>
        <w:pStyle w:val="Normlstilus1norml"/>
        <w:tabs>
          <w:tab w:val="left" w:pos="9781"/>
        </w:tabs>
        <w:ind w:right="-144"/>
        <w:jc w:val="center"/>
        <w:rPr>
          <w:b/>
          <w:i/>
          <w:color w:val="auto"/>
          <w:sz w:val="22"/>
          <w:szCs w:val="22"/>
        </w:rPr>
      </w:pPr>
    </w:p>
    <w:p w14:paraId="56444637" w14:textId="77777777" w:rsidR="00893D5B" w:rsidRPr="000250FA" w:rsidRDefault="00893D5B" w:rsidP="00893D5B">
      <w:pPr>
        <w:pStyle w:val="Cmsor4"/>
      </w:pPr>
      <w:bookmarkStart w:id="81" w:name="_Toc432753541"/>
      <w:r w:rsidRPr="000250FA">
        <w:t>Közalkalmazotti jogviszony megszűnése hatósági bizonyítvány beszerzésének elmulasztása esetén</w:t>
      </w:r>
      <w:r w:rsidRPr="000250FA">
        <w:rPr>
          <w:rStyle w:val="Lbjegyzet-hivatkozs"/>
          <w:b w:val="0"/>
        </w:rPr>
        <w:footnoteReference w:id="126"/>
      </w:r>
      <w:bookmarkEnd w:id="81"/>
    </w:p>
    <w:p w14:paraId="1446A179" w14:textId="77777777" w:rsidR="00893D5B" w:rsidRPr="000250FA" w:rsidRDefault="00893D5B" w:rsidP="00893D5B">
      <w:pPr>
        <w:pStyle w:val="Normlstilus1norml"/>
        <w:tabs>
          <w:tab w:val="left" w:pos="9781"/>
        </w:tabs>
        <w:ind w:right="-144"/>
        <w:jc w:val="center"/>
        <w:rPr>
          <w:b/>
          <w:i/>
          <w:color w:val="auto"/>
          <w:sz w:val="22"/>
          <w:szCs w:val="22"/>
        </w:rPr>
      </w:pPr>
    </w:p>
    <w:p w14:paraId="74AD4B3D"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29/B. §</w:t>
      </w:r>
      <w:r w:rsidRPr="000250FA">
        <w:rPr>
          <w:b/>
          <w:i/>
          <w:color w:val="auto"/>
          <w:sz w:val="22"/>
          <w:szCs w:val="22"/>
        </w:rPr>
        <w:t xml:space="preserve"> </w:t>
      </w:r>
      <w:r w:rsidRPr="000250FA">
        <w:rPr>
          <w:color w:val="auto"/>
          <w:sz w:val="22"/>
          <w:szCs w:val="22"/>
        </w:rPr>
        <w:t xml:space="preserve">(1) </w:t>
      </w:r>
      <w:proofErr w:type="gramStart"/>
      <w:r w:rsidRPr="000250FA">
        <w:rPr>
          <w:color w:val="auto"/>
          <w:sz w:val="22"/>
          <w:szCs w:val="22"/>
        </w:rPr>
        <w:t>A</w:t>
      </w:r>
      <w:proofErr w:type="gramEnd"/>
      <w:r w:rsidRPr="000250FA">
        <w:rPr>
          <w:color w:val="auto"/>
          <w:sz w:val="22"/>
          <w:szCs w:val="22"/>
        </w:rPr>
        <w:t xml:space="preserve"> munkáltató köteles a közalkalmazotti jogviszonyt a Munka Törvénykönyve 29. § (1)</w:t>
      </w:r>
      <w:r w:rsidRPr="000250FA">
        <w:rPr>
          <w:b/>
          <w:i/>
          <w:color w:val="auto"/>
          <w:sz w:val="22"/>
          <w:szCs w:val="22"/>
        </w:rPr>
        <w:t xml:space="preserve"> </w:t>
      </w:r>
      <w:r w:rsidRPr="000250FA">
        <w:rPr>
          <w:color w:val="auto"/>
          <w:sz w:val="22"/>
          <w:szCs w:val="22"/>
        </w:rPr>
        <w:t>bekezdése alapján azonnali hatállyal felszámolni, és az érvénytelenség jogkövetkezményeit alkalmazni, ha</w:t>
      </w:r>
    </w:p>
    <w:p w14:paraId="372C4A6A" w14:textId="77777777" w:rsidR="00893D5B" w:rsidRPr="000250FA" w:rsidRDefault="00893D5B" w:rsidP="00912564">
      <w:pPr>
        <w:numPr>
          <w:ilvl w:val="0"/>
          <w:numId w:val="36"/>
        </w:numPr>
        <w:jc w:val="both"/>
        <w:rPr>
          <w:sz w:val="22"/>
          <w:szCs w:val="22"/>
        </w:rPr>
      </w:pPr>
      <w:r w:rsidRPr="000250FA">
        <w:rPr>
          <w:sz w:val="22"/>
          <w:szCs w:val="22"/>
          <w:vertAlign w:val="superscript"/>
        </w:rPr>
        <w:footnoteReference w:id="127"/>
      </w:r>
      <w:r w:rsidRPr="000250FA">
        <w:rPr>
          <w:sz w:val="22"/>
          <w:szCs w:val="22"/>
        </w:rPr>
        <w:t>a közalkalmazott a büntetlen előéletének, illetve annak igazolására, hogy nem áll a munkakörének megfelelő vagy a munkakörének részét képező foglalkozástól eltiltás, vagy a 4.§.(2) bekezdés d) pontja szerinti büntetőeljárás hatálya alatt, vonatkozó kötelezettségének a munkáltató erre irányuló felhívásának tizenöt munkanapon belül nem tesz eleget és nem igazolja, hogy a kötelezettség elmulasztása menthető ok következménye,</w:t>
      </w:r>
    </w:p>
    <w:p w14:paraId="392F83AC" w14:textId="77777777" w:rsidR="00893D5B" w:rsidRPr="000250FA" w:rsidRDefault="00893D5B" w:rsidP="00912564">
      <w:pPr>
        <w:numPr>
          <w:ilvl w:val="0"/>
          <w:numId w:val="36"/>
        </w:numPr>
        <w:jc w:val="both"/>
        <w:rPr>
          <w:sz w:val="22"/>
          <w:szCs w:val="22"/>
        </w:rPr>
      </w:pPr>
      <w:r w:rsidRPr="000250FA">
        <w:rPr>
          <w:sz w:val="22"/>
          <w:szCs w:val="22"/>
        </w:rPr>
        <w:t>a közalkalmazott büntetett előéletét, vagy a foglalkozástól való eltiltást a munkáltató a bűnügyi nyilvántartó szerv által az igazolás céljából kiállított hatósági bizonyítvány tartalma alapján megállapítja, vagy az egyéb módon a tudomására jut.</w:t>
      </w:r>
    </w:p>
    <w:p w14:paraId="6EDB3C0B" w14:textId="77777777" w:rsidR="00893D5B" w:rsidRPr="000250FA" w:rsidRDefault="00893D5B" w:rsidP="00893D5B">
      <w:pPr>
        <w:pStyle w:val="Normlstilus1norml"/>
        <w:tabs>
          <w:tab w:val="left" w:pos="9781"/>
        </w:tabs>
        <w:ind w:right="-144"/>
        <w:rPr>
          <w:color w:val="auto"/>
          <w:sz w:val="22"/>
          <w:szCs w:val="22"/>
        </w:rPr>
      </w:pPr>
    </w:p>
    <w:p w14:paraId="6B9B54AD"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közalkalmazotti jogviszony azonnali hatályú felszámolását indokolással, írásba foglaltan kell közölni a közalkalmazottal.</w:t>
      </w:r>
    </w:p>
    <w:p w14:paraId="410C533B" w14:textId="77777777" w:rsidR="00893D5B" w:rsidRPr="000250FA" w:rsidRDefault="00893D5B" w:rsidP="00893D5B">
      <w:pPr>
        <w:tabs>
          <w:tab w:val="left" w:pos="9781"/>
        </w:tabs>
        <w:autoSpaceDE w:val="0"/>
        <w:autoSpaceDN w:val="0"/>
        <w:adjustRightInd w:val="0"/>
        <w:ind w:right="-144"/>
        <w:rPr>
          <w:sz w:val="22"/>
          <w:szCs w:val="22"/>
        </w:rPr>
      </w:pPr>
    </w:p>
    <w:p w14:paraId="10E1C4F2" w14:textId="77777777" w:rsidR="00893D5B" w:rsidRPr="000250FA" w:rsidRDefault="00893D5B" w:rsidP="00893D5B">
      <w:pPr>
        <w:pStyle w:val="Cmsor4"/>
      </w:pPr>
      <w:bookmarkStart w:id="82" w:name="_Toc432753542"/>
      <w:r w:rsidRPr="000250FA">
        <w:t>A közalkalmazotti jogviszony jogellenes megszüntetése a közalkalmazott részéről</w:t>
      </w:r>
      <w:bookmarkEnd w:id="82"/>
    </w:p>
    <w:p w14:paraId="404D2878" w14:textId="77777777" w:rsidR="00893D5B" w:rsidRPr="000250FA" w:rsidRDefault="00893D5B" w:rsidP="00893D5B">
      <w:pPr>
        <w:pStyle w:val="Normlstilus1norml"/>
        <w:tabs>
          <w:tab w:val="left" w:pos="9781"/>
        </w:tabs>
        <w:ind w:right="-144"/>
        <w:rPr>
          <w:color w:val="auto"/>
          <w:sz w:val="22"/>
          <w:szCs w:val="22"/>
        </w:rPr>
      </w:pPr>
    </w:p>
    <w:p w14:paraId="6B16520B"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30. §</w:t>
      </w:r>
      <w:r w:rsidRPr="000250FA">
        <w:rPr>
          <w:rStyle w:val="Lbjegyzet-hivatkozs"/>
          <w:b/>
          <w:bCs/>
          <w:color w:val="auto"/>
          <w:sz w:val="22"/>
          <w:szCs w:val="22"/>
        </w:rPr>
        <w:footnoteReference w:id="128"/>
      </w:r>
      <w:r w:rsidRPr="000250FA">
        <w:rPr>
          <w:color w:val="auto"/>
          <w:sz w:val="22"/>
          <w:szCs w:val="22"/>
        </w:rPr>
        <w:t xml:space="preserve"> (1)</w:t>
      </w:r>
      <w:r w:rsidRPr="000250FA">
        <w:rPr>
          <w:b/>
          <w:i/>
          <w:color w:val="auto"/>
          <w:sz w:val="22"/>
          <w:szCs w:val="22"/>
        </w:rPr>
        <w:t xml:space="preserve"> </w:t>
      </w:r>
      <w:r w:rsidRPr="000250FA">
        <w:rPr>
          <w:color w:val="auto"/>
          <w:sz w:val="22"/>
          <w:szCs w:val="22"/>
        </w:rPr>
        <w:t>Amennyiben a közalkalmazotti jogviszonyt a közalkalmazott valamely közalkalmazotti jogviszonyra vonatkozó szabály rendelkezéseinek megszegésével szünteti meg, köteles a munkáltató részére a lemondási időre járó távolléti díjának megfelelő összeget megfizetni. Amennyiben a közalkalmazotti jogviszony megszüntetése kizárólag azért jogellenes, mert a közalkalmazott a lemondási idő egy részét nem tölti le, a megtérítési kötelezettsége a le nem töltött idővel arányos.</w:t>
      </w:r>
    </w:p>
    <w:p w14:paraId="525650A7" w14:textId="77777777" w:rsidR="00893D5B" w:rsidRPr="000250FA" w:rsidRDefault="00893D5B" w:rsidP="00893D5B">
      <w:pPr>
        <w:pStyle w:val="Normlstilus1norml"/>
        <w:tabs>
          <w:tab w:val="left" w:pos="9781"/>
        </w:tabs>
        <w:ind w:right="-144"/>
        <w:rPr>
          <w:color w:val="auto"/>
          <w:sz w:val="22"/>
          <w:szCs w:val="22"/>
        </w:rPr>
      </w:pPr>
    </w:p>
    <w:p w14:paraId="5460FCCB"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lastRenderedPageBreak/>
        <w:t>(2) A közalkalmazott, ha a határozott tartamú közalkalmazotti jogviszonyát szünteti meg jogellenesen, a határozott időből még hátralévő időre járó, de legfeljebb háromhavi távolléti díjnak megfelelő összeget köteles megfizetni.</w:t>
      </w:r>
    </w:p>
    <w:p w14:paraId="27CEE7B1" w14:textId="77777777" w:rsidR="00893D5B" w:rsidRPr="000250FA" w:rsidRDefault="00893D5B" w:rsidP="00893D5B">
      <w:pPr>
        <w:pStyle w:val="Normlstilus1norml"/>
        <w:tabs>
          <w:tab w:val="left" w:pos="9781"/>
        </w:tabs>
        <w:ind w:right="-144"/>
        <w:rPr>
          <w:color w:val="auto"/>
          <w:sz w:val="22"/>
          <w:szCs w:val="22"/>
        </w:rPr>
      </w:pPr>
    </w:p>
    <w:p w14:paraId="479B3303"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Amennyiben a magasabb vezető a közalkalmazotti jogviszonyát jogellenesen szünteti meg, hathavi távolléti díjával felel.</w:t>
      </w:r>
    </w:p>
    <w:p w14:paraId="2800DF65" w14:textId="77777777" w:rsidR="00893D5B" w:rsidRPr="000250FA" w:rsidRDefault="00893D5B" w:rsidP="00893D5B">
      <w:pPr>
        <w:pStyle w:val="Normlstilus1norml"/>
        <w:tabs>
          <w:tab w:val="left" w:pos="9781"/>
        </w:tabs>
        <w:ind w:right="-144"/>
        <w:rPr>
          <w:bCs/>
          <w:color w:val="auto"/>
          <w:sz w:val="22"/>
          <w:szCs w:val="22"/>
        </w:rPr>
      </w:pPr>
    </w:p>
    <w:p w14:paraId="4486EF59"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 A jogellenes közalkalmazotti jogviszony-megszüntetés szabályait kell megfelelően alkalmazni, ha a közalkalmazott munkakörét nem az előírt rendben adja át.</w:t>
      </w:r>
    </w:p>
    <w:p w14:paraId="0798F204" w14:textId="77777777" w:rsidR="00893D5B" w:rsidRPr="000250FA" w:rsidRDefault="00893D5B" w:rsidP="00893D5B">
      <w:pPr>
        <w:pStyle w:val="Normlstilus1norml"/>
        <w:tabs>
          <w:tab w:val="left" w:pos="9781"/>
        </w:tabs>
        <w:ind w:right="-144"/>
        <w:rPr>
          <w:bCs/>
          <w:color w:val="auto"/>
          <w:sz w:val="22"/>
          <w:szCs w:val="22"/>
        </w:rPr>
      </w:pPr>
    </w:p>
    <w:p w14:paraId="0853E902" w14:textId="77777777" w:rsidR="00BD6AF1" w:rsidRDefault="00BD6AF1" w:rsidP="00893D5B">
      <w:pPr>
        <w:pStyle w:val="Cmsor4"/>
      </w:pPr>
      <w:bookmarkStart w:id="83" w:name="_Toc432753543"/>
    </w:p>
    <w:p w14:paraId="5F718D08" w14:textId="77777777" w:rsidR="00BD6AF1" w:rsidRDefault="00BD6AF1" w:rsidP="00893D5B">
      <w:pPr>
        <w:pStyle w:val="Cmsor4"/>
      </w:pPr>
    </w:p>
    <w:p w14:paraId="11893E46" w14:textId="0F843F00" w:rsidR="00893D5B" w:rsidRPr="000250FA" w:rsidRDefault="00893D5B" w:rsidP="00893D5B">
      <w:pPr>
        <w:pStyle w:val="Cmsor4"/>
      </w:pPr>
      <w:r w:rsidRPr="000250FA">
        <w:t>A közalkalmazotti jogviszony jogellenes megszüntetése a munkáltató által</w:t>
      </w:r>
      <w:bookmarkEnd w:id="83"/>
    </w:p>
    <w:p w14:paraId="5926CD75" w14:textId="77777777" w:rsidR="00893D5B" w:rsidRPr="000250FA" w:rsidRDefault="00893D5B" w:rsidP="00893D5B">
      <w:pPr>
        <w:pStyle w:val="Normlstilus1norml"/>
        <w:tabs>
          <w:tab w:val="left" w:pos="9781"/>
        </w:tabs>
        <w:ind w:right="-144"/>
        <w:jc w:val="center"/>
        <w:rPr>
          <w:b/>
          <w:bCs/>
          <w:i/>
          <w:color w:val="auto"/>
          <w:sz w:val="22"/>
          <w:szCs w:val="22"/>
        </w:rPr>
      </w:pPr>
    </w:p>
    <w:p w14:paraId="40A4ED07" w14:textId="77777777" w:rsidR="00893D5B" w:rsidRPr="000250FA" w:rsidRDefault="00893D5B" w:rsidP="00893D5B">
      <w:pPr>
        <w:pStyle w:val="Normlstilus1norml"/>
        <w:tabs>
          <w:tab w:val="left" w:pos="9781"/>
        </w:tabs>
        <w:ind w:right="-144"/>
        <w:rPr>
          <w:bCs/>
          <w:color w:val="auto"/>
          <w:sz w:val="22"/>
          <w:szCs w:val="22"/>
        </w:rPr>
      </w:pPr>
      <w:r w:rsidRPr="000250FA">
        <w:rPr>
          <w:b/>
          <w:bCs/>
          <w:color w:val="auto"/>
          <w:sz w:val="22"/>
          <w:szCs w:val="22"/>
        </w:rPr>
        <w:t>30/</w:t>
      </w:r>
      <w:proofErr w:type="gramStart"/>
      <w:r w:rsidRPr="000250FA">
        <w:rPr>
          <w:b/>
          <w:bCs/>
          <w:color w:val="auto"/>
          <w:sz w:val="22"/>
          <w:szCs w:val="22"/>
        </w:rPr>
        <w:t>A.</w:t>
      </w:r>
      <w:proofErr w:type="gramEnd"/>
      <w:r w:rsidRPr="000250FA">
        <w:rPr>
          <w:b/>
          <w:bCs/>
          <w:color w:val="auto"/>
          <w:sz w:val="22"/>
          <w:szCs w:val="22"/>
        </w:rPr>
        <w:t xml:space="preserve"> §</w:t>
      </w:r>
      <w:r w:rsidRPr="000250FA">
        <w:rPr>
          <w:rStyle w:val="Lbjegyzet-hivatkozs"/>
          <w:b/>
          <w:bCs/>
          <w:color w:val="auto"/>
          <w:sz w:val="22"/>
          <w:szCs w:val="22"/>
        </w:rPr>
        <w:footnoteReference w:id="129"/>
      </w:r>
      <w:r w:rsidRPr="000250FA">
        <w:rPr>
          <w:b/>
          <w:bCs/>
          <w:i/>
          <w:color w:val="auto"/>
          <w:sz w:val="22"/>
          <w:szCs w:val="22"/>
        </w:rPr>
        <w:t xml:space="preserve"> </w:t>
      </w:r>
      <w:r w:rsidRPr="000250FA">
        <w:rPr>
          <w:color w:val="auto"/>
          <w:sz w:val="22"/>
          <w:szCs w:val="22"/>
        </w:rPr>
        <w:t>(1) A munkáltató köteles megtéríteni a közalkalmazotti jogviszony jogellenes megszüntetésével összefüggésben okozott kárt.</w:t>
      </w:r>
      <w:r w:rsidRPr="000250FA">
        <w:rPr>
          <w:bCs/>
          <w:color w:val="auto"/>
          <w:sz w:val="22"/>
          <w:szCs w:val="22"/>
        </w:rPr>
        <w:t xml:space="preserve"> </w:t>
      </w:r>
      <w:r w:rsidRPr="000250FA">
        <w:rPr>
          <w:color w:val="auto"/>
          <w:sz w:val="22"/>
          <w:szCs w:val="22"/>
        </w:rPr>
        <w:t>A közalkalmazotti jogviszony körében elmaradt jövedelem címén igényelt kártérítés nem haladhatja meg a közalkalmazott</w:t>
      </w:r>
      <w:r w:rsidRPr="000250FA">
        <w:rPr>
          <w:b/>
          <w:i/>
          <w:color w:val="auto"/>
          <w:sz w:val="22"/>
          <w:szCs w:val="22"/>
        </w:rPr>
        <w:t xml:space="preserve"> </w:t>
      </w:r>
      <w:r w:rsidRPr="000250FA">
        <w:rPr>
          <w:color w:val="auto"/>
          <w:sz w:val="22"/>
          <w:szCs w:val="22"/>
        </w:rPr>
        <w:t>tizenkét havi távolléti díjának összegét.</w:t>
      </w:r>
    </w:p>
    <w:p w14:paraId="1225F21F" w14:textId="77777777" w:rsidR="00893D5B" w:rsidRPr="000250FA" w:rsidRDefault="00893D5B" w:rsidP="00893D5B">
      <w:pPr>
        <w:pStyle w:val="Normlstilus1norml"/>
        <w:tabs>
          <w:tab w:val="left" w:pos="9781"/>
        </w:tabs>
        <w:ind w:right="-144"/>
        <w:rPr>
          <w:bCs/>
          <w:color w:val="auto"/>
          <w:sz w:val="22"/>
          <w:szCs w:val="22"/>
        </w:rPr>
      </w:pPr>
    </w:p>
    <w:p w14:paraId="54C65B2A"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(2) A közalkalmazott kérelmére – az Mt. 82. § (1) bekezdésében meghatározott jogkövetkezményen túlmenően - a bíróság a munkaviszonyt helyreállítja, ha</w:t>
      </w:r>
    </w:p>
    <w:p w14:paraId="58A4342C" w14:textId="77777777" w:rsidR="00893D5B" w:rsidRPr="000250FA" w:rsidRDefault="00893D5B" w:rsidP="00912564">
      <w:pPr>
        <w:numPr>
          <w:ilvl w:val="0"/>
          <w:numId w:val="37"/>
        </w:numPr>
        <w:jc w:val="both"/>
        <w:rPr>
          <w:sz w:val="22"/>
          <w:szCs w:val="22"/>
        </w:rPr>
      </w:pPr>
      <w:r w:rsidRPr="000250FA">
        <w:rPr>
          <w:sz w:val="22"/>
          <w:szCs w:val="22"/>
        </w:rPr>
        <w:t>a munkaviszony megszüntetése az egyenlő bánásmód követelményébe,</w:t>
      </w:r>
    </w:p>
    <w:p w14:paraId="2E7254A0" w14:textId="77777777" w:rsidR="00893D5B" w:rsidRPr="000250FA" w:rsidRDefault="00893D5B" w:rsidP="00912564">
      <w:pPr>
        <w:numPr>
          <w:ilvl w:val="0"/>
          <w:numId w:val="37"/>
        </w:numPr>
        <w:jc w:val="both"/>
        <w:rPr>
          <w:sz w:val="22"/>
          <w:szCs w:val="22"/>
        </w:rPr>
      </w:pPr>
      <w:r w:rsidRPr="000250FA">
        <w:rPr>
          <w:sz w:val="22"/>
          <w:szCs w:val="22"/>
        </w:rPr>
        <w:t>a felmentési védelemre vonatkozó rendelkezésekbe,</w:t>
      </w:r>
    </w:p>
    <w:p w14:paraId="73255364" w14:textId="77777777" w:rsidR="00893D5B" w:rsidRPr="000250FA" w:rsidRDefault="00893D5B" w:rsidP="00912564">
      <w:pPr>
        <w:numPr>
          <w:ilvl w:val="0"/>
          <w:numId w:val="37"/>
        </w:numPr>
        <w:jc w:val="both"/>
        <w:rPr>
          <w:sz w:val="22"/>
          <w:szCs w:val="22"/>
        </w:rPr>
      </w:pPr>
      <w:r w:rsidRPr="000250FA">
        <w:rPr>
          <w:sz w:val="22"/>
          <w:szCs w:val="22"/>
        </w:rPr>
        <w:t>a szakszervezetek egyetértési jogának figyelembevételére vonatkozó kötelezettségbe ütközött,</w:t>
      </w:r>
    </w:p>
    <w:p w14:paraId="79FD184A" w14:textId="77777777" w:rsidR="00893D5B" w:rsidRPr="000250FA" w:rsidRDefault="00893D5B" w:rsidP="00912564">
      <w:pPr>
        <w:numPr>
          <w:ilvl w:val="0"/>
          <w:numId w:val="37"/>
        </w:numPr>
        <w:jc w:val="both"/>
        <w:rPr>
          <w:sz w:val="22"/>
          <w:szCs w:val="22"/>
        </w:rPr>
      </w:pPr>
      <w:r w:rsidRPr="000250FA">
        <w:rPr>
          <w:sz w:val="22"/>
          <w:szCs w:val="22"/>
        </w:rPr>
        <w:t>a közalkalmazott a közalkalmazotti jogviszony megszüntetésekor munkavállalói képviselő volt,</w:t>
      </w:r>
    </w:p>
    <w:p w14:paraId="7D99BD8C" w14:textId="77777777" w:rsidR="00893D5B" w:rsidRPr="000250FA" w:rsidRDefault="00893D5B" w:rsidP="00912564">
      <w:pPr>
        <w:numPr>
          <w:ilvl w:val="0"/>
          <w:numId w:val="37"/>
        </w:numPr>
        <w:jc w:val="both"/>
      </w:pPr>
      <w:r w:rsidRPr="000250FA">
        <w:rPr>
          <w:sz w:val="22"/>
          <w:szCs w:val="22"/>
        </w:rPr>
        <w:t>a közalkalmazott a közalkalmazotti jogviszony közös megegyezéssel történő megszüntetését vagy erre irányuló saját jognyilatkozatát sikerrel támadta meg.</w:t>
      </w:r>
    </w:p>
    <w:p w14:paraId="0E09AF01" w14:textId="77777777" w:rsidR="00893D5B" w:rsidRPr="000250FA" w:rsidRDefault="00893D5B" w:rsidP="00893D5B">
      <w:pPr>
        <w:pStyle w:val="Normlstilus1norml"/>
        <w:tabs>
          <w:tab w:val="left" w:pos="9781"/>
        </w:tabs>
        <w:ind w:right="-144"/>
        <w:rPr>
          <w:bCs/>
          <w:color w:val="auto"/>
          <w:sz w:val="22"/>
          <w:szCs w:val="22"/>
        </w:rPr>
      </w:pPr>
    </w:p>
    <w:p w14:paraId="248B78AE" w14:textId="77777777" w:rsidR="00893D5B" w:rsidRPr="000250FA" w:rsidRDefault="00893D5B" w:rsidP="00893D5B">
      <w:pPr>
        <w:pStyle w:val="NormlWeb"/>
        <w:tabs>
          <w:tab w:val="left" w:pos="9781"/>
        </w:tabs>
        <w:spacing w:before="0" w:beforeAutospacing="0" w:after="0" w:afterAutospacing="0"/>
        <w:ind w:right="-144"/>
        <w:jc w:val="both"/>
        <w:rPr>
          <w:strike/>
          <w:sz w:val="22"/>
          <w:szCs w:val="22"/>
        </w:rPr>
      </w:pPr>
      <w:r w:rsidRPr="000250FA">
        <w:rPr>
          <w:bCs/>
          <w:sz w:val="22"/>
          <w:szCs w:val="22"/>
        </w:rPr>
        <w:t>(3)</w:t>
      </w:r>
      <w:r w:rsidRPr="000250FA">
        <w:rPr>
          <w:rStyle w:val="Lbjegyzet-hivatkozs"/>
          <w:bCs/>
          <w:sz w:val="22"/>
          <w:szCs w:val="22"/>
        </w:rPr>
        <w:footnoteReference w:id="130"/>
      </w:r>
      <w:r w:rsidRPr="000250FA">
        <w:rPr>
          <w:bCs/>
          <w:sz w:val="22"/>
          <w:szCs w:val="22"/>
        </w:rPr>
        <w:t xml:space="preserve"> </w:t>
      </w:r>
      <w:r w:rsidRPr="000250FA">
        <w:rPr>
          <w:sz w:val="22"/>
          <w:szCs w:val="22"/>
        </w:rPr>
        <w:t>A közalkalmazott a kártérítésen túlmenően jogosult a végkielégítés összegére, ha közalkalmazotti jogviszonya</w:t>
      </w:r>
    </w:p>
    <w:p w14:paraId="15A17159" w14:textId="77777777" w:rsidR="00893D5B" w:rsidRPr="000250FA" w:rsidRDefault="00893D5B" w:rsidP="00912564">
      <w:pPr>
        <w:numPr>
          <w:ilvl w:val="0"/>
          <w:numId w:val="38"/>
        </w:numPr>
        <w:jc w:val="both"/>
        <w:rPr>
          <w:sz w:val="22"/>
          <w:szCs w:val="22"/>
        </w:rPr>
      </w:pPr>
      <w:bookmarkStart w:id="84" w:name="pr451"/>
      <w:bookmarkEnd w:id="84"/>
      <w:r w:rsidRPr="000250FA">
        <w:rPr>
          <w:sz w:val="22"/>
          <w:szCs w:val="22"/>
        </w:rPr>
        <w:t>jogellenesen nem felmentéssel szűnt meg, vagy</w:t>
      </w:r>
    </w:p>
    <w:p w14:paraId="6D861768" w14:textId="77777777" w:rsidR="00893D5B" w:rsidRPr="000250FA" w:rsidRDefault="00893D5B" w:rsidP="00912564">
      <w:pPr>
        <w:numPr>
          <w:ilvl w:val="0"/>
          <w:numId w:val="38"/>
        </w:numPr>
        <w:jc w:val="both"/>
      </w:pPr>
      <w:bookmarkStart w:id="85" w:name="pr452"/>
      <w:bookmarkEnd w:id="85"/>
      <w:r w:rsidRPr="000250FA">
        <w:rPr>
          <w:sz w:val="22"/>
          <w:szCs w:val="22"/>
        </w:rPr>
        <w:t>közalkalmazotti jogviszonya megszűnésekor a nem egészségi okokkal összefüggő képességre alapított felmentés okán –Mt. 77. § (5) bekezdés b) pontja alapján - nem részesült végkielégítésben</w:t>
      </w:r>
      <w:r w:rsidRPr="000250FA">
        <w:t>.</w:t>
      </w:r>
    </w:p>
    <w:p w14:paraId="4C3CD3D6" w14:textId="77777777" w:rsidR="00893D5B" w:rsidRPr="000250FA" w:rsidRDefault="00893D5B" w:rsidP="00893D5B">
      <w:pPr>
        <w:pStyle w:val="Normlstilus1norml"/>
        <w:tabs>
          <w:tab w:val="left" w:pos="9781"/>
        </w:tabs>
        <w:ind w:right="-144"/>
        <w:rPr>
          <w:bCs/>
          <w:color w:val="auto"/>
          <w:sz w:val="22"/>
          <w:szCs w:val="22"/>
        </w:rPr>
      </w:pPr>
    </w:p>
    <w:p w14:paraId="549797AD"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w:t>
      </w:r>
      <w:r w:rsidRPr="000250FA">
        <w:rPr>
          <w:rStyle w:val="Lbjegyzet-hivatkozs"/>
          <w:bCs/>
          <w:color w:val="auto"/>
          <w:sz w:val="22"/>
          <w:szCs w:val="22"/>
        </w:rPr>
        <w:footnoteReference w:id="131"/>
      </w:r>
      <w:r w:rsidRPr="000250FA">
        <w:rPr>
          <w:bCs/>
          <w:color w:val="auto"/>
          <w:sz w:val="22"/>
          <w:szCs w:val="22"/>
        </w:rPr>
        <w:t xml:space="preserve"> A közalkalmazott a kártérítés és az elmaradt jövedelem helyett követelheti a munkáltatói felmentés esetén irányadó felmentési időre járó távolléti díjnak és egyéb járandóságának megfelelő összeget.</w:t>
      </w:r>
    </w:p>
    <w:p w14:paraId="56A2A701" w14:textId="77777777" w:rsidR="00893D5B" w:rsidRPr="000250FA" w:rsidRDefault="00893D5B" w:rsidP="00893D5B">
      <w:pPr>
        <w:pStyle w:val="Normlstilus1norml"/>
        <w:tabs>
          <w:tab w:val="left" w:pos="9781"/>
        </w:tabs>
        <w:ind w:right="-144"/>
        <w:rPr>
          <w:bCs/>
          <w:color w:val="auto"/>
          <w:sz w:val="22"/>
          <w:szCs w:val="22"/>
        </w:rPr>
      </w:pPr>
    </w:p>
    <w:p w14:paraId="38EDC56E"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(5)</w:t>
      </w:r>
    </w:p>
    <w:p w14:paraId="14BBCE4D" w14:textId="77777777" w:rsidR="00893D5B" w:rsidRPr="000250FA" w:rsidRDefault="00893D5B" w:rsidP="00893D5B">
      <w:pPr>
        <w:pStyle w:val="Normlstilus1norml"/>
        <w:tabs>
          <w:tab w:val="left" w:pos="9781"/>
        </w:tabs>
        <w:ind w:right="-144"/>
        <w:rPr>
          <w:bCs/>
          <w:color w:val="auto"/>
          <w:sz w:val="22"/>
          <w:szCs w:val="22"/>
        </w:rPr>
      </w:pPr>
    </w:p>
    <w:p w14:paraId="03E62270" w14:textId="77777777" w:rsidR="00893D5B" w:rsidRPr="000250FA" w:rsidRDefault="00893D5B" w:rsidP="00893D5B">
      <w:pPr>
        <w:pStyle w:val="Normlstilus1norml"/>
        <w:tabs>
          <w:tab w:val="left" w:pos="9781"/>
        </w:tabs>
        <w:ind w:right="-144"/>
        <w:rPr>
          <w:bCs/>
          <w:strike/>
          <w:color w:val="auto"/>
          <w:sz w:val="22"/>
          <w:szCs w:val="22"/>
        </w:rPr>
      </w:pPr>
      <w:r w:rsidRPr="000250FA">
        <w:rPr>
          <w:bCs/>
          <w:color w:val="auto"/>
          <w:sz w:val="22"/>
          <w:szCs w:val="22"/>
        </w:rPr>
        <w:t xml:space="preserve">(6) </w:t>
      </w:r>
    </w:p>
    <w:p w14:paraId="2EC3DA96" w14:textId="77777777" w:rsidR="00893D5B" w:rsidRPr="000250FA" w:rsidRDefault="00893D5B" w:rsidP="00893D5B">
      <w:pPr>
        <w:pStyle w:val="Normlstilus1norml"/>
        <w:tabs>
          <w:tab w:val="left" w:pos="9781"/>
        </w:tabs>
        <w:ind w:right="-144"/>
        <w:rPr>
          <w:bCs/>
          <w:color w:val="auto"/>
          <w:sz w:val="22"/>
          <w:szCs w:val="22"/>
        </w:rPr>
      </w:pPr>
    </w:p>
    <w:p w14:paraId="2AA5734D"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(7) Amennyiben a közalkalmazotti jogviszony a gyakornoki idő alatt a „nem megfelelt” minősítés okán a törvény erejénél fogva megszűnik, és a bíróság megállapította a minősítés jogellenességét,</w:t>
      </w:r>
    </w:p>
    <w:p w14:paraId="28451D67" w14:textId="77777777" w:rsidR="00893D5B" w:rsidRPr="000250FA" w:rsidRDefault="00893D5B" w:rsidP="00912564">
      <w:pPr>
        <w:numPr>
          <w:ilvl w:val="0"/>
          <w:numId w:val="39"/>
        </w:numPr>
        <w:jc w:val="both"/>
        <w:rPr>
          <w:sz w:val="22"/>
          <w:szCs w:val="22"/>
        </w:rPr>
      </w:pPr>
      <w:r w:rsidRPr="000250FA">
        <w:rPr>
          <w:sz w:val="22"/>
          <w:szCs w:val="22"/>
        </w:rPr>
        <w:t>ha a munkáltató eljárása a rendeltetésszerű joggyakorlás, vagy az egyenlő bánásmód követelményébe ütközött, az (1)- (2),</w:t>
      </w:r>
    </w:p>
    <w:p w14:paraId="7E85B661" w14:textId="77777777" w:rsidR="00893D5B" w:rsidRPr="000250FA" w:rsidRDefault="00893D5B" w:rsidP="00912564">
      <w:pPr>
        <w:numPr>
          <w:ilvl w:val="0"/>
          <w:numId w:val="39"/>
        </w:numPr>
        <w:jc w:val="both"/>
        <w:rPr>
          <w:sz w:val="22"/>
          <w:szCs w:val="22"/>
        </w:rPr>
      </w:pPr>
      <w:r w:rsidRPr="000250FA">
        <w:rPr>
          <w:sz w:val="22"/>
          <w:szCs w:val="22"/>
        </w:rPr>
        <w:t>az a) pontba nem tartozó esetekben a (3) –(4) bekezdésben foglaltakat</w:t>
      </w:r>
    </w:p>
    <w:p w14:paraId="6AB2AFC1" w14:textId="77777777" w:rsidR="00893D5B" w:rsidRPr="000250FA" w:rsidRDefault="00893D5B" w:rsidP="00893D5B">
      <w:pPr>
        <w:pStyle w:val="Normlstilus1norml"/>
        <w:tabs>
          <w:tab w:val="left" w:pos="9781"/>
        </w:tabs>
        <w:ind w:right="-144"/>
        <w:rPr>
          <w:bCs/>
          <w:color w:val="auto"/>
          <w:sz w:val="22"/>
          <w:szCs w:val="22"/>
        </w:rPr>
      </w:pPr>
      <w:proofErr w:type="gramStart"/>
      <w:r w:rsidRPr="000250FA">
        <w:rPr>
          <w:bCs/>
          <w:color w:val="auto"/>
          <w:sz w:val="22"/>
          <w:szCs w:val="22"/>
        </w:rPr>
        <w:t>kell</w:t>
      </w:r>
      <w:proofErr w:type="gramEnd"/>
      <w:r w:rsidRPr="000250FA">
        <w:rPr>
          <w:bCs/>
          <w:color w:val="auto"/>
          <w:sz w:val="22"/>
          <w:szCs w:val="22"/>
        </w:rPr>
        <w:t xml:space="preserve"> megfelelően alkalmazni.</w:t>
      </w:r>
    </w:p>
    <w:p w14:paraId="640D7D84" w14:textId="77777777" w:rsidR="00893D5B" w:rsidRPr="000250FA" w:rsidRDefault="00893D5B" w:rsidP="00893D5B">
      <w:pPr>
        <w:pStyle w:val="Normlstilus1norml"/>
        <w:tabs>
          <w:tab w:val="left" w:pos="9781"/>
        </w:tabs>
        <w:ind w:right="-144"/>
        <w:rPr>
          <w:bCs/>
          <w:color w:val="auto"/>
          <w:sz w:val="22"/>
          <w:szCs w:val="22"/>
        </w:rPr>
      </w:pPr>
    </w:p>
    <w:p w14:paraId="74951B33"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lastRenderedPageBreak/>
        <w:t>(8) Ha a bíróság a közalkalmazott kérelmére a közalkalmazotti jogviszonyt nem állítja helyre, a közalkalmazotti jogviszony megszűnésének időpontja:</w:t>
      </w:r>
    </w:p>
    <w:p w14:paraId="17416319" w14:textId="77777777" w:rsidR="00893D5B" w:rsidRPr="000250FA" w:rsidRDefault="00893D5B" w:rsidP="00912564">
      <w:pPr>
        <w:numPr>
          <w:ilvl w:val="0"/>
          <w:numId w:val="40"/>
        </w:numPr>
        <w:jc w:val="both"/>
        <w:rPr>
          <w:sz w:val="22"/>
          <w:szCs w:val="22"/>
        </w:rPr>
      </w:pPr>
      <w:r w:rsidRPr="000250FA">
        <w:rPr>
          <w:sz w:val="22"/>
          <w:szCs w:val="22"/>
        </w:rPr>
        <w:t>jogellenes felmentés esetén a felmentési idő utolsó napja,</w:t>
      </w:r>
    </w:p>
    <w:p w14:paraId="42837B64" w14:textId="77777777" w:rsidR="00893D5B" w:rsidRPr="000250FA" w:rsidRDefault="00893D5B" w:rsidP="00912564">
      <w:pPr>
        <w:numPr>
          <w:ilvl w:val="0"/>
          <w:numId w:val="40"/>
        </w:numPr>
        <w:jc w:val="both"/>
        <w:rPr>
          <w:sz w:val="22"/>
          <w:szCs w:val="22"/>
        </w:rPr>
      </w:pPr>
      <w:r w:rsidRPr="000250FA">
        <w:rPr>
          <w:sz w:val="22"/>
          <w:szCs w:val="22"/>
        </w:rPr>
        <w:t>jogellenes azonnali hatályú felmentés esetén a felmentés másik féllel történő közlésének időpontja,</w:t>
      </w:r>
    </w:p>
    <w:p w14:paraId="492185D7" w14:textId="77777777" w:rsidR="00893D5B" w:rsidRPr="000250FA" w:rsidRDefault="00893D5B" w:rsidP="00912564">
      <w:pPr>
        <w:numPr>
          <w:ilvl w:val="0"/>
          <w:numId w:val="40"/>
        </w:numPr>
        <w:jc w:val="both"/>
        <w:rPr>
          <w:sz w:val="22"/>
          <w:szCs w:val="22"/>
        </w:rPr>
      </w:pPr>
      <w:r w:rsidRPr="000250FA">
        <w:rPr>
          <w:sz w:val="22"/>
          <w:szCs w:val="22"/>
        </w:rPr>
        <w:t>jogellenes közös megegyezés esetén a felek által meghatározott időpont.</w:t>
      </w:r>
    </w:p>
    <w:p w14:paraId="26187322" w14:textId="3D2F864B" w:rsidR="00893D5B" w:rsidRDefault="00893D5B" w:rsidP="00893D5B">
      <w:pPr>
        <w:pStyle w:val="Normlstilus1norml"/>
        <w:tabs>
          <w:tab w:val="left" w:pos="9781"/>
        </w:tabs>
        <w:ind w:right="-144"/>
        <w:rPr>
          <w:b/>
          <w:bCs/>
          <w:color w:val="auto"/>
          <w:sz w:val="22"/>
          <w:szCs w:val="22"/>
        </w:rPr>
      </w:pPr>
    </w:p>
    <w:p w14:paraId="633FBBB8" w14:textId="77777777" w:rsidR="00BD6AF1" w:rsidRPr="000250FA" w:rsidRDefault="00BD6AF1" w:rsidP="00893D5B">
      <w:pPr>
        <w:pStyle w:val="Normlstilus1norml"/>
        <w:tabs>
          <w:tab w:val="left" w:pos="9781"/>
        </w:tabs>
        <w:ind w:right="-144"/>
        <w:rPr>
          <w:b/>
          <w:bCs/>
          <w:color w:val="auto"/>
          <w:sz w:val="22"/>
          <w:szCs w:val="22"/>
        </w:rPr>
      </w:pPr>
    </w:p>
    <w:p w14:paraId="130593A8" w14:textId="77777777" w:rsidR="00893D5B" w:rsidRPr="000250FA" w:rsidRDefault="00893D5B" w:rsidP="00893D5B">
      <w:pPr>
        <w:pStyle w:val="Cmsor4"/>
      </w:pPr>
      <w:bookmarkStart w:id="86" w:name="_Toc432753544"/>
      <w:r w:rsidRPr="000250FA">
        <w:t>A végkielégítés</w:t>
      </w:r>
      <w:bookmarkEnd w:id="86"/>
    </w:p>
    <w:p w14:paraId="57FE3F44" w14:textId="77777777" w:rsidR="00893D5B" w:rsidRPr="000250FA" w:rsidRDefault="00893D5B" w:rsidP="00893D5B">
      <w:pPr>
        <w:pStyle w:val="Normlstilus1norml"/>
        <w:tabs>
          <w:tab w:val="left" w:pos="9781"/>
        </w:tabs>
        <w:ind w:right="-144"/>
        <w:rPr>
          <w:color w:val="auto"/>
          <w:sz w:val="22"/>
          <w:szCs w:val="22"/>
        </w:rPr>
      </w:pPr>
    </w:p>
    <w:p w14:paraId="4FCDE620"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31. §</w:t>
      </w:r>
      <w:r w:rsidRPr="000250FA">
        <w:rPr>
          <w:rStyle w:val="Lbjegyzet-hivatkozs"/>
          <w:bCs/>
          <w:color w:val="auto"/>
          <w:sz w:val="22"/>
          <w:szCs w:val="22"/>
        </w:rPr>
        <w:footnoteReference w:id="132"/>
      </w:r>
      <w:r w:rsidRPr="000250FA">
        <w:rPr>
          <w:color w:val="auto"/>
          <w:sz w:val="22"/>
          <w:szCs w:val="22"/>
        </w:rPr>
        <w:t xml:space="preserve"> (1) Végkielégítés illeti meg a közalkalmazottat, ha közalkalmazotti jogviszonya</w:t>
      </w:r>
    </w:p>
    <w:p w14:paraId="29022BF9" w14:textId="77777777" w:rsidR="00893D5B" w:rsidRPr="000250FA" w:rsidRDefault="00893D5B" w:rsidP="00893D5B">
      <w:pPr>
        <w:pStyle w:val="Normlstilus1norml"/>
        <w:tabs>
          <w:tab w:val="left" w:pos="9781"/>
        </w:tabs>
        <w:ind w:left="561" w:right="-144"/>
        <w:rPr>
          <w:color w:val="auto"/>
          <w:sz w:val="22"/>
          <w:szCs w:val="22"/>
        </w:rPr>
      </w:pPr>
    </w:p>
    <w:p w14:paraId="535DBAD6" w14:textId="77777777" w:rsidR="00893D5B" w:rsidRPr="000250FA" w:rsidRDefault="00893D5B" w:rsidP="00912564">
      <w:pPr>
        <w:numPr>
          <w:ilvl w:val="0"/>
          <w:numId w:val="41"/>
        </w:numPr>
        <w:jc w:val="both"/>
        <w:rPr>
          <w:sz w:val="22"/>
          <w:szCs w:val="22"/>
        </w:rPr>
      </w:pPr>
      <w:r w:rsidRPr="000250FA">
        <w:rPr>
          <w:sz w:val="22"/>
          <w:szCs w:val="22"/>
        </w:rPr>
        <w:t>felmentés,</w:t>
      </w:r>
    </w:p>
    <w:p w14:paraId="4DD5733E" w14:textId="77777777" w:rsidR="00893D5B" w:rsidRPr="000250FA" w:rsidRDefault="00893D5B" w:rsidP="00912564">
      <w:pPr>
        <w:numPr>
          <w:ilvl w:val="0"/>
          <w:numId w:val="41"/>
        </w:numPr>
        <w:jc w:val="both"/>
        <w:rPr>
          <w:sz w:val="22"/>
          <w:szCs w:val="22"/>
        </w:rPr>
      </w:pPr>
      <w:r w:rsidRPr="000250FA">
        <w:rPr>
          <w:sz w:val="22"/>
          <w:szCs w:val="22"/>
        </w:rPr>
        <w:t>rendkívüli lemondás,</w:t>
      </w:r>
    </w:p>
    <w:p w14:paraId="10B2E0A7" w14:textId="77777777" w:rsidR="00893D5B" w:rsidRPr="000250FA" w:rsidRDefault="00893D5B" w:rsidP="00912564">
      <w:pPr>
        <w:numPr>
          <w:ilvl w:val="0"/>
          <w:numId w:val="41"/>
        </w:numPr>
        <w:jc w:val="both"/>
        <w:rPr>
          <w:sz w:val="22"/>
          <w:szCs w:val="22"/>
        </w:rPr>
      </w:pPr>
      <w:r w:rsidRPr="000250FA">
        <w:rPr>
          <w:sz w:val="22"/>
          <w:szCs w:val="22"/>
        </w:rPr>
        <w:t>a munkáltató jogutód nélküli megszűnése következtében, továbbá</w:t>
      </w:r>
    </w:p>
    <w:p w14:paraId="396112F4" w14:textId="77777777" w:rsidR="00893D5B" w:rsidRPr="000250FA" w:rsidRDefault="00893D5B" w:rsidP="00912564">
      <w:pPr>
        <w:numPr>
          <w:ilvl w:val="0"/>
          <w:numId w:val="41"/>
        </w:numPr>
        <w:jc w:val="both"/>
        <w:rPr>
          <w:sz w:val="22"/>
          <w:szCs w:val="22"/>
        </w:rPr>
      </w:pPr>
      <w:r w:rsidRPr="000250FA">
        <w:rPr>
          <w:sz w:val="22"/>
          <w:szCs w:val="22"/>
        </w:rPr>
        <w:t>a (7) bekezdésben foglalt módon szűnik meg.</w:t>
      </w:r>
    </w:p>
    <w:p w14:paraId="5C20DB87" w14:textId="77777777" w:rsidR="00893D5B" w:rsidRPr="000250FA" w:rsidRDefault="00893D5B" w:rsidP="00893D5B">
      <w:pPr>
        <w:pStyle w:val="Normlstilus1norml"/>
        <w:tabs>
          <w:tab w:val="left" w:pos="9781"/>
        </w:tabs>
        <w:ind w:right="-144"/>
        <w:rPr>
          <w:color w:val="auto"/>
          <w:sz w:val="22"/>
          <w:szCs w:val="22"/>
        </w:rPr>
      </w:pPr>
    </w:p>
    <w:p w14:paraId="7392AF6B"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Nem jogosult végkielégítésre a közalkalmazott, ha:</w:t>
      </w:r>
    </w:p>
    <w:p w14:paraId="5D6092DB" w14:textId="77777777" w:rsidR="00893D5B" w:rsidRPr="000250FA" w:rsidRDefault="00893D5B" w:rsidP="00893D5B">
      <w:pPr>
        <w:pStyle w:val="Normlstilus1norml"/>
        <w:tabs>
          <w:tab w:val="left" w:pos="9781"/>
        </w:tabs>
        <w:ind w:left="561" w:right="-144"/>
        <w:rPr>
          <w:color w:val="auto"/>
          <w:sz w:val="22"/>
          <w:szCs w:val="22"/>
        </w:rPr>
      </w:pPr>
    </w:p>
    <w:p w14:paraId="5CEEC67B" w14:textId="77777777" w:rsidR="00893D5B" w:rsidRPr="000250FA" w:rsidRDefault="00893D5B" w:rsidP="00912564">
      <w:pPr>
        <w:numPr>
          <w:ilvl w:val="0"/>
          <w:numId w:val="42"/>
        </w:numPr>
        <w:jc w:val="both"/>
        <w:rPr>
          <w:sz w:val="22"/>
          <w:szCs w:val="22"/>
        </w:rPr>
      </w:pPr>
      <w:r w:rsidRPr="000250FA">
        <w:rPr>
          <w:sz w:val="22"/>
          <w:szCs w:val="22"/>
        </w:rPr>
        <w:t xml:space="preserve">felmentésére – az egészségügyi okot kivéve – tartós alkalmatlansága vagy nem megfelelő munkavégzése miatt került sor, </w:t>
      </w:r>
    </w:p>
    <w:p w14:paraId="4F413E3D" w14:textId="77777777" w:rsidR="00893D5B" w:rsidRPr="000250FA" w:rsidRDefault="00893D5B" w:rsidP="00912564">
      <w:pPr>
        <w:numPr>
          <w:ilvl w:val="0"/>
          <w:numId w:val="42"/>
        </w:numPr>
        <w:jc w:val="both"/>
        <w:rPr>
          <w:sz w:val="22"/>
          <w:szCs w:val="22"/>
        </w:rPr>
      </w:pPr>
      <w:r w:rsidRPr="000250FA">
        <w:rPr>
          <w:sz w:val="22"/>
          <w:szCs w:val="22"/>
        </w:rPr>
        <w:t>legkésőbb a közalkalmazotti jogviszony megszűnésének időpontjában nyugdíjasnak minősül.</w:t>
      </w:r>
    </w:p>
    <w:p w14:paraId="14FD9709" w14:textId="77777777" w:rsidR="00893D5B" w:rsidRPr="000250FA" w:rsidRDefault="00893D5B" w:rsidP="00893D5B">
      <w:pPr>
        <w:pStyle w:val="Normlstilus1norml"/>
        <w:tabs>
          <w:tab w:val="left" w:pos="9781"/>
        </w:tabs>
        <w:ind w:left="561" w:right="-144"/>
        <w:rPr>
          <w:color w:val="auto"/>
          <w:sz w:val="22"/>
          <w:szCs w:val="22"/>
        </w:rPr>
      </w:pPr>
    </w:p>
    <w:p w14:paraId="5F97E4D2"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 közalkalmazott végkielégítésének mértéke, ha a közalkalmazotti jogviszonyban töltött idő legalább</w:t>
      </w:r>
    </w:p>
    <w:p w14:paraId="6132411A" w14:textId="77777777" w:rsidR="00893D5B" w:rsidRPr="000250FA" w:rsidRDefault="00893D5B" w:rsidP="00893D5B">
      <w:pPr>
        <w:pStyle w:val="Normlstilus1norml"/>
        <w:tabs>
          <w:tab w:val="left" w:pos="9781"/>
        </w:tabs>
        <w:ind w:left="561" w:right="-144"/>
        <w:rPr>
          <w:color w:val="auto"/>
          <w:sz w:val="22"/>
          <w:szCs w:val="22"/>
        </w:rPr>
      </w:pPr>
    </w:p>
    <w:p w14:paraId="5FF8631A" w14:textId="77777777" w:rsidR="00893D5B" w:rsidRPr="000250FA" w:rsidRDefault="00893D5B" w:rsidP="00912564">
      <w:pPr>
        <w:numPr>
          <w:ilvl w:val="0"/>
          <w:numId w:val="43"/>
        </w:numPr>
        <w:jc w:val="both"/>
        <w:rPr>
          <w:sz w:val="22"/>
          <w:szCs w:val="22"/>
        </w:rPr>
      </w:pPr>
      <w:r w:rsidRPr="000250FA">
        <w:rPr>
          <w:sz w:val="22"/>
          <w:szCs w:val="22"/>
        </w:rPr>
        <w:t>három év: egy havi,</w:t>
      </w:r>
    </w:p>
    <w:p w14:paraId="56FEC26C" w14:textId="77777777" w:rsidR="00893D5B" w:rsidRPr="000250FA" w:rsidRDefault="00893D5B" w:rsidP="00912564">
      <w:pPr>
        <w:numPr>
          <w:ilvl w:val="0"/>
          <w:numId w:val="43"/>
        </w:numPr>
        <w:jc w:val="both"/>
        <w:rPr>
          <w:sz w:val="22"/>
          <w:szCs w:val="22"/>
        </w:rPr>
      </w:pPr>
      <w:r w:rsidRPr="000250FA">
        <w:rPr>
          <w:sz w:val="22"/>
          <w:szCs w:val="22"/>
        </w:rPr>
        <w:t xml:space="preserve">öt év: </w:t>
      </w:r>
      <w:proofErr w:type="gramStart"/>
      <w:r w:rsidRPr="000250FA">
        <w:rPr>
          <w:sz w:val="22"/>
          <w:szCs w:val="22"/>
        </w:rPr>
        <w:t>két havi</w:t>
      </w:r>
      <w:proofErr w:type="gramEnd"/>
      <w:r w:rsidRPr="000250FA">
        <w:rPr>
          <w:sz w:val="22"/>
          <w:szCs w:val="22"/>
        </w:rPr>
        <w:t>,</w:t>
      </w:r>
    </w:p>
    <w:p w14:paraId="06758B3F" w14:textId="77777777" w:rsidR="00893D5B" w:rsidRPr="000250FA" w:rsidRDefault="00893D5B" w:rsidP="00912564">
      <w:pPr>
        <w:numPr>
          <w:ilvl w:val="0"/>
          <w:numId w:val="43"/>
        </w:numPr>
        <w:jc w:val="both"/>
        <w:rPr>
          <w:sz w:val="22"/>
          <w:szCs w:val="22"/>
        </w:rPr>
      </w:pPr>
      <w:r w:rsidRPr="000250FA">
        <w:rPr>
          <w:sz w:val="22"/>
          <w:szCs w:val="22"/>
        </w:rPr>
        <w:t xml:space="preserve">nyolc év: </w:t>
      </w:r>
      <w:proofErr w:type="gramStart"/>
      <w:r w:rsidRPr="000250FA">
        <w:rPr>
          <w:sz w:val="22"/>
          <w:szCs w:val="22"/>
        </w:rPr>
        <w:t>három havi</w:t>
      </w:r>
      <w:proofErr w:type="gramEnd"/>
      <w:r w:rsidRPr="000250FA">
        <w:rPr>
          <w:sz w:val="22"/>
          <w:szCs w:val="22"/>
        </w:rPr>
        <w:t>,</w:t>
      </w:r>
    </w:p>
    <w:p w14:paraId="666B937A" w14:textId="77777777" w:rsidR="00893D5B" w:rsidRPr="000250FA" w:rsidRDefault="00893D5B" w:rsidP="00912564">
      <w:pPr>
        <w:numPr>
          <w:ilvl w:val="0"/>
          <w:numId w:val="43"/>
        </w:numPr>
        <w:jc w:val="both"/>
        <w:rPr>
          <w:sz w:val="22"/>
          <w:szCs w:val="22"/>
        </w:rPr>
      </w:pPr>
      <w:r w:rsidRPr="000250FA">
        <w:rPr>
          <w:sz w:val="22"/>
          <w:szCs w:val="22"/>
        </w:rPr>
        <w:t xml:space="preserve">tíz év: </w:t>
      </w:r>
      <w:proofErr w:type="gramStart"/>
      <w:r w:rsidRPr="000250FA">
        <w:rPr>
          <w:sz w:val="22"/>
          <w:szCs w:val="22"/>
        </w:rPr>
        <w:t>négy havi</w:t>
      </w:r>
      <w:proofErr w:type="gramEnd"/>
      <w:r w:rsidRPr="000250FA">
        <w:rPr>
          <w:sz w:val="22"/>
          <w:szCs w:val="22"/>
        </w:rPr>
        <w:t>,</w:t>
      </w:r>
    </w:p>
    <w:p w14:paraId="480593E0" w14:textId="77777777" w:rsidR="00893D5B" w:rsidRPr="000250FA" w:rsidRDefault="00893D5B" w:rsidP="00912564">
      <w:pPr>
        <w:numPr>
          <w:ilvl w:val="0"/>
          <w:numId w:val="43"/>
        </w:numPr>
        <w:jc w:val="both"/>
        <w:rPr>
          <w:sz w:val="22"/>
          <w:szCs w:val="22"/>
        </w:rPr>
      </w:pPr>
      <w:r w:rsidRPr="000250FA">
        <w:rPr>
          <w:sz w:val="22"/>
          <w:szCs w:val="22"/>
        </w:rPr>
        <w:t>tizenhárom év: öt havi,</w:t>
      </w:r>
    </w:p>
    <w:p w14:paraId="1906C913" w14:textId="77777777" w:rsidR="00893D5B" w:rsidRPr="000250FA" w:rsidRDefault="00893D5B" w:rsidP="00912564">
      <w:pPr>
        <w:numPr>
          <w:ilvl w:val="0"/>
          <w:numId w:val="43"/>
        </w:numPr>
        <w:jc w:val="both"/>
        <w:rPr>
          <w:sz w:val="22"/>
          <w:szCs w:val="22"/>
        </w:rPr>
      </w:pPr>
      <w:r w:rsidRPr="000250FA">
        <w:rPr>
          <w:sz w:val="22"/>
          <w:szCs w:val="22"/>
        </w:rPr>
        <w:t>tizenhat év: hat havi,</w:t>
      </w:r>
    </w:p>
    <w:p w14:paraId="345CA96E" w14:textId="77777777" w:rsidR="00893D5B" w:rsidRPr="000250FA" w:rsidRDefault="00893D5B" w:rsidP="00912564">
      <w:pPr>
        <w:numPr>
          <w:ilvl w:val="0"/>
          <w:numId w:val="43"/>
        </w:numPr>
        <w:jc w:val="both"/>
        <w:rPr>
          <w:sz w:val="22"/>
          <w:szCs w:val="22"/>
        </w:rPr>
      </w:pPr>
      <w:r w:rsidRPr="000250FA">
        <w:rPr>
          <w:sz w:val="22"/>
          <w:szCs w:val="22"/>
        </w:rPr>
        <w:t>húsz év: nyolc havi</w:t>
      </w:r>
    </w:p>
    <w:p w14:paraId="61DCBE65" w14:textId="77777777" w:rsidR="00893D5B" w:rsidRPr="000250FA" w:rsidRDefault="00893D5B" w:rsidP="00893D5B">
      <w:pPr>
        <w:pStyle w:val="Normlstilus1norml"/>
        <w:tabs>
          <w:tab w:val="left" w:pos="9781"/>
        </w:tabs>
        <w:ind w:right="-144"/>
        <w:rPr>
          <w:color w:val="auto"/>
          <w:sz w:val="22"/>
          <w:szCs w:val="22"/>
        </w:rPr>
      </w:pPr>
    </w:p>
    <w:p w14:paraId="6C8115EF" w14:textId="77777777" w:rsidR="00893D5B" w:rsidRPr="000250FA" w:rsidRDefault="00893D5B" w:rsidP="00893D5B">
      <w:pPr>
        <w:pStyle w:val="Normlstilus1norml"/>
        <w:tabs>
          <w:tab w:val="left" w:pos="9781"/>
        </w:tabs>
        <w:ind w:right="-144"/>
        <w:rPr>
          <w:color w:val="auto"/>
          <w:sz w:val="22"/>
          <w:szCs w:val="22"/>
        </w:rPr>
      </w:pPr>
      <w:proofErr w:type="gramStart"/>
      <w:r w:rsidRPr="000250FA">
        <w:rPr>
          <w:color w:val="auto"/>
          <w:sz w:val="22"/>
          <w:szCs w:val="22"/>
        </w:rPr>
        <w:t>távolléti</w:t>
      </w:r>
      <w:proofErr w:type="gramEnd"/>
      <w:r w:rsidRPr="000250FA">
        <w:rPr>
          <w:color w:val="auto"/>
          <w:sz w:val="22"/>
          <w:szCs w:val="22"/>
        </w:rPr>
        <w:t xml:space="preserve"> díjának</w:t>
      </w:r>
      <w:r w:rsidRPr="00A5211E">
        <w:rPr>
          <w:rStyle w:val="Lbjegyzet-hivatkozs"/>
          <w:color w:val="auto"/>
          <w:sz w:val="22"/>
          <w:szCs w:val="22"/>
        </w:rPr>
        <w:footnoteReference w:id="133"/>
      </w:r>
      <w:r w:rsidRPr="00A5211E">
        <w:rPr>
          <w:color w:val="auto"/>
          <w:sz w:val="22"/>
          <w:szCs w:val="22"/>
        </w:rPr>
        <w:t xml:space="preserve"> </w:t>
      </w:r>
      <w:r w:rsidRPr="000250FA">
        <w:rPr>
          <w:color w:val="auto"/>
          <w:sz w:val="22"/>
          <w:szCs w:val="22"/>
        </w:rPr>
        <w:t>megfelelő összeg.</w:t>
      </w:r>
    </w:p>
    <w:p w14:paraId="2F336B96" w14:textId="77777777" w:rsidR="00893D5B" w:rsidRPr="000250FA" w:rsidRDefault="00893D5B" w:rsidP="00893D5B">
      <w:pPr>
        <w:pStyle w:val="Normlstilus1norml"/>
        <w:tabs>
          <w:tab w:val="left" w:pos="9781"/>
        </w:tabs>
        <w:ind w:right="-144"/>
        <w:rPr>
          <w:color w:val="auto"/>
          <w:sz w:val="22"/>
          <w:szCs w:val="22"/>
        </w:rPr>
      </w:pPr>
    </w:p>
    <w:p w14:paraId="62B31369" w14:textId="77777777" w:rsidR="00893D5B" w:rsidRPr="000250FA" w:rsidRDefault="00893D5B" w:rsidP="00893D5B">
      <w:pPr>
        <w:jc w:val="both"/>
        <w:rPr>
          <w:bCs/>
          <w:sz w:val="22"/>
          <w:szCs w:val="22"/>
        </w:rPr>
      </w:pPr>
      <w:r w:rsidRPr="000250FA">
        <w:rPr>
          <w:bCs/>
          <w:sz w:val="22"/>
          <w:szCs w:val="22"/>
        </w:rPr>
        <w:t>(4)</w:t>
      </w:r>
      <w:r w:rsidRPr="000250FA">
        <w:rPr>
          <w:rStyle w:val="Lbjegyzet-hivatkozs"/>
          <w:bCs/>
          <w:sz w:val="22"/>
          <w:szCs w:val="22"/>
        </w:rPr>
        <w:footnoteReference w:id="134"/>
      </w:r>
      <w:r w:rsidRPr="000250FA">
        <w:rPr>
          <w:bCs/>
          <w:sz w:val="22"/>
          <w:szCs w:val="22"/>
        </w:rPr>
        <w:t xml:space="preserve"> A végkielégítés (3) bekezdésben meghatározott mértéke négyhavi távolléti díj összegével emelkedik, ha a közalkalmazott közalkalmazotti jogviszonya az öregségi nyugdíjra való jogosultság megszerzését megelőző öt éven belül szűnik meg. Nem illeti meg az emelt összegű végkielégítés a közalkalmazottat, ha valamelyik jogcímen korábban már emelt összegű végkielégítésben részesült.</w:t>
      </w:r>
    </w:p>
    <w:p w14:paraId="0AFC8CA6" w14:textId="77777777" w:rsidR="00893D5B" w:rsidRPr="000250FA" w:rsidRDefault="00893D5B" w:rsidP="00893D5B">
      <w:pPr>
        <w:pStyle w:val="Normlstilus1norml"/>
        <w:tabs>
          <w:tab w:val="left" w:pos="9781"/>
        </w:tabs>
        <w:ind w:right="-144"/>
        <w:rPr>
          <w:color w:val="auto"/>
          <w:sz w:val="22"/>
          <w:szCs w:val="22"/>
        </w:rPr>
      </w:pPr>
    </w:p>
    <w:p w14:paraId="15AC6631"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(5) A végkielégítés mértéke a (3)-(4) bekezdésben foglaltak kétszeresének megfelelő összeg, ha a közalkalmazotti jogviszony rendkívüli lemondás folytán szűnt meg.</w:t>
      </w:r>
    </w:p>
    <w:p w14:paraId="11D92DE3" w14:textId="77777777" w:rsidR="00893D5B" w:rsidRPr="000250FA" w:rsidRDefault="00893D5B" w:rsidP="00893D5B">
      <w:pPr>
        <w:pStyle w:val="Normlstilus1norml"/>
        <w:tabs>
          <w:tab w:val="left" w:pos="9781"/>
        </w:tabs>
        <w:ind w:right="-144"/>
        <w:rPr>
          <w:color w:val="auto"/>
          <w:sz w:val="22"/>
          <w:szCs w:val="22"/>
        </w:rPr>
      </w:pPr>
    </w:p>
    <w:p w14:paraId="53C206E6" w14:textId="77777777" w:rsidR="00893D5B" w:rsidRPr="000250FA" w:rsidRDefault="00893D5B" w:rsidP="00893D5B">
      <w:pPr>
        <w:jc w:val="both"/>
        <w:rPr>
          <w:bCs/>
          <w:sz w:val="22"/>
          <w:szCs w:val="22"/>
        </w:rPr>
      </w:pPr>
      <w:r w:rsidRPr="000250FA">
        <w:rPr>
          <w:bCs/>
          <w:sz w:val="22"/>
          <w:szCs w:val="22"/>
        </w:rPr>
        <w:t>(6)</w:t>
      </w:r>
      <w:r w:rsidRPr="000250FA">
        <w:rPr>
          <w:rStyle w:val="Lbjegyzet-hivatkozs"/>
          <w:bCs/>
          <w:sz w:val="22"/>
          <w:szCs w:val="22"/>
        </w:rPr>
        <w:footnoteReference w:id="135"/>
      </w:r>
      <w:r w:rsidRPr="000250FA">
        <w:rPr>
          <w:bCs/>
          <w:sz w:val="22"/>
          <w:szCs w:val="22"/>
        </w:rPr>
        <w:t xml:space="preserve"> </w:t>
      </w:r>
      <w:r w:rsidRPr="000250FA">
        <w:rPr>
          <w:rStyle w:val="Lbjegyzet-hivatkozs"/>
          <w:bCs/>
          <w:sz w:val="22"/>
          <w:szCs w:val="22"/>
        </w:rPr>
        <w:footnoteReference w:id="136"/>
      </w:r>
      <w:r w:rsidRPr="000250FA">
        <w:rPr>
          <w:bCs/>
          <w:sz w:val="22"/>
          <w:szCs w:val="22"/>
        </w:rPr>
        <w:t xml:space="preserve"> A végkielégítés összegének a felére jogosult a közalkalmazott, ha felmentésére vagy közalkalmazotti jogviszonyának a 19. § (1) bekezdés c) pontja szerinti megszűnésére azért került sor, mert a munkáltató által felajánlott, a Kjt. 30/</w:t>
      </w:r>
      <w:proofErr w:type="gramStart"/>
      <w:r w:rsidRPr="000250FA">
        <w:rPr>
          <w:bCs/>
          <w:sz w:val="22"/>
          <w:szCs w:val="22"/>
        </w:rPr>
        <w:t>A</w:t>
      </w:r>
      <w:proofErr w:type="gramEnd"/>
      <w:r w:rsidRPr="000250FA">
        <w:rPr>
          <w:bCs/>
          <w:sz w:val="22"/>
          <w:szCs w:val="22"/>
        </w:rPr>
        <w:t>. § szerinti munkakör elfogadásáról nem nyilatkozott, vagy a megfelelő</w:t>
      </w:r>
      <w:r w:rsidRPr="000250FA">
        <w:rPr>
          <w:bCs/>
          <w:i/>
          <w:sz w:val="22"/>
          <w:szCs w:val="22"/>
        </w:rPr>
        <w:t xml:space="preserve"> </w:t>
      </w:r>
      <w:r w:rsidRPr="000250FA">
        <w:rPr>
          <w:bCs/>
          <w:sz w:val="22"/>
          <w:szCs w:val="22"/>
        </w:rPr>
        <w:t xml:space="preserve">munkakörbe helyezéséhez szükséges kinevezés módosításához, illetőleg </w:t>
      </w:r>
      <w:r w:rsidRPr="000250FA">
        <w:rPr>
          <w:bCs/>
          <w:sz w:val="22"/>
          <w:szCs w:val="22"/>
        </w:rPr>
        <w:lastRenderedPageBreak/>
        <w:t>áthelyezéséhez nem járult hozzá, kivéve, ha a hozzájárulását alapos indokkal tagadta meg, így különösen, ha</w:t>
      </w:r>
    </w:p>
    <w:p w14:paraId="558F908D" w14:textId="77777777" w:rsidR="00893D5B" w:rsidRPr="000250FA" w:rsidRDefault="00893D5B" w:rsidP="00893D5B">
      <w:pPr>
        <w:jc w:val="both"/>
        <w:rPr>
          <w:bCs/>
          <w:iCs/>
          <w:sz w:val="22"/>
          <w:szCs w:val="22"/>
        </w:rPr>
      </w:pPr>
    </w:p>
    <w:p w14:paraId="7FA959BE" w14:textId="77777777" w:rsidR="00893D5B" w:rsidRPr="000250FA" w:rsidRDefault="00893D5B" w:rsidP="00912564">
      <w:pPr>
        <w:numPr>
          <w:ilvl w:val="0"/>
          <w:numId w:val="44"/>
        </w:numPr>
        <w:jc w:val="both"/>
        <w:rPr>
          <w:bCs/>
          <w:sz w:val="22"/>
          <w:szCs w:val="22"/>
        </w:rPr>
      </w:pPr>
      <w:r w:rsidRPr="000250FA">
        <w:rPr>
          <w:bCs/>
          <w:sz w:val="22"/>
          <w:szCs w:val="22"/>
        </w:rPr>
        <w:t>a felajánlott illetmény összege kevesebb a korábbi illetménye 80%-</w:t>
      </w:r>
      <w:proofErr w:type="spellStart"/>
      <w:r w:rsidRPr="000250FA">
        <w:rPr>
          <w:bCs/>
          <w:sz w:val="22"/>
          <w:szCs w:val="22"/>
        </w:rPr>
        <w:t>ánál</w:t>
      </w:r>
      <w:proofErr w:type="spellEnd"/>
      <w:r w:rsidRPr="000250FA">
        <w:rPr>
          <w:bCs/>
          <w:sz w:val="22"/>
          <w:szCs w:val="22"/>
        </w:rPr>
        <w:t>,</w:t>
      </w:r>
    </w:p>
    <w:p w14:paraId="1EE4DD24" w14:textId="77777777" w:rsidR="00893D5B" w:rsidRPr="000250FA" w:rsidRDefault="00893D5B" w:rsidP="00912564">
      <w:pPr>
        <w:numPr>
          <w:ilvl w:val="0"/>
          <w:numId w:val="44"/>
        </w:numPr>
        <w:jc w:val="both"/>
        <w:rPr>
          <w:bCs/>
          <w:sz w:val="22"/>
          <w:szCs w:val="22"/>
        </w:rPr>
      </w:pPr>
      <w:r w:rsidRPr="000250FA">
        <w:rPr>
          <w:bCs/>
          <w:sz w:val="22"/>
          <w:szCs w:val="22"/>
        </w:rPr>
        <w:t xml:space="preserve">teljes munkaidőre szóló kinevezés esetén hat óránál rövidebb részmunkaidőben történő foglalkoztatást, illetve hat óránál rövidebb részmunkaidő esetén teljes munkaidőben történő foglalkoztatást ajánlanak fel, és utóbbi esetben a munkaidő mértékének növekedése a közalkalmazott személyes, illetve családi körülményeire </w:t>
      </w:r>
      <w:proofErr w:type="gramStart"/>
      <w:r w:rsidRPr="000250FA">
        <w:rPr>
          <w:bCs/>
          <w:sz w:val="22"/>
          <w:szCs w:val="22"/>
        </w:rPr>
        <w:t>figyelemmel</w:t>
      </w:r>
      <w:proofErr w:type="gramEnd"/>
      <w:r w:rsidRPr="000250FA">
        <w:rPr>
          <w:bCs/>
          <w:sz w:val="22"/>
          <w:szCs w:val="22"/>
        </w:rPr>
        <w:t xml:space="preserve"> aránytalan sérelemmel járna,</w:t>
      </w:r>
    </w:p>
    <w:p w14:paraId="4D045F28" w14:textId="77777777" w:rsidR="00893D5B" w:rsidRPr="000250FA" w:rsidRDefault="00893D5B" w:rsidP="00912564">
      <w:pPr>
        <w:numPr>
          <w:ilvl w:val="0"/>
          <w:numId w:val="44"/>
        </w:numPr>
        <w:jc w:val="both"/>
        <w:rPr>
          <w:bCs/>
          <w:sz w:val="22"/>
          <w:szCs w:val="22"/>
        </w:rPr>
      </w:pPr>
      <w:r w:rsidRPr="000250FA">
        <w:rPr>
          <w:bCs/>
          <w:sz w:val="22"/>
          <w:szCs w:val="22"/>
        </w:rPr>
        <w:t>a korábbi határozatlan idejű helyett határozott idejű közalkalmazotti jogviszonyt ajánlanak fel, vagy</w:t>
      </w:r>
    </w:p>
    <w:p w14:paraId="3BC35A66" w14:textId="77777777" w:rsidR="00893D5B" w:rsidRPr="000250FA" w:rsidRDefault="00893D5B" w:rsidP="00912564">
      <w:pPr>
        <w:numPr>
          <w:ilvl w:val="0"/>
          <w:numId w:val="44"/>
        </w:numPr>
        <w:jc w:val="both"/>
        <w:rPr>
          <w:bCs/>
          <w:sz w:val="22"/>
          <w:szCs w:val="22"/>
        </w:rPr>
      </w:pPr>
      <w:r w:rsidRPr="000250FA">
        <w:rPr>
          <w:bCs/>
          <w:sz w:val="22"/>
          <w:szCs w:val="22"/>
        </w:rPr>
        <w:t>az új munkahely és a lakóhely között - tömegközlekedési eszközzel - történő oda- és visszautazás ideje naponta a két órát, illetve 10 éven aluli gyermeket nevelő közalkalmazott esetében a másfél órát meghaladja, kivéve, ha az utazási idő mértéke közalkalmazotti jogviszonyában az említett időtartamot elérte.</w:t>
      </w:r>
    </w:p>
    <w:p w14:paraId="506FBEDD" w14:textId="77777777" w:rsidR="00893D5B" w:rsidRPr="000250FA" w:rsidRDefault="00893D5B" w:rsidP="00893D5B">
      <w:pPr>
        <w:pStyle w:val="Normlstilus1norml"/>
        <w:tabs>
          <w:tab w:val="left" w:pos="9781"/>
        </w:tabs>
        <w:ind w:right="-144"/>
        <w:rPr>
          <w:b/>
          <w:i/>
          <w:color w:val="auto"/>
          <w:sz w:val="22"/>
          <w:szCs w:val="22"/>
        </w:rPr>
      </w:pPr>
    </w:p>
    <w:p w14:paraId="69FA0CE2"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(7) Ha a közalkalmazottal az Egyetem legalább két alkalommal határozott időre szóló közalkalmazotti jogviszonyt létesít és a korábbi közalkalmazotti jogviszony megszűnése és az újabb közalkalmazotti jogviszony létesítésének időpontja között hat hónapnál hosszabb idő nem telt el, a közalkalmazott végkielégítésre jogosult, feltéve, hogy közalkalmazotti jogviszonya a 32/</w:t>
      </w:r>
      <w:proofErr w:type="gramStart"/>
      <w:r w:rsidRPr="000250FA">
        <w:rPr>
          <w:color w:val="auto"/>
          <w:sz w:val="22"/>
          <w:szCs w:val="22"/>
        </w:rPr>
        <w:t>A</w:t>
      </w:r>
      <w:proofErr w:type="gramEnd"/>
      <w:r w:rsidRPr="000250FA">
        <w:rPr>
          <w:color w:val="auto"/>
          <w:sz w:val="22"/>
          <w:szCs w:val="22"/>
        </w:rPr>
        <w:t>. § (1) bekezdés d) pontja, vagy a határozott idő lejártával szűnik meg.</w:t>
      </w:r>
    </w:p>
    <w:p w14:paraId="38CD29D2" w14:textId="77777777" w:rsidR="00893D5B" w:rsidRPr="000250FA" w:rsidRDefault="00893D5B" w:rsidP="00893D5B">
      <w:pPr>
        <w:pStyle w:val="Normlstilus1norml"/>
        <w:tabs>
          <w:tab w:val="left" w:pos="9781"/>
        </w:tabs>
        <w:ind w:right="-144"/>
        <w:rPr>
          <w:color w:val="auto"/>
          <w:sz w:val="22"/>
          <w:szCs w:val="22"/>
        </w:rPr>
      </w:pPr>
    </w:p>
    <w:p w14:paraId="31CA3076"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(8)</w:t>
      </w:r>
      <w:r w:rsidRPr="000250FA">
        <w:rPr>
          <w:rStyle w:val="Lbjegyzet-hivatkozs"/>
          <w:color w:val="auto"/>
          <w:sz w:val="22"/>
          <w:szCs w:val="22"/>
        </w:rPr>
        <w:footnoteReference w:id="137"/>
      </w:r>
      <w:r w:rsidRPr="000250FA">
        <w:rPr>
          <w:color w:val="auto"/>
          <w:sz w:val="22"/>
          <w:szCs w:val="22"/>
        </w:rPr>
        <w:t xml:space="preserve"> A végkielégítésre való jogosultság feltétele, hogy a közalkalmazott a (3) bekezdésben meghatározott időtartamú közalkalmazotti jogviszonnyal rendelkezzen. A közalkalmazott végkielégítésre való jogosultságának megállapításánál - az áthelyezést kivéve - nem lehet beszámítani a korábbi közalkalmazotti jogviszonyban töltött időt. A végkielégítésre való jogosultság szempontjából emellett figyelmen kívül kell hagyni a Kjt. 22. § (8) bekezdés b) és c) pontjában meghatározott időtartamot is, kivéve a hozzátartozó, valamint a tizennégy éven aluli gyermek gondozása, ápolása céljából, továbbá a tizenkét éven aluli gyermek betegsége esetén az otthoni ápolás érdekében igénybe vett fizetés nélküli szabadság időtartamát.</w:t>
      </w:r>
    </w:p>
    <w:p w14:paraId="34B1EA2C" w14:textId="77777777" w:rsidR="00893D5B" w:rsidRPr="000250FA" w:rsidRDefault="00893D5B" w:rsidP="00893D5B">
      <w:pPr>
        <w:pStyle w:val="Normlstilus1norml"/>
        <w:tabs>
          <w:tab w:val="left" w:pos="9781"/>
        </w:tabs>
        <w:ind w:right="-144"/>
        <w:jc w:val="center"/>
        <w:rPr>
          <w:b/>
          <w:color w:val="auto"/>
          <w:sz w:val="22"/>
          <w:szCs w:val="22"/>
        </w:rPr>
      </w:pPr>
    </w:p>
    <w:p w14:paraId="28716284" w14:textId="77777777" w:rsidR="00893D5B" w:rsidRPr="000250FA" w:rsidRDefault="00893D5B" w:rsidP="00893D5B">
      <w:pPr>
        <w:pStyle w:val="Cmsor4"/>
      </w:pPr>
      <w:bookmarkStart w:id="87" w:name="_Toc432753545"/>
      <w:r w:rsidRPr="000250FA">
        <w:t>A nyugdíjas közalkalmazottra vonatkozó külön rendelkezések</w:t>
      </w:r>
      <w:bookmarkEnd w:id="87"/>
    </w:p>
    <w:p w14:paraId="20DD3533" w14:textId="77777777" w:rsidR="00893D5B" w:rsidRPr="000250FA" w:rsidRDefault="00893D5B" w:rsidP="00893D5B">
      <w:pPr>
        <w:pStyle w:val="Normlstilus1norml"/>
        <w:tabs>
          <w:tab w:val="left" w:pos="9781"/>
        </w:tabs>
        <w:ind w:right="-144"/>
        <w:rPr>
          <w:color w:val="auto"/>
          <w:sz w:val="22"/>
          <w:szCs w:val="22"/>
        </w:rPr>
      </w:pPr>
    </w:p>
    <w:p w14:paraId="614EB7CC"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 xml:space="preserve">32. § </w:t>
      </w:r>
      <w:r w:rsidRPr="000250FA">
        <w:rPr>
          <w:color w:val="auto"/>
          <w:sz w:val="22"/>
          <w:szCs w:val="22"/>
        </w:rPr>
        <w:t>(1)</w:t>
      </w:r>
      <w:r w:rsidRPr="000250FA">
        <w:rPr>
          <w:b/>
          <w:color w:val="auto"/>
          <w:sz w:val="22"/>
          <w:szCs w:val="22"/>
        </w:rPr>
        <w:t xml:space="preserve"> </w:t>
      </w:r>
      <w:r w:rsidRPr="00A5211E">
        <w:rPr>
          <w:rStyle w:val="Lbjegyzet-hivatkozs"/>
          <w:color w:val="auto"/>
          <w:sz w:val="22"/>
          <w:szCs w:val="22"/>
        </w:rPr>
        <w:footnoteReference w:id="138"/>
      </w:r>
      <w:r w:rsidRPr="00A5211E">
        <w:rPr>
          <w:color w:val="auto"/>
          <w:sz w:val="22"/>
          <w:szCs w:val="22"/>
        </w:rPr>
        <w:t xml:space="preserve"> </w:t>
      </w:r>
      <w:r w:rsidRPr="00A5211E">
        <w:rPr>
          <w:rStyle w:val="Lbjegyzet-hivatkozs"/>
          <w:color w:val="auto"/>
          <w:sz w:val="22"/>
          <w:szCs w:val="22"/>
        </w:rPr>
        <w:footnoteReference w:id="139"/>
      </w:r>
      <w:r w:rsidRPr="00A5211E">
        <w:rPr>
          <w:color w:val="auto"/>
          <w:sz w:val="22"/>
          <w:szCs w:val="22"/>
        </w:rPr>
        <w:t xml:space="preserve"> </w:t>
      </w:r>
      <w:r w:rsidRPr="00A5211E">
        <w:rPr>
          <w:rStyle w:val="Lbjegyzet-hivatkozs"/>
          <w:color w:val="auto"/>
          <w:sz w:val="22"/>
          <w:szCs w:val="22"/>
        </w:rPr>
        <w:footnoteReference w:id="140"/>
      </w:r>
      <w:r w:rsidRPr="00A5211E">
        <w:rPr>
          <w:color w:val="auto"/>
          <w:sz w:val="22"/>
          <w:szCs w:val="22"/>
        </w:rPr>
        <w:t xml:space="preserve"> </w:t>
      </w:r>
      <w:r w:rsidRPr="00A5211E">
        <w:rPr>
          <w:rStyle w:val="Lbjegyzet-hivatkozs"/>
          <w:color w:val="auto"/>
          <w:sz w:val="22"/>
          <w:szCs w:val="22"/>
        </w:rPr>
        <w:footnoteReference w:id="141"/>
      </w:r>
      <w:r w:rsidRPr="00A5211E">
        <w:rPr>
          <w:color w:val="auto"/>
          <w:sz w:val="22"/>
          <w:szCs w:val="22"/>
        </w:rPr>
        <w:t xml:space="preserve"> </w:t>
      </w:r>
      <w:r w:rsidRPr="00A5211E">
        <w:rPr>
          <w:rStyle w:val="Lbjegyzet-hivatkozs"/>
          <w:color w:val="auto"/>
          <w:sz w:val="22"/>
          <w:szCs w:val="22"/>
        </w:rPr>
        <w:footnoteReference w:id="142"/>
      </w:r>
      <w:r w:rsidRPr="000250FA">
        <w:rPr>
          <w:color w:val="auto"/>
          <w:sz w:val="22"/>
          <w:szCs w:val="22"/>
        </w:rPr>
        <w:t xml:space="preserve"> A munkáltatói jogkör gyakorlója az 1700/2012. (XII. 29.) Kormányhatározatban foglaltak alapján köteles megszüntetni a rá irányadó nyugdíjkorhatárt elérő közalkalmazottak közalkalmazotti jogviszonyát a határozatban foglaltak szerint. A Kormányhatározatban foglaltakat nem kell alkalmazni az oktató, kutató, felsőoktatásban tanár munkakört betöltők esetében.</w:t>
      </w:r>
    </w:p>
    <w:p w14:paraId="23EDF7E2" w14:textId="77777777" w:rsidR="00893D5B" w:rsidRPr="000250FA" w:rsidRDefault="00893D5B" w:rsidP="00893D5B">
      <w:pPr>
        <w:pStyle w:val="Normlstilus1norml"/>
        <w:tabs>
          <w:tab w:val="left" w:pos="9781"/>
        </w:tabs>
        <w:ind w:right="-144"/>
        <w:rPr>
          <w:color w:val="auto"/>
          <w:sz w:val="22"/>
          <w:szCs w:val="22"/>
        </w:rPr>
      </w:pPr>
    </w:p>
    <w:p w14:paraId="7B4B6CB8" w14:textId="77777777" w:rsidR="00893D5B" w:rsidRPr="000250FA" w:rsidRDefault="00893D5B" w:rsidP="00893D5B">
      <w:pPr>
        <w:spacing w:after="160" w:line="259" w:lineRule="auto"/>
        <w:jc w:val="both"/>
        <w:rPr>
          <w:strike/>
          <w:sz w:val="22"/>
          <w:szCs w:val="22"/>
        </w:rPr>
      </w:pPr>
      <w:r w:rsidRPr="000250FA">
        <w:rPr>
          <w:sz w:val="22"/>
          <w:szCs w:val="22"/>
        </w:rPr>
        <w:t>(2)</w:t>
      </w:r>
      <w:r w:rsidRPr="000250FA">
        <w:rPr>
          <w:rStyle w:val="Lbjegyzet-hivatkozs"/>
          <w:sz w:val="22"/>
          <w:szCs w:val="22"/>
        </w:rPr>
        <w:footnoteReference w:id="143"/>
      </w:r>
      <w:r w:rsidRPr="000250FA">
        <w:rPr>
          <w:sz w:val="22"/>
          <w:szCs w:val="22"/>
        </w:rPr>
        <w:t xml:space="preserve"> </w:t>
      </w:r>
      <w:r w:rsidRPr="000250FA">
        <w:rPr>
          <w:rStyle w:val="Lbjegyzet-hivatkozs"/>
          <w:sz w:val="22"/>
          <w:szCs w:val="22"/>
        </w:rPr>
        <w:footnoteReference w:id="144"/>
      </w:r>
      <w:r w:rsidRPr="000250FA">
        <w:rPr>
          <w:sz w:val="22"/>
          <w:szCs w:val="22"/>
        </w:rPr>
        <w:t xml:space="preserve"> </w:t>
      </w:r>
      <w:r w:rsidRPr="000250FA">
        <w:rPr>
          <w:rStyle w:val="Lbjegyzet-hivatkozs"/>
          <w:sz w:val="22"/>
          <w:szCs w:val="22"/>
        </w:rPr>
        <w:footnoteReference w:id="145"/>
      </w:r>
      <w:r w:rsidRPr="000250FA">
        <w:rPr>
          <w:sz w:val="22"/>
          <w:szCs w:val="22"/>
        </w:rPr>
        <w:t xml:space="preserve"> </w:t>
      </w:r>
      <w:r w:rsidRPr="000250FA">
        <w:rPr>
          <w:rStyle w:val="Lbjegyzet-hivatkozs"/>
          <w:sz w:val="22"/>
          <w:szCs w:val="22"/>
        </w:rPr>
        <w:footnoteReference w:id="146"/>
      </w:r>
      <w:r w:rsidRPr="000250FA">
        <w:rPr>
          <w:sz w:val="22"/>
          <w:szCs w:val="22"/>
        </w:rPr>
        <w:t xml:space="preserve">A reá irányadó nyugdíjkorhatárt betöltő oktató, kutató és tanár a hetvenedik életévének betöltéséig foglalkoztatható a munkáltatói jogkör gyakorlójának döntése alapján. A munkáltatói jogkör gyakorlója – a felek eltérő megállapodásának hiányában – a hetvenedik életév betöltésére tekintettel </w:t>
      </w:r>
      <w:r w:rsidRPr="000250FA">
        <w:rPr>
          <w:sz w:val="22"/>
          <w:szCs w:val="22"/>
        </w:rPr>
        <w:lastRenderedPageBreak/>
        <w:t>felmentéssel szünteti meg a közalkalmazotti jogviszonyt. A felmentést olyan időpontban kell közölni, hogy a közalkalmazotti jogviszony a hetvenedik életév betöltését követő napon szűnjék meg.</w:t>
      </w:r>
    </w:p>
    <w:p w14:paraId="1796C3F6"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w:t>
      </w:r>
      <w:r w:rsidRPr="000250FA">
        <w:rPr>
          <w:rStyle w:val="Lbjegyzet-hivatkozs"/>
          <w:color w:val="auto"/>
          <w:sz w:val="22"/>
          <w:szCs w:val="22"/>
        </w:rPr>
        <w:footnoteReference w:id="147"/>
      </w:r>
      <w:r w:rsidRPr="000250FA">
        <w:rPr>
          <w:color w:val="auto"/>
          <w:sz w:val="22"/>
          <w:szCs w:val="22"/>
        </w:rPr>
        <w:t xml:space="preserve"> </w:t>
      </w:r>
    </w:p>
    <w:p w14:paraId="0DE86440" w14:textId="77777777" w:rsidR="00893D5B" w:rsidRPr="000250FA" w:rsidRDefault="00893D5B" w:rsidP="00893D5B">
      <w:pPr>
        <w:pStyle w:val="Normlstilus1norml"/>
        <w:tabs>
          <w:tab w:val="left" w:pos="9781"/>
        </w:tabs>
        <w:ind w:right="-144"/>
        <w:rPr>
          <w:color w:val="auto"/>
          <w:sz w:val="22"/>
          <w:szCs w:val="22"/>
        </w:rPr>
      </w:pPr>
    </w:p>
    <w:p w14:paraId="275AA15A"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w:t>
      </w:r>
      <w:r w:rsidRPr="000250FA">
        <w:rPr>
          <w:rStyle w:val="Lbjegyzet-hivatkozs"/>
          <w:color w:val="auto"/>
          <w:sz w:val="22"/>
          <w:szCs w:val="22"/>
        </w:rPr>
        <w:t xml:space="preserve"> </w:t>
      </w:r>
      <w:r w:rsidRPr="000250FA">
        <w:rPr>
          <w:rStyle w:val="Lbjegyzet-hivatkozs"/>
          <w:color w:val="auto"/>
          <w:sz w:val="22"/>
          <w:szCs w:val="22"/>
        </w:rPr>
        <w:footnoteReference w:id="148"/>
      </w:r>
      <w:r w:rsidRPr="000250FA">
        <w:rPr>
          <w:color w:val="auto"/>
          <w:sz w:val="22"/>
          <w:szCs w:val="22"/>
        </w:rPr>
        <w:t xml:space="preserve"> Nem szüntethető meg a (2) bekezdés alapján a 65. életév betöltéséig a vezetői megbízással rendelkező oktató, kutató, felsőoktatásban tanár munkakört betöltő közalkalmazott közalkalmazotti jogviszonya.</w:t>
      </w:r>
    </w:p>
    <w:p w14:paraId="5AECB2B7" w14:textId="77777777" w:rsidR="00893D5B" w:rsidRPr="000250FA" w:rsidRDefault="00893D5B" w:rsidP="00893D5B">
      <w:pPr>
        <w:pStyle w:val="Normlstilus1norml"/>
        <w:tabs>
          <w:tab w:val="left" w:pos="9781"/>
        </w:tabs>
        <w:ind w:right="-144"/>
        <w:rPr>
          <w:color w:val="auto"/>
          <w:sz w:val="22"/>
          <w:szCs w:val="22"/>
        </w:rPr>
      </w:pPr>
    </w:p>
    <w:p w14:paraId="4590F916" w14:textId="353CB519" w:rsidR="00893D5B" w:rsidRPr="000250FA" w:rsidRDefault="00893D5B" w:rsidP="00893D5B">
      <w:pPr>
        <w:tabs>
          <w:tab w:val="left" w:pos="9781"/>
        </w:tabs>
        <w:jc w:val="both"/>
        <w:rPr>
          <w:rFonts w:eastAsia="Calibri"/>
          <w:sz w:val="22"/>
          <w:szCs w:val="22"/>
          <w:lang w:eastAsia="en-US"/>
        </w:rPr>
      </w:pPr>
      <w:r w:rsidRPr="000250FA">
        <w:rPr>
          <w:sz w:val="22"/>
          <w:szCs w:val="22"/>
        </w:rPr>
        <w:t xml:space="preserve">(5) </w:t>
      </w:r>
      <w:r w:rsidRPr="000250FA">
        <w:rPr>
          <w:sz w:val="22"/>
          <w:szCs w:val="22"/>
          <w:vertAlign w:val="superscript"/>
        </w:rPr>
        <w:footnoteReference w:id="149"/>
      </w:r>
      <w:r w:rsidRPr="000250FA">
        <w:rPr>
          <w:rStyle w:val="Lbjegyzet-hivatkozs"/>
          <w:sz w:val="22"/>
          <w:szCs w:val="22"/>
        </w:rPr>
        <w:footnoteReference w:id="150"/>
      </w:r>
      <w:r w:rsidRPr="000250FA">
        <w:rPr>
          <w:rStyle w:val="Lbjegyzet-hivatkozs"/>
          <w:sz w:val="22"/>
          <w:szCs w:val="22"/>
        </w:rPr>
        <w:footnoteReference w:id="151"/>
      </w:r>
      <w:r w:rsidRPr="000250FA">
        <w:rPr>
          <w:rStyle w:val="Lbjegyzet-hivatkozs"/>
          <w:sz w:val="22"/>
          <w:szCs w:val="22"/>
        </w:rPr>
        <w:footnoteReference w:id="152"/>
      </w:r>
      <w:r w:rsidRPr="000250FA">
        <w:rPr>
          <w:sz w:val="22"/>
          <w:szCs w:val="22"/>
        </w:rPr>
        <w:t xml:space="preserve"> A munkáltatói jogkör gyakorlója a </w:t>
      </w:r>
      <w:r w:rsidR="008F3214" w:rsidRPr="00BD6AF1">
        <w:rPr>
          <w:bCs/>
          <w:sz w:val="22"/>
          <w:szCs w:val="22"/>
        </w:rPr>
        <w:t>HFO</w:t>
      </w:r>
      <w:r w:rsidRPr="00BD6AF1">
        <w:rPr>
          <w:sz w:val="22"/>
          <w:szCs w:val="22"/>
        </w:rPr>
        <w:t xml:space="preserve"> tárgyévet megelőző év november 30. napjáig a Rektori Kabinetnek, illetve a Kancellári Hivatalnak megküldött adatszolgáltatása alapján minden tárgyévet megelőző év december 31. napjáig köteles megvizsgálni, hogy a következő egy éves időszakban mely közalkalmazott minősül nyugdíjasnak. </w:t>
      </w:r>
      <w:r w:rsidRPr="00BD6AF1">
        <w:rPr>
          <w:rFonts w:eastAsia="Calibri"/>
          <w:iCs/>
          <w:sz w:val="22"/>
          <w:szCs w:val="22"/>
          <w:lang w:eastAsia="en-US"/>
        </w:rPr>
        <w:t>A</w:t>
      </w:r>
      <w:r w:rsidRPr="00BD6AF1">
        <w:rPr>
          <w:rFonts w:eastAsia="Calibri"/>
          <w:sz w:val="22"/>
          <w:szCs w:val="22"/>
          <w:lang w:eastAsia="en-US"/>
        </w:rPr>
        <w:t xml:space="preserve"> munkáltatói jogkör gyakorlója a tárgyévet megelőző év december 31. napjáig tájékoztatja a </w:t>
      </w:r>
      <w:r w:rsidR="008F3214" w:rsidRPr="00BD6AF1">
        <w:rPr>
          <w:rFonts w:eastAsia="Calibri"/>
          <w:bCs/>
          <w:iCs/>
          <w:sz w:val="22"/>
          <w:szCs w:val="22"/>
          <w:lang w:eastAsia="en-US"/>
        </w:rPr>
        <w:t>HFO-t</w:t>
      </w:r>
      <w:r w:rsidR="008F3214" w:rsidRPr="00BD6AF1">
        <w:rPr>
          <w:rFonts w:eastAsia="Calibri"/>
          <w:sz w:val="22"/>
          <w:szCs w:val="22"/>
          <w:lang w:eastAsia="en-US"/>
        </w:rPr>
        <w:t xml:space="preserve"> </w:t>
      </w:r>
      <w:r w:rsidRPr="000250FA">
        <w:rPr>
          <w:rFonts w:eastAsia="Calibri"/>
          <w:sz w:val="22"/>
          <w:szCs w:val="22"/>
          <w:lang w:eastAsia="en-US"/>
        </w:rPr>
        <w:t>arról, hogy</w:t>
      </w:r>
    </w:p>
    <w:p w14:paraId="65B09C54" w14:textId="77777777" w:rsidR="00893D5B" w:rsidRPr="000250FA" w:rsidRDefault="00893D5B" w:rsidP="00893D5B">
      <w:pPr>
        <w:tabs>
          <w:tab w:val="left" w:pos="9781"/>
        </w:tabs>
        <w:spacing w:line="259" w:lineRule="auto"/>
        <w:jc w:val="both"/>
        <w:rPr>
          <w:rFonts w:eastAsia="Calibri"/>
          <w:sz w:val="22"/>
          <w:szCs w:val="22"/>
          <w:lang w:eastAsia="en-US"/>
        </w:rPr>
      </w:pPr>
      <w:r w:rsidRPr="000250FA">
        <w:rPr>
          <w:rFonts w:eastAsia="Calibri"/>
          <w:sz w:val="22"/>
          <w:szCs w:val="22"/>
          <w:lang w:eastAsia="en-US"/>
        </w:rPr>
        <w:t xml:space="preserve">- az (1) bekezdésben említett közalkalmazott </w:t>
      </w:r>
      <w:proofErr w:type="spellStart"/>
      <w:r w:rsidRPr="000250FA">
        <w:rPr>
          <w:rFonts w:eastAsia="Calibri"/>
          <w:sz w:val="22"/>
          <w:szCs w:val="22"/>
          <w:lang w:eastAsia="en-US"/>
        </w:rPr>
        <w:t>továbbfoglalkoztatását</w:t>
      </w:r>
      <w:proofErr w:type="spellEnd"/>
      <w:r w:rsidRPr="000250FA">
        <w:rPr>
          <w:rFonts w:eastAsia="Calibri"/>
          <w:sz w:val="22"/>
          <w:szCs w:val="22"/>
          <w:lang w:eastAsia="en-US"/>
        </w:rPr>
        <w:t xml:space="preserve"> kezdeményezi,</w:t>
      </w:r>
    </w:p>
    <w:p w14:paraId="436A2C77" w14:textId="77777777" w:rsidR="00893D5B" w:rsidRPr="000250FA" w:rsidRDefault="00893D5B" w:rsidP="00893D5B">
      <w:pPr>
        <w:tabs>
          <w:tab w:val="left" w:pos="9781"/>
        </w:tabs>
        <w:spacing w:line="259" w:lineRule="auto"/>
        <w:jc w:val="both"/>
        <w:rPr>
          <w:rFonts w:eastAsia="Calibri"/>
          <w:sz w:val="22"/>
          <w:szCs w:val="22"/>
          <w:lang w:eastAsia="en-US"/>
        </w:rPr>
      </w:pPr>
      <w:r w:rsidRPr="000250FA">
        <w:rPr>
          <w:rFonts w:eastAsia="Calibri"/>
          <w:sz w:val="22"/>
          <w:szCs w:val="22"/>
          <w:lang w:eastAsia="en-US"/>
        </w:rPr>
        <w:t xml:space="preserve">- a (2) bekezdésben említett közalkalmazott közalkalmazotti jogviszonyának megszüntetését kezdeményezi.  </w:t>
      </w:r>
    </w:p>
    <w:p w14:paraId="5B38A4ED" w14:textId="77777777" w:rsidR="00893D5B" w:rsidRPr="000250FA" w:rsidRDefault="00893D5B" w:rsidP="00893D5B">
      <w:pPr>
        <w:tabs>
          <w:tab w:val="left" w:pos="9781"/>
        </w:tabs>
        <w:jc w:val="both"/>
        <w:rPr>
          <w:sz w:val="22"/>
          <w:szCs w:val="22"/>
        </w:rPr>
      </w:pPr>
    </w:p>
    <w:p w14:paraId="271BEDD1"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153"/>
      </w:r>
    </w:p>
    <w:p w14:paraId="757F3CF8" w14:textId="77777777" w:rsidR="00893D5B" w:rsidRPr="000250FA" w:rsidRDefault="00893D5B" w:rsidP="00893D5B">
      <w:pPr>
        <w:tabs>
          <w:tab w:val="left" w:pos="9781"/>
        </w:tabs>
        <w:ind w:right="-144"/>
        <w:jc w:val="both"/>
        <w:rPr>
          <w:sz w:val="22"/>
          <w:szCs w:val="22"/>
        </w:rPr>
      </w:pPr>
    </w:p>
    <w:p w14:paraId="2D52F254" w14:textId="77777777" w:rsidR="00893D5B" w:rsidRPr="000250FA" w:rsidRDefault="00893D5B" w:rsidP="00893D5B">
      <w:pPr>
        <w:tabs>
          <w:tab w:val="left" w:pos="9781"/>
        </w:tabs>
        <w:ind w:right="-144"/>
        <w:jc w:val="both"/>
        <w:rPr>
          <w:strike/>
          <w:sz w:val="22"/>
          <w:szCs w:val="22"/>
        </w:rPr>
      </w:pPr>
      <w:r w:rsidRPr="000250FA">
        <w:rPr>
          <w:sz w:val="22"/>
          <w:szCs w:val="22"/>
        </w:rPr>
        <w:t xml:space="preserve">(7) </w:t>
      </w:r>
      <w:r w:rsidRPr="000250FA">
        <w:rPr>
          <w:sz w:val="22"/>
          <w:szCs w:val="22"/>
          <w:vertAlign w:val="superscript"/>
        </w:rPr>
        <w:footnoteReference w:id="154"/>
      </w:r>
      <w:r w:rsidRPr="000250FA">
        <w:rPr>
          <w:sz w:val="22"/>
          <w:szCs w:val="22"/>
        </w:rPr>
        <w:t xml:space="preserve"> </w:t>
      </w:r>
      <w:r w:rsidRPr="000250FA">
        <w:rPr>
          <w:rStyle w:val="Lbjegyzet-hivatkozs"/>
          <w:sz w:val="22"/>
          <w:szCs w:val="22"/>
        </w:rPr>
        <w:footnoteReference w:id="155"/>
      </w:r>
      <w:r w:rsidRPr="000250FA">
        <w:rPr>
          <w:sz w:val="22"/>
          <w:szCs w:val="22"/>
        </w:rPr>
        <w:t xml:space="preserve"> </w:t>
      </w:r>
      <w:r w:rsidRPr="000250FA">
        <w:rPr>
          <w:rStyle w:val="Lbjegyzet-hivatkozs"/>
          <w:sz w:val="22"/>
          <w:szCs w:val="22"/>
        </w:rPr>
        <w:footnoteReference w:id="156"/>
      </w:r>
    </w:p>
    <w:p w14:paraId="62273A49" w14:textId="77777777" w:rsidR="00893D5B" w:rsidRPr="000250FA" w:rsidRDefault="00893D5B" w:rsidP="00893D5B">
      <w:pPr>
        <w:tabs>
          <w:tab w:val="left" w:pos="2535"/>
        </w:tabs>
        <w:ind w:right="-144"/>
        <w:jc w:val="both"/>
        <w:rPr>
          <w:bCs/>
          <w:iCs/>
          <w:sz w:val="22"/>
          <w:szCs w:val="22"/>
        </w:rPr>
      </w:pPr>
    </w:p>
    <w:p w14:paraId="15F3DE16" w14:textId="77777777" w:rsidR="00893D5B" w:rsidRPr="000250FA" w:rsidRDefault="00893D5B" w:rsidP="00893D5B">
      <w:pPr>
        <w:tabs>
          <w:tab w:val="left" w:pos="9781"/>
        </w:tabs>
        <w:ind w:right="-144"/>
        <w:jc w:val="both"/>
        <w:rPr>
          <w:bCs/>
          <w:iCs/>
          <w:sz w:val="22"/>
          <w:szCs w:val="22"/>
        </w:rPr>
      </w:pPr>
      <w:r w:rsidRPr="000250FA">
        <w:rPr>
          <w:bCs/>
          <w:iCs/>
          <w:sz w:val="22"/>
          <w:szCs w:val="22"/>
        </w:rPr>
        <w:t>(8)</w:t>
      </w:r>
      <w:r w:rsidRPr="000250FA">
        <w:rPr>
          <w:bCs/>
          <w:iCs/>
          <w:sz w:val="22"/>
          <w:szCs w:val="22"/>
          <w:vertAlign w:val="superscript"/>
        </w:rPr>
        <w:footnoteReference w:id="157"/>
      </w:r>
      <w:r w:rsidRPr="000250FA">
        <w:rPr>
          <w:bCs/>
          <w:iCs/>
          <w:sz w:val="22"/>
          <w:szCs w:val="22"/>
        </w:rPr>
        <w:t xml:space="preserve"> </w:t>
      </w:r>
      <w:r w:rsidRPr="000250FA">
        <w:rPr>
          <w:rStyle w:val="Lbjegyzet-hivatkozs"/>
          <w:bCs/>
          <w:iCs/>
          <w:sz w:val="22"/>
          <w:szCs w:val="22"/>
        </w:rPr>
        <w:footnoteReference w:id="158"/>
      </w:r>
    </w:p>
    <w:p w14:paraId="479BA41E" w14:textId="77777777" w:rsidR="00893D5B" w:rsidRPr="000250FA" w:rsidRDefault="00893D5B" w:rsidP="00893D5B">
      <w:pPr>
        <w:tabs>
          <w:tab w:val="left" w:pos="9781"/>
        </w:tabs>
        <w:ind w:right="-144"/>
        <w:jc w:val="both"/>
        <w:rPr>
          <w:bCs/>
          <w:iCs/>
          <w:sz w:val="22"/>
          <w:szCs w:val="22"/>
        </w:rPr>
      </w:pPr>
    </w:p>
    <w:p w14:paraId="38F40098" w14:textId="77777777" w:rsidR="00893D5B" w:rsidRPr="000250FA" w:rsidRDefault="00893D5B" w:rsidP="00893D5B">
      <w:pPr>
        <w:tabs>
          <w:tab w:val="left" w:pos="9781"/>
        </w:tabs>
        <w:ind w:right="-144"/>
        <w:jc w:val="both"/>
        <w:rPr>
          <w:bCs/>
          <w:iCs/>
          <w:sz w:val="22"/>
          <w:szCs w:val="22"/>
          <w:lang w:eastAsia="en-US"/>
        </w:rPr>
      </w:pPr>
      <w:r w:rsidRPr="000250FA">
        <w:rPr>
          <w:bCs/>
          <w:iCs/>
          <w:sz w:val="22"/>
          <w:szCs w:val="22"/>
        </w:rPr>
        <w:t xml:space="preserve">(9) A </w:t>
      </w:r>
      <w:proofErr w:type="spellStart"/>
      <w:r w:rsidRPr="000250FA">
        <w:rPr>
          <w:bCs/>
          <w:iCs/>
          <w:sz w:val="22"/>
          <w:szCs w:val="22"/>
        </w:rPr>
        <w:t>továbbfoglalkoztatási</w:t>
      </w:r>
      <w:proofErr w:type="spellEnd"/>
      <w:r w:rsidRPr="000250FA">
        <w:rPr>
          <w:bCs/>
          <w:iCs/>
          <w:sz w:val="22"/>
          <w:szCs w:val="22"/>
        </w:rPr>
        <w:t xml:space="preserve"> engedéllyel nem rendelkező közalkalmazott felmentési ideje a nyugdíjasnak minősülése első napján kezdődik.</w:t>
      </w:r>
    </w:p>
    <w:p w14:paraId="03C79E11" w14:textId="77777777" w:rsidR="00893D5B" w:rsidRPr="000250FA" w:rsidRDefault="00893D5B" w:rsidP="00893D5B">
      <w:pPr>
        <w:tabs>
          <w:tab w:val="left" w:pos="9781"/>
        </w:tabs>
        <w:ind w:right="-144"/>
        <w:jc w:val="both"/>
        <w:rPr>
          <w:sz w:val="22"/>
          <w:szCs w:val="22"/>
        </w:rPr>
      </w:pPr>
    </w:p>
    <w:p w14:paraId="1C07934C" w14:textId="77777777" w:rsidR="00893D5B" w:rsidRPr="000250FA" w:rsidRDefault="00893D5B" w:rsidP="00893D5B">
      <w:pPr>
        <w:tabs>
          <w:tab w:val="left" w:pos="9781"/>
        </w:tabs>
        <w:ind w:right="-144"/>
        <w:jc w:val="both"/>
        <w:rPr>
          <w:sz w:val="22"/>
          <w:szCs w:val="22"/>
        </w:rPr>
      </w:pPr>
      <w:r w:rsidRPr="000250FA">
        <w:rPr>
          <w:sz w:val="22"/>
          <w:szCs w:val="22"/>
        </w:rPr>
        <w:t xml:space="preserve">(10) </w:t>
      </w:r>
      <w:r w:rsidRPr="000250FA">
        <w:rPr>
          <w:rStyle w:val="Lbjegyzet-hivatkozs"/>
          <w:sz w:val="22"/>
          <w:szCs w:val="22"/>
        </w:rPr>
        <w:footnoteReference w:id="159"/>
      </w:r>
      <w:r w:rsidRPr="000250FA">
        <w:rPr>
          <w:sz w:val="22"/>
          <w:szCs w:val="22"/>
        </w:rPr>
        <w:t xml:space="preserve"> Amennyiben a közalkalmazott jogviszonyát a munkáltató nyugdíjasnak minősülésére tekintettel felmentéssel, illetőleg közös megegyezéssel szüntette meg, az </w:t>
      </w:r>
      <w:proofErr w:type="spellStart"/>
      <w:r w:rsidRPr="000250FA">
        <w:rPr>
          <w:sz w:val="22"/>
          <w:szCs w:val="22"/>
        </w:rPr>
        <w:t>érintettel</w:t>
      </w:r>
      <w:proofErr w:type="spellEnd"/>
      <w:r w:rsidRPr="000250FA">
        <w:rPr>
          <w:sz w:val="22"/>
          <w:szCs w:val="22"/>
        </w:rPr>
        <w:t xml:space="preserve"> újabb közalkalmazotti jogviszonyt fenntartói engedély birtokában kizárólag helyettesítés vagy meghatározott munka elvégzésére, illetve feladat ellátására, legfeljebb egy év időtartamra határozott időre lehet létesíteni az új jogviszony létesítés szabályai szerint. A közalkalmazott illetményének, nyugellátásának, valamint emeritusi díjának összege nem lehet magasabb, mint a jogviszony megszűnéskor őt megillető illetmény, de legalább</w:t>
      </w:r>
      <w:r w:rsidRPr="000250FA">
        <w:rPr>
          <w:rStyle w:val="Lbjegyzet-hivatkozs"/>
          <w:b/>
          <w:i/>
          <w:sz w:val="22"/>
          <w:szCs w:val="22"/>
        </w:rPr>
        <w:footnoteReference w:id="160"/>
      </w:r>
      <w:r w:rsidRPr="000250FA">
        <w:rPr>
          <w:sz w:val="22"/>
          <w:szCs w:val="22"/>
        </w:rPr>
        <w:t xml:space="preserve">a jogszabály által előírt </w:t>
      </w:r>
      <w:proofErr w:type="gramStart"/>
      <w:r w:rsidRPr="000250FA">
        <w:rPr>
          <w:sz w:val="22"/>
          <w:szCs w:val="22"/>
        </w:rPr>
        <w:t>garantált</w:t>
      </w:r>
      <w:proofErr w:type="gramEnd"/>
      <w:r w:rsidRPr="000250FA">
        <w:rPr>
          <w:sz w:val="22"/>
          <w:szCs w:val="22"/>
        </w:rPr>
        <w:t xml:space="preserve"> illetményt kell megállapítani.</w:t>
      </w:r>
    </w:p>
    <w:p w14:paraId="69AA8906" w14:textId="77777777" w:rsidR="00893D5B" w:rsidRPr="000250FA" w:rsidRDefault="00893D5B" w:rsidP="00893D5B">
      <w:pPr>
        <w:tabs>
          <w:tab w:val="left" w:pos="9781"/>
        </w:tabs>
        <w:ind w:right="-144"/>
        <w:jc w:val="both"/>
        <w:rPr>
          <w:sz w:val="22"/>
          <w:szCs w:val="22"/>
        </w:rPr>
      </w:pPr>
    </w:p>
    <w:p w14:paraId="4E5790C8" w14:textId="77777777" w:rsidR="00385CF2" w:rsidRDefault="00893D5B" w:rsidP="00893D5B">
      <w:pPr>
        <w:tabs>
          <w:tab w:val="left" w:pos="9781"/>
        </w:tabs>
        <w:ind w:right="-144"/>
        <w:jc w:val="both"/>
        <w:rPr>
          <w:sz w:val="22"/>
          <w:szCs w:val="22"/>
        </w:rPr>
      </w:pPr>
      <w:r w:rsidRPr="000250FA">
        <w:rPr>
          <w:sz w:val="22"/>
          <w:szCs w:val="22"/>
        </w:rPr>
        <w:t>(11)</w:t>
      </w:r>
      <w:r w:rsidRPr="000250FA">
        <w:rPr>
          <w:rStyle w:val="Lbjegyzet-hivatkozs"/>
          <w:sz w:val="22"/>
          <w:szCs w:val="22"/>
        </w:rPr>
        <w:footnoteReference w:id="161"/>
      </w:r>
      <w:r w:rsidRPr="000250FA">
        <w:rPr>
          <w:sz w:val="22"/>
          <w:szCs w:val="22"/>
        </w:rPr>
        <w:t xml:space="preserve"> Amennyiben a jogviszony megszűnése és a nyugdíj melletti korábbi munkakörére vonatkozó jogviszony létesítése között 60 napnál hosszabb idő nem telik el és ennek tényét már a jogviszony megszűnéskor ismerik a felek, úgy a belső pályáztatásra és a hatósági bizonyítványra, valamint a munkakör átadására és munkakörhöz kapcsolódó jogosítványok gyakorlására vonatkozó előírásokat nem </w:t>
      </w:r>
      <w:r w:rsidRPr="000250FA">
        <w:rPr>
          <w:sz w:val="22"/>
          <w:szCs w:val="22"/>
        </w:rPr>
        <w:lastRenderedPageBreak/>
        <w:t>kell alkalmazni. A munkakörre vonatkozó végzettségi és szakképzettségi előírásoknak azonban minden esetben meg kell felelni.</w:t>
      </w:r>
    </w:p>
    <w:p w14:paraId="105A2E30" w14:textId="2375EB17" w:rsidR="00385CF2" w:rsidRDefault="00385CF2" w:rsidP="00174FAC">
      <w:pPr>
        <w:pStyle w:val="Cmsor2"/>
        <w:jc w:val="left"/>
      </w:pPr>
    </w:p>
    <w:p w14:paraId="6EAA9FA2" w14:textId="77777777" w:rsidR="00893D5B" w:rsidRPr="000250FA" w:rsidRDefault="00893D5B" w:rsidP="00893D5B">
      <w:pPr>
        <w:tabs>
          <w:tab w:val="left" w:pos="9781"/>
        </w:tabs>
        <w:ind w:right="-144"/>
        <w:jc w:val="both"/>
        <w:rPr>
          <w:sz w:val="22"/>
          <w:szCs w:val="22"/>
        </w:rPr>
      </w:pPr>
    </w:p>
    <w:p w14:paraId="22BAEC89" w14:textId="77777777" w:rsidR="00893D5B" w:rsidRPr="000250FA" w:rsidRDefault="00893D5B" w:rsidP="00893D5B">
      <w:pPr>
        <w:pStyle w:val="Cmsor4"/>
      </w:pPr>
      <w:bookmarkStart w:id="88" w:name="_Toc432753546"/>
      <w:r w:rsidRPr="000250FA">
        <w:t>A határozott idejű közalkalmazotti jogviszony megszüntetésére vonatkozó szabályok</w:t>
      </w:r>
      <w:bookmarkEnd w:id="88"/>
    </w:p>
    <w:p w14:paraId="7810FFC9" w14:textId="77777777" w:rsidR="00893D5B" w:rsidRPr="000250FA" w:rsidRDefault="00893D5B" w:rsidP="00893D5B">
      <w:pPr>
        <w:pStyle w:val="Normlstilus1norml"/>
        <w:tabs>
          <w:tab w:val="left" w:pos="3179"/>
          <w:tab w:val="left" w:pos="9781"/>
        </w:tabs>
        <w:ind w:right="-144"/>
        <w:jc w:val="center"/>
        <w:rPr>
          <w:b/>
          <w:i/>
          <w:color w:val="auto"/>
          <w:sz w:val="22"/>
          <w:szCs w:val="22"/>
        </w:rPr>
      </w:pPr>
    </w:p>
    <w:p w14:paraId="3F31AED1" w14:textId="77777777" w:rsidR="00893D5B" w:rsidRPr="000250FA" w:rsidRDefault="00893D5B" w:rsidP="00893D5B">
      <w:pPr>
        <w:pStyle w:val="Normlstilus1norml"/>
        <w:tabs>
          <w:tab w:val="left" w:pos="3179"/>
          <w:tab w:val="left" w:pos="9781"/>
        </w:tabs>
        <w:ind w:right="-144"/>
        <w:rPr>
          <w:color w:val="auto"/>
          <w:sz w:val="22"/>
          <w:szCs w:val="22"/>
        </w:rPr>
      </w:pPr>
      <w:r w:rsidRPr="000250FA">
        <w:rPr>
          <w:b/>
          <w:color w:val="auto"/>
          <w:sz w:val="22"/>
          <w:szCs w:val="22"/>
        </w:rPr>
        <w:t>32/</w:t>
      </w:r>
      <w:proofErr w:type="gramStart"/>
      <w:r w:rsidRPr="000250FA">
        <w:rPr>
          <w:b/>
          <w:color w:val="auto"/>
          <w:sz w:val="22"/>
          <w:szCs w:val="22"/>
        </w:rPr>
        <w:t>A.</w:t>
      </w:r>
      <w:proofErr w:type="gramEnd"/>
      <w:r w:rsidRPr="000250FA">
        <w:rPr>
          <w:b/>
          <w:color w:val="auto"/>
          <w:sz w:val="22"/>
          <w:szCs w:val="22"/>
        </w:rPr>
        <w:t xml:space="preserve"> §</w:t>
      </w:r>
      <w:r w:rsidRPr="00A5211E">
        <w:rPr>
          <w:rStyle w:val="Lbjegyzet-hivatkozs"/>
          <w:color w:val="auto"/>
          <w:sz w:val="22"/>
          <w:szCs w:val="22"/>
        </w:rPr>
        <w:footnoteReference w:id="162"/>
      </w:r>
      <w:r w:rsidRPr="00A5211E">
        <w:rPr>
          <w:color w:val="auto"/>
          <w:sz w:val="22"/>
          <w:szCs w:val="22"/>
        </w:rPr>
        <w:t xml:space="preserve"> </w:t>
      </w:r>
      <w:r w:rsidRPr="00A5211E">
        <w:rPr>
          <w:rStyle w:val="Lbjegyzet-hivatkozs"/>
          <w:color w:val="auto"/>
          <w:sz w:val="22"/>
          <w:szCs w:val="22"/>
        </w:rPr>
        <w:footnoteReference w:id="163"/>
      </w:r>
      <w:r w:rsidRPr="00A5211E">
        <w:rPr>
          <w:i/>
          <w:color w:val="auto"/>
          <w:sz w:val="22"/>
          <w:szCs w:val="22"/>
        </w:rPr>
        <w:t xml:space="preserve"> </w:t>
      </w:r>
      <w:r w:rsidRPr="000250FA">
        <w:rPr>
          <w:color w:val="auto"/>
          <w:sz w:val="22"/>
          <w:szCs w:val="22"/>
        </w:rPr>
        <w:t>(1) A határozott idejű közalkalmazotti jogviszony megszüntethető</w:t>
      </w:r>
    </w:p>
    <w:p w14:paraId="700C57DF" w14:textId="77777777" w:rsidR="00893D5B" w:rsidRPr="000250FA" w:rsidRDefault="00893D5B" w:rsidP="00893D5B">
      <w:pPr>
        <w:pStyle w:val="NormlWeb"/>
        <w:tabs>
          <w:tab w:val="left" w:pos="9781"/>
        </w:tabs>
        <w:spacing w:before="0" w:beforeAutospacing="0" w:after="0" w:afterAutospacing="0"/>
        <w:ind w:right="-144"/>
        <w:jc w:val="both"/>
        <w:rPr>
          <w:iCs/>
          <w:sz w:val="22"/>
          <w:szCs w:val="22"/>
        </w:rPr>
      </w:pPr>
    </w:p>
    <w:p w14:paraId="2493FEF3" w14:textId="77777777" w:rsidR="00893D5B" w:rsidRPr="000250FA" w:rsidRDefault="00893D5B" w:rsidP="00912564">
      <w:pPr>
        <w:numPr>
          <w:ilvl w:val="0"/>
          <w:numId w:val="45"/>
        </w:numPr>
        <w:jc w:val="both"/>
        <w:rPr>
          <w:sz w:val="22"/>
          <w:szCs w:val="22"/>
        </w:rPr>
      </w:pPr>
      <w:r w:rsidRPr="000250FA">
        <w:rPr>
          <w:sz w:val="22"/>
          <w:szCs w:val="22"/>
        </w:rPr>
        <w:t>közös megegyezéssel;</w:t>
      </w:r>
    </w:p>
    <w:p w14:paraId="5CA86A58" w14:textId="77777777" w:rsidR="00893D5B" w:rsidRPr="000250FA" w:rsidRDefault="00893D5B" w:rsidP="00912564">
      <w:pPr>
        <w:numPr>
          <w:ilvl w:val="0"/>
          <w:numId w:val="45"/>
        </w:numPr>
        <w:jc w:val="both"/>
        <w:rPr>
          <w:sz w:val="22"/>
          <w:szCs w:val="22"/>
        </w:rPr>
      </w:pPr>
      <w:bookmarkStart w:id="89" w:name="pr250"/>
      <w:bookmarkEnd w:id="89"/>
      <w:r w:rsidRPr="000250FA">
        <w:rPr>
          <w:sz w:val="22"/>
          <w:szCs w:val="22"/>
        </w:rPr>
        <w:t>áthelyezéssel</w:t>
      </w:r>
    </w:p>
    <w:p w14:paraId="4404A968" w14:textId="77777777" w:rsidR="00893D5B" w:rsidRPr="000250FA" w:rsidRDefault="00893D5B" w:rsidP="00912564">
      <w:pPr>
        <w:numPr>
          <w:ilvl w:val="0"/>
          <w:numId w:val="45"/>
        </w:numPr>
        <w:jc w:val="both"/>
        <w:rPr>
          <w:sz w:val="22"/>
          <w:szCs w:val="22"/>
        </w:rPr>
      </w:pPr>
      <w:bookmarkStart w:id="90" w:name="pr251"/>
      <w:bookmarkStart w:id="91" w:name="pr255"/>
      <w:bookmarkStart w:id="92" w:name="pr256"/>
      <w:bookmarkEnd w:id="90"/>
      <w:bookmarkEnd w:id="91"/>
      <w:bookmarkEnd w:id="92"/>
      <w:r w:rsidRPr="000250FA">
        <w:rPr>
          <w:sz w:val="22"/>
          <w:szCs w:val="22"/>
        </w:rPr>
        <w:t>lemondással;</w:t>
      </w:r>
    </w:p>
    <w:p w14:paraId="01E3C2CB" w14:textId="77777777" w:rsidR="00893D5B" w:rsidRPr="000250FA" w:rsidRDefault="00893D5B" w:rsidP="00912564">
      <w:pPr>
        <w:numPr>
          <w:ilvl w:val="0"/>
          <w:numId w:val="45"/>
        </w:numPr>
        <w:jc w:val="both"/>
        <w:rPr>
          <w:sz w:val="22"/>
          <w:szCs w:val="22"/>
        </w:rPr>
      </w:pPr>
      <w:bookmarkStart w:id="93" w:name="pr257"/>
      <w:bookmarkEnd w:id="93"/>
      <w:r w:rsidRPr="000250FA">
        <w:rPr>
          <w:sz w:val="22"/>
          <w:szCs w:val="22"/>
        </w:rPr>
        <w:t>rendkívüli lemondással;</w:t>
      </w:r>
      <w:bookmarkStart w:id="94" w:name="pr258"/>
      <w:bookmarkEnd w:id="94"/>
    </w:p>
    <w:p w14:paraId="19B48837" w14:textId="77777777" w:rsidR="00893D5B" w:rsidRPr="000250FA" w:rsidRDefault="00893D5B" w:rsidP="00912564">
      <w:pPr>
        <w:numPr>
          <w:ilvl w:val="0"/>
          <w:numId w:val="45"/>
        </w:numPr>
        <w:jc w:val="both"/>
        <w:rPr>
          <w:sz w:val="22"/>
          <w:szCs w:val="22"/>
        </w:rPr>
      </w:pPr>
      <w:bookmarkStart w:id="95" w:name="pr259"/>
      <w:bookmarkEnd w:id="95"/>
    </w:p>
    <w:p w14:paraId="3DDA6EBD" w14:textId="77777777" w:rsidR="00893D5B" w:rsidRPr="000250FA" w:rsidRDefault="00893D5B" w:rsidP="00912564">
      <w:pPr>
        <w:numPr>
          <w:ilvl w:val="0"/>
          <w:numId w:val="45"/>
        </w:numPr>
        <w:jc w:val="both"/>
        <w:rPr>
          <w:sz w:val="22"/>
          <w:szCs w:val="22"/>
        </w:rPr>
      </w:pPr>
      <w:r w:rsidRPr="000250FA">
        <w:rPr>
          <w:sz w:val="22"/>
          <w:szCs w:val="22"/>
        </w:rPr>
        <w:t>azonnali hatállyal</w:t>
      </w:r>
    </w:p>
    <w:p w14:paraId="7FD72172" w14:textId="77777777" w:rsidR="00893D5B" w:rsidRPr="000250FA" w:rsidRDefault="00893D5B" w:rsidP="00893D5B">
      <w:pPr>
        <w:ind w:left="720"/>
        <w:jc w:val="both"/>
        <w:rPr>
          <w:sz w:val="22"/>
          <w:szCs w:val="22"/>
        </w:rPr>
      </w:pPr>
      <w:bookmarkStart w:id="96" w:name="pr260"/>
      <w:bookmarkEnd w:id="96"/>
      <w:r w:rsidRPr="000250FA">
        <w:rPr>
          <w:sz w:val="22"/>
          <w:szCs w:val="22"/>
        </w:rPr>
        <w:tab/>
      </w:r>
      <w:proofErr w:type="gramStart"/>
      <w:r w:rsidRPr="000250FA">
        <w:rPr>
          <w:sz w:val="22"/>
          <w:szCs w:val="22"/>
        </w:rPr>
        <w:t>fa</w:t>
      </w:r>
      <w:proofErr w:type="gramEnd"/>
      <w:r w:rsidRPr="000250FA">
        <w:rPr>
          <w:sz w:val="22"/>
          <w:szCs w:val="22"/>
        </w:rPr>
        <w:t>) a próbaidő alatt,</w:t>
      </w:r>
    </w:p>
    <w:p w14:paraId="7B2B1BFB" w14:textId="77777777" w:rsidR="00893D5B" w:rsidRPr="000250FA" w:rsidRDefault="00893D5B" w:rsidP="00893D5B">
      <w:pPr>
        <w:ind w:left="720"/>
        <w:jc w:val="both"/>
        <w:rPr>
          <w:sz w:val="22"/>
          <w:szCs w:val="22"/>
        </w:rPr>
      </w:pPr>
      <w:bookmarkStart w:id="97" w:name="pr261"/>
      <w:bookmarkEnd w:id="97"/>
      <w:r w:rsidRPr="000250FA">
        <w:rPr>
          <w:sz w:val="22"/>
          <w:szCs w:val="22"/>
        </w:rPr>
        <w:tab/>
      </w:r>
      <w:proofErr w:type="spellStart"/>
      <w:r w:rsidRPr="000250FA">
        <w:rPr>
          <w:sz w:val="22"/>
          <w:szCs w:val="22"/>
        </w:rPr>
        <w:t>fb</w:t>
      </w:r>
      <w:proofErr w:type="spellEnd"/>
      <w:r w:rsidRPr="000250FA">
        <w:rPr>
          <w:sz w:val="22"/>
          <w:szCs w:val="22"/>
        </w:rPr>
        <w:t>) a Kjt.27. § (2) bekezdése szerint,</w:t>
      </w:r>
    </w:p>
    <w:p w14:paraId="3FDD58E8" w14:textId="77777777" w:rsidR="00893D5B" w:rsidRPr="000250FA" w:rsidRDefault="00893D5B" w:rsidP="00893D5B">
      <w:pPr>
        <w:ind w:left="720"/>
        <w:jc w:val="both"/>
        <w:rPr>
          <w:sz w:val="22"/>
          <w:szCs w:val="22"/>
        </w:rPr>
      </w:pPr>
      <w:bookmarkStart w:id="98" w:name="pr262"/>
      <w:bookmarkEnd w:id="98"/>
      <w:r w:rsidRPr="000250FA">
        <w:rPr>
          <w:sz w:val="22"/>
          <w:szCs w:val="22"/>
        </w:rPr>
        <w:tab/>
      </w:r>
      <w:proofErr w:type="spellStart"/>
      <w:r w:rsidRPr="000250FA">
        <w:rPr>
          <w:sz w:val="22"/>
          <w:szCs w:val="22"/>
        </w:rPr>
        <w:t>fc</w:t>
      </w:r>
      <w:proofErr w:type="spellEnd"/>
      <w:r w:rsidRPr="000250FA">
        <w:rPr>
          <w:sz w:val="22"/>
          <w:szCs w:val="22"/>
        </w:rPr>
        <w:t>) a Kjt44. § (4) bekezdése szerint, vagy</w:t>
      </w:r>
    </w:p>
    <w:p w14:paraId="29A88557" w14:textId="77777777" w:rsidR="00893D5B" w:rsidRPr="000250FA" w:rsidRDefault="00893D5B" w:rsidP="00912564">
      <w:pPr>
        <w:numPr>
          <w:ilvl w:val="0"/>
          <w:numId w:val="45"/>
        </w:numPr>
        <w:jc w:val="both"/>
      </w:pPr>
      <w:bookmarkStart w:id="99" w:name="pr263"/>
      <w:bookmarkStart w:id="100" w:name="pr264"/>
      <w:bookmarkEnd w:id="99"/>
      <w:bookmarkEnd w:id="100"/>
      <w:r w:rsidRPr="000250FA">
        <w:rPr>
          <w:sz w:val="22"/>
          <w:szCs w:val="22"/>
        </w:rPr>
        <w:t>rendkívüli felmentéssel</w:t>
      </w:r>
      <w:r w:rsidRPr="000250FA">
        <w:t>.</w:t>
      </w:r>
    </w:p>
    <w:p w14:paraId="411011E7" w14:textId="77777777" w:rsidR="00893D5B" w:rsidRPr="000250FA" w:rsidRDefault="00893D5B" w:rsidP="00893D5B">
      <w:pPr>
        <w:pStyle w:val="Normlstilus1norml"/>
        <w:tabs>
          <w:tab w:val="left" w:pos="3179"/>
          <w:tab w:val="left" w:pos="9781"/>
        </w:tabs>
        <w:ind w:right="-144"/>
        <w:rPr>
          <w:strike/>
          <w:color w:val="auto"/>
          <w:sz w:val="22"/>
          <w:szCs w:val="22"/>
        </w:rPr>
      </w:pPr>
      <w:bookmarkStart w:id="101" w:name="pr265"/>
      <w:bookmarkEnd w:id="101"/>
    </w:p>
    <w:p w14:paraId="208BA6B5" w14:textId="77777777" w:rsidR="00893D5B" w:rsidRPr="000250FA" w:rsidRDefault="00893D5B" w:rsidP="00893D5B">
      <w:pPr>
        <w:pStyle w:val="Normlstilus1norml"/>
        <w:tabs>
          <w:tab w:val="left" w:pos="3179"/>
          <w:tab w:val="left" w:pos="9781"/>
        </w:tabs>
        <w:ind w:right="-144"/>
        <w:rPr>
          <w:color w:val="auto"/>
          <w:sz w:val="22"/>
          <w:szCs w:val="22"/>
        </w:rPr>
      </w:pPr>
      <w:r w:rsidRPr="000250FA">
        <w:rPr>
          <w:color w:val="auto"/>
          <w:sz w:val="22"/>
          <w:szCs w:val="22"/>
        </w:rPr>
        <w:t>(2) A rendkívüli lemondás feltételeit a 24. § tartalmazza.</w:t>
      </w:r>
    </w:p>
    <w:p w14:paraId="288734CA" w14:textId="77777777" w:rsidR="00893D5B" w:rsidRPr="000250FA" w:rsidRDefault="00893D5B" w:rsidP="00893D5B">
      <w:pPr>
        <w:pStyle w:val="Normlstilus1norml"/>
        <w:tabs>
          <w:tab w:val="left" w:pos="3179"/>
          <w:tab w:val="left" w:pos="9781"/>
        </w:tabs>
        <w:ind w:right="-144"/>
        <w:rPr>
          <w:color w:val="auto"/>
          <w:sz w:val="22"/>
          <w:szCs w:val="22"/>
        </w:rPr>
      </w:pPr>
    </w:p>
    <w:p w14:paraId="6600E459"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164"/>
      </w:r>
      <w:r w:rsidRPr="000250FA">
        <w:rPr>
          <w:sz w:val="22"/>
          <w:szCs w:val="22"/>
        </w:rPr>
        <w:t xml:space="preserve"> A határozott idejű közalkalmazotti jogviszonyt a 25. § (1) bekezdésének a)-d) pontjában foglalt okok alapján a munkáltató azonnali hatállyal megszüntetheti; a közalkalmazott részére azonban egyévi, ha a határozott időből még hátralévő idő egy évnél rövidebb, a hátralévő időre jutó távolléti díját köteles előre megfizetni. Ha a megszüntetésre a 25. § (1) bekezdés c) pontjában meghatározott, a közalkalmazott nem megfelelő munkavégzése vagy - nem egészségügyi okkal összefüggő - alkalmatlansága miatt került sor, a közalkalmazottat egyhavi távolléti díj illeti meg. Amennyiben a határozott időből még hátralévő idő egy hónapnál rövidebb, a munkáltató a hátralévő időre járó távolléti díjat köteles megfizetni.</w:t>
      </w:r>
    </w:p>
    <w:p w14:paraId="4B4528A9" w14:textId="77777777" w:rsidR="00893D5B" w:rsidRPr="000250FA" w:rsidRDefault="00893D5B" w:rsidP="00893D5B">
      <w:pPr>
        <w:pStyle w:val="Normlstilus1norml"/>
        <w:tabs>
          <w:tab w:val="left" w:pos="9781"/>
        </w:tabs>
        <w:ind w:right="-144"/>
        <w:rPr>
          <w:color w:val="auto"/>
          <w:sz w:val="22"/>
          <w:szCs w:val="22"/>
        </w:rPr>
      </w:pPr>
    </w:p>
    <w:p w14:paraId="3735BEAD" w14:textId="77777777" w:rsidR="00893D5B" w:rsidRPr="000250FA" w:rsidRDefault="00893D5B" w:rsidP="00893D5B">
      <w:pPr>
        <w:pStyle w:val="Cmsor4"/>
      </w:pPr>
      <w:bookmarkStart w:id="102" w:name="_Toc432753547"/>
      <w:r w:rsidRPr="000250FA">
        <w:t>A közalkalmazotti jogviszony megszűnése és megszüntetése esetén alkalmazandó közös szabályok</w:t>
      </w:r>
      <w:bookmarkEnd w:id="102"/>
    </w:p>
    <w:p w14:paraId="23E0C02D" w14:textId="77777777" w:rsidR="00893D5B" w:rsidRPr="000250FA" w:rsidRDefault="00893D5B" w:rsidP="00893D5B">
      <w:pPr>
        <w:pStyle w:val="Normlstilus1norml"/>
        <w:tabs>
          <w:tab w:val="left" w:pos="9781"/>
        </w:tabs>
        <w:ind w:right="-144"/>
        <w:rPr>
          <w:color w:val="auto"/>
          <w:sz w:val="22"/>
          <w:szCs w:val="22"/>
        </w:rPr>
      </w:pPr>
    </w:p>
    <w:p w14:paraId="00394336" w14:textId="77777777" w:rsidR="00893D5B" w:rsidRPr="000250FA" w:rsidRDefault="00893D5B" w:rsidP="00893D5B">
      <w:pPr>
        <w:tabs>
          <w:tab w:val="left" w:pos="9781"/>
        </w:tabs>
        <w:ind w:right="-144"/>
        <w:jc w:val="both"/>
        <w:rPr>
          <w:sz w:val="22"/>
          <w:szCs w:val="22"/>
        </w:rPr>
      </w:pPr>
      <w:r w:rsidRPr="000250FA">
        <w:rPr>
          <w:b/>
          <w:sz w:val="22"/>
          <w:szCs w:val="22"/>
        </w:rPr>
        <w:t>33. §</w:t>
      </w:r>
      <w:r w:rsidRPr="00A5211E">
        <w:rPr>
          <w:rStyle w:val="Lbjegyzet-hivatkozs"/>
          <w:sz w:val="22"/>
          <w:szCs w:val="22"/>
        </w:rPr>
        <w:footnoteReference w:id="165"/>
      </w:r>
      <w:r w:rsidRPr="00A5211E">
        <w:rPr>
          <w:sz w:val="22"/>
          <w:szCs w:val="22"/>
        </w:rPr>
        <w:t xml:space="preserve"> </w:t>
      </w:r>
      <w:r w:rsidRPr="00A5211E">
        <w:rPr>
          <w:rStyle w:val="Lbjegyzet-hivatkozs"/>
          <w:sz w:val="22"/>
          <w:szCs w:val="22"/>
        </w:rPr>
        <w:footnoteReference w:id="166"/>
      </w:r>
      <w:r w:rsidRPr="00A5211E">
        <w:rPr>
          <w:sz w:val="22"/>
          <w:szCs w:val="22"/>
        </w:rPr>
        <w:t xml:space="preserve"> </w:t>
      </w:r>
      <w:r w:rsidRPr="00A5211E">
        <w:rPr>
          <w:rStyle w:val="Lbjegyzet-hivatkozs"/>
          <w:sz w:val="22"/>
          <w:szCs w:val="22"/>
        </w:rPr>
        <w:footnoteReference w:id="167"/>
      </w:r>
      <w:r w:rsidRPr="00A5211E">
        <w:rPr>
          <w:sz w:val="22"/>
          <w:szCs w:val="22"/>
        </w:rPr>
        <w:t>(</w:t>
      </w:r>
      <w:r w:rsidRPr="000250FA">
        <w:rPr>
          <w:sz w:val="22"/>
          <w:szCs w:val="22"/>
        </w:rPr>
        <w:t>1) A közalkalmazott közalkalmazotti jogviszonya megszűnésekor, illetve megszüntetésekor az Mt. 80. § (1) bekezdésében foglaltak alapján</w:t>
      </w:r>
      <w:r w:rsidRPr="000250FA">
        <w:rPr>
          <w:b/>
          <w:i/>
          <w:sz w:val="22"/>
          <w:szCs w:val="22"/>
        </w:rPr>
        <w:t xml:space="preserve"> </w:t>
      </w:r>
      <w:r w:rsidRPr="000250FA">
        <w:rPr>
          <w:sz w:val="22"/>
          <w:szCs w:val="22"/>
        </w:rPr>
        <w:t>köteles a birtokában lévő, de az Egyetem tulajdonát képező eszközökkel, gépekkel, berendezésekkel és felszerelésekkel elszámolni, az Egyetemmel fennálló esetleges tartozását rendezni, továbbá a szervezeti egység vezetője által megjelölt személynek munkakörét átadó-átvevő jegyzőkönyvvel, a folyamatban lévő ügyek állásáról szóló tájékoztatással átadni. A kilépés folyamatát a HR Kézikönyv tartalmazza.</w:t>
      </w:r>
    </w:p>
    <w:p w14:paraId="2FD41F52" w14:textId="77777777" w:rsidR="00893D5B" w:rsidRPr="000250FA" w:rsidRDefault="00893D5B" w:rsidP="00893D5B">
      <w:pPr>
        <w:tabs>
          <w:tab w:val="left" w:pos="9781"/>
        </w:tabs>
        <w:ind w:right="-144"/>
        <w:jc w:val="both"/>
        <w:rPr>
          <w:sz w:val="22"/>
          <w:szCs w:val="22"/>
        </w:rPr>
      </w:pPr>
    </w:p>
    <w:p w14:paraId="77C2692D" w14:textId="5CBAEB21"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w:t>
      </w:r>
      <w:r w:rsidRPr="00A5211E">
        <w:rPr>
          <w:color w:val="auto"/>
          <w:sz w:val="22"/>
          <w:szCs w:val="22"/>
          <w:vertAlign w:val="superscript"/>
        </w:rPr>
        <w:footnoteReference w:id="168"/>
      </w:r>
      <w:r w:rsidR="00A5211E">
        <w:rPr>
          <w:color w:val="auto"/>
          <w:sz w:val="22"/>
          <w:szCs w:val="22"/>
        </w:rPr>
        <w:t xml:space="preserve"> </w:t>
      </w:r>
      <w:r w:rsidRPr="000250FA">
        <w:rPr>
          <w:color w:val="auto"/>
          <w:sz w:val="22"/>
          <w:szCs w:val="22"/>
        </w:rPr>
        <w:t xml:space="preserve">Az Egyetem a közalkalmazotti jogviszony megszűnésével összefüggő igazolások kiadásának, a járandóságok kifizetésének </w:t>
      </w:r>
      <w:proofErr w:type="spellStart"/>
      <w:r w:rsidRPr="000250FA">
        <w:rPr>
          <w:color w:val="auto"/>
          <w:sz w:val="22"/>
          <w:szCs w:val="22"/>
        </w:rPr>
        <w:t>határidejére</w:t>
      </w:r>
      <w:proofErr w:type="spellEnd"/>
      <w:r w:rsidRPr="000250FA">
        <w:rPr>
          <w:color w:val="auto"/>
          <w:sz w:val="22"/>
          <w:szCs w:val="22"/>
        </w:rPr>
        <w:t xml:space="preserve"> vonatkozó Mt. 80.§ (2) bekezdésében, valamint a Kjt. 36.§ (1)-(2) bekezdésében foglaltak alapján köteles eljárni. E kötelezettség teljesítése érdekében a Humánpolitikai </w:t>
      </w:r>
      <w:r w:rsidR="00154DF0" w:rsidRPr="00BD6AF1">
        <w:rPr>
          <w:color w:val="auto"/>
          <w:sz w:val="22"/>
          <w:szCs w:val="22"/>
        </w:rPr>
        <w:t>Főosztály</w:t>
      </w:r>
      <w:r w:rsidR="00154DF0">
        <w:rPr>
          <w:b/>
          <w:i/>
          <w:color w:val="auto"/>
          <w:sz w:val="22"/>
          <w:szCs w:val="22"/>
        </w:rPr>
        <w:t xml:space="preserve"> </w:t>
      </w:r>
      <w:r w:rsidRPr="000250FA">
        <w:rPr>
          <w:color w:val="auto"/>
          <w:sz w:val="22"/>
          <w:szCs w:val="22"/>
        </w:rPr>
        <w:t xml:space="preserve">a közalkalmazotti jogviszony felmentéssel történő megszüntetésekor legkésőbb az utolsó munkában töltött naptól, egyébként legkésőbb a közalkalmazotti jogviszony megszűnésétől számított </w:t>
      </w:r>
      <w:r w:rsidRPr="000250FA">
        <w:rPr>
          <w:color w:val="auto"/>
          <w:sz w:val="22"/>
          <w:szCs w:val="22"/>
        </w:rPr>
        <w:lastRenderedPageBreak/>
        <w:t>ötödik munkanapon köteles a közalkalmazott részére közalkalmazotti igazolást, továbbá szabadságigazolást adni, az időarányos szabadságot pénzben megváltani, a közalkalmazottnak járó és még ki nem fizetett juttatásokat kifizetni, illetve bankszámlájára átutalni. A szervezeti egység vezetője köteles az időarányos szabadság természetben való kiadására törekedni, megváltásra csak abban az esetben kerülhet sor, ha a természetbeni kiadás nem lehetséges.</w:t>
      </w:r>
    </w:p>
    <w:p w14:paraId="7849CA25" w14:textId="77777777" w:rsidR="00893D5B" w:rsidRPr="000250FA" w:rsidRDefault="00893D5B" w:rsidP="00893D5B">
      <w:pPr>
        <w:pStyle w:val="Normlstilus1norml"/>
        <w:tabs>
          <w:tab w:val="left" w:pos="9781"/>
        </w:tabs>
        <w:ind w:right="-144"/>
        <w:rPr>
          <w:color w:val="auto"/>
          <w:sz w:val="22"/>
          <w:szCs w:val="22"/>
        </w:rPr>
      </w:pPr>
    </w:p>
    <w:p w14:paraId="41DCF5BC"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w:t>
      </w:r>
      <w:r w:rsidRPr="000250FA">
        <w:rPr>
          <w:rStyle w:val="Lbjegyzet-hivatkozs"/>
          <w:color w:val="auto"/>
          <w:sz w:val="22"/>
          <w:szCs w:val="22"/>
        </w:rPr>
        <w:footnoteReference w:id="169"/>
      </w:r>
      <w:r w:rsidRPr="000250FA">
        <w:rPr>
          <w:color w:val="auto"/>
          <w:sz w:val="22"/>
          <w:szCs w:val="22"/>
        </w:rPr>
        <w:t xml:space="preserve"> Amennyiben a közalkalmazott (1) bekezdésben foglalt kötelezettségének határidőben nem tesz eleget, a kiadandó közalkalmazotti igazoláson a tartozás teljes összegét fel kell tüntetni. Az elszámolást követően új közalkalmazotti igazolást kell kiadni, vagy amennyiben elszámolás nem történik, a követelés behajtása iránt jogi úton kell intézkedni.</w:t>
      </w:r>
    </w:p>
    <w:p w14:paraId="54CC16B8" w14:textId="77777777" w:rsidR="00893D5B" w:rsidRPr="000250FA" w:rsidRDefault="00893D5B" w:rsidP="00893D5B">
      <w:pPr>
        <w:pStyle w:val="Normlstilus1norml"/>
        <w:tabs>
          <w:tab w:val="left" w:pos="9781"/>
        </w:tabs>
        <w:ind w:right="-144"/>
        <w:rPr>
          <w:bCs/>
          <w:color w:val="auto"/>
          <w:sz w:val="22"/>
          <w:szCs w:val="22"/>
        </w:rPr>
      </w:pPr>
    </w:p>
    <w:p w14:paraId="3490807D" w14:textId="77777777" w:rsidR="00893D5B" w:rsidRPr="000250FA" w:rsidRDefault="00893D5B" w:rsidP="00893D5B">
      <w:pPr>
        <w:pStyle w:val="Cmsor3"/>
      </w:pPr>
      <w:bookmarkStart w:id="103" w:name="_Toc432753548"/>
      <w:bookmarkStart w:id="104" w:name="_Toc444603552"/>
      <w:bookmarkStart w:id="105" w:name="_Toc445200812"/>
      <w:bookmarkStart w:id="106" w:name="_Toc58569534"/>
      <w:r w:rsidRPr="000250FA">
        <w:t>III. fejezet - A közalkalmazotti jogviszony tartalma</w:t>
      </w:r>
      <w:bookmarkEnd w:id="103"/>
      <w:bookmarkEnd w:id="104"/>
      <w:bookmarkEnd w:id="105"/>
      <w:bookmarkEnd w:id="106"/>
    </w:p>
    <w:p w14:paraId="269E079D" w14:textId="77777777" w:rsidR="00893D5B" w:rsidRPr="000250FA" w:rsidRDefault="00893D5B" w:rsidP="00893D5B">
      <w:pPr>
        <w:pStyle w:val="Normlstilus1norml"/>
        <w:tabs>
          <w:tab w:val="left" w:pos="9781"/>
        </w:tabs>
        <w:ind w:right="-144"/>
        <w:rPr>
          <w:color w:val="auto"/>
          <w:sz w:val="22"/>
          <w:szCs w:val="22"/>
        </w:rPr>
      </w:pPr>
    </w:p>
    <w:p w14:paraId="1796E176" w14:textId="77777777" w:rsidR="00893D5B" w:rsidRPr="000250FA" w:rsidRDefault="00893D5B" w:rsidP="00893D5B">
      <w:pPr>
        <w:pStyle w:val="Normlstilus1norml"/>
        <w:tabs>
          <w:tab w:val="left" w:pos="9781"/>
        </w:tabs>
        <w:ind w:right="-144"/>
        <w:rPr>
          <w:strike/>
          <w:color w:val="auto"/>
          <w:sz w:val="22"/>
          <w:szCs w:val="22"/>
        </w:rPr>
      </w:pPr>
      <w:r w:rsidRPr="000250FA">
        <w:rPr>
          <w:b/>
          <w:color w:val="auto"/>
          <w:sz w:val="22"/>
          <w:szCs w:val="22"/>
        </w:rPr>
        <w:t>34. §</w:t>
      </w:r>
      <w:r w:rsidRPr="00A5211E">
        <w:rPr>
          <w:rStyle w:val="Lbjegyzet-hivatkozs"/>
          <w:color w:val="auto"/>
          <w:sz w:val="22"/>
          <w:szCs w:val="22"/>
        </w:rPr>
        <w:footnoteReference w:id="170"/>
      </w:r>
      <w:r w:rsidRPr="00A5211E">
        <w:rPr>
          <w:color w:val="auto"/>
          <w:sz w:val="22"/>
          <w:szCs w:val="22"/>
        </w:rPr>
        <w:t xml:space="preserve"> </w:t>
      </w:r>
    </w:p>
    <w:p w14:paraId="12543407" w14:textId="77777777" w:rsidR="00893D5B" w:rsidRPr="000250FA" w:rsidRDefault="00893D5B" w:rsidP="00893D5B">
      <w:pPr>
        <w:pStyle w:val="Normlstilus1norml"/>
        <w:tabs>
          <w:tab w:val="left" w:pos="9781"/>
        </w:tabs>
        <w:ind w:right="-144"/>
        <w:rPr>
          <w:color w:val="auto"/>
          <w:sz w:val="22"/>
          <w:szCs w:val="22"/>
        </w:rPr>
      </w:pPr>
    </w:p>
    <w:p w14:paraId="435CA0F2"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35. §</w:t>
      </w:r>
      <w:r w:rsidRPr="00A5211E">
        <w:rPr>
          <w:rStyle w:val="Lbjegyzet-hivatkozs"/>
          <w:bCs/>
          <w:color w:val="auto"/>
          <w:sz w:val="22"/>
          <w:szCs w:val="22"/>
        </w:rPr>
        <w:footnoteReference w:id="171"/>
      </w:r>
      <w:r w:rsidRPr="000250FA">
        <w:rPr>
          <w:color w:val="auto"/>
          <w:sz w:val="22"/>
          <w:szCs w:val="22"/>
        </w:rPr>
        <w:t xml:space="preserve"> (1) A munkáltató és a közalkalmazott jogai érvényesítése, valamint kötelezettsége teljesítése során az alábbi alapelvek figyelembe vételével köteles eljárni:</w:t>
      </w:r>
    </w:p>
    <w:p w14:paraId="53974ACA" w14:textId="77777777" w:rsidR="00893D5B" w:rsidRPr="000250FA" w:rsidRDefault="00893D5B" w:rsidP="00912564">
      <w:pPr>
        <w:numPr>
          <w:ilvl w:val="0"/>
          <w:numId w:val="46"/>
        </w:numPr>
        <w:jc w:val="both"/>
        <w:rPr>
          <w:sz w:val="22"/>
          <w:szCs w:val="22"/>
        </w:rPr>
      </w:pPr>
      <w:r w:rsidRPr="000250FA">
        <w:rPr>
          <w:sz w:val="22"/>
          <w:szCs w:val="22"/>
        </w:rPr>
        <w:t>a kinevezésben foglaltak teljesítése során - kivéve, ha törvény eltérő követelményt ír elő - úgy kell eljárni, ahogy az adott helyzetben általában elvárható.</w:t>
      </w:r>
    </w:p>
    <w:p w14:paraId="6E1D1048" w14:textId="77777777" w:rsidR="00893D5B" w:rsidRPr="000250FA" w:rsidRDefault="00893D5B" w:rsidP="00912564">
      <w:pPr>
        <w:numPr>
          <w:ilvl w:val="0"/>
          <w:numId w:val="46"/>
        </w:numPr>
        <w:jc w:val="both"/>
        <w:rPr>
          <w:sz w:val="22"/>
          <w:szCs w:val="22"/>
        </w:rPr>
      </w:pPr>
      <w:bookmarkStart w:id="107" w:name="pr30"/>
      <w:bookmarkEnd w:id="107"/>
      <w:r w:rsidRPr="000250FA">
        <w:rPr>
          <w:sz w:val="22"/>
          <w:szCs w:val="22"/>
        </w:rPr>
        <w:t>jogok gyakorlása és a kötelezettségek teljesítése során a jóhiszeműség és a tisztesség elvének megfelelően kell eljárni, továbbá kölcsönösen együtt kell működni és nem lehet olyan magatartást tanúsítani, amely a másik fél jogát, jogos érdekét sérti.</w:t>
      </w:r>
    </w:p>
    <w:p w14:paraId="6C067F62" w14:textId="77777777" w:rsidR="00893D5B" w:rsidRPr="000250FA" w:rsidRDefault="00893D5B" w:rsidP="00912564">
      <w:pPr>
        <w:numPr>
          <w:ilvl w:val="0"/>
          <w:numId w:val="46"/>
        </w:numPr>
        <w:jc w:val="both"/>
        <w:rPr>
          <w:sz w:val="22"/>
          <w:szCs w:val="22"/>
        </w:rPr>
      </w:pPr>
      <w:bookmarkStart w:id="108" w:name="pr31"/>
      <w:bookmarkEnd w:id="108"/>
      <w:r w:rsidRPr="000250FA">
        <w:rPr>
          <w:sz w:val="22"/>
          <w:szCs w:val="22"/>
        </w:rPr>
        <w:t>a munkáltató a közalkalmazott érdekeit a méltányos mérlegelés alapján köteles figyelembe venni, a teljesítés módjának egyoldalú meghatározása a munkavállalónak aránytalan sérelmet nem okozhat.</w:t>
      </w:r>
    </w:p>
    <w:p w14:paraId="5051BBBA" w14:textId="77777777" w:rsidR="00893D5B" w:rsidRPr="000250FA" w:rsidRDefault="00893D5B" w:rsidP="00912564">
      <w:pPr>
        <w:numPr>
          <w:ilvl w:val="0"/>
          <w:numId w:val="46"/>
        </w:numPr>
        <w:jc w:val="both"/>
        <w:rPr>
          <w:sz w:val="22"/>
          <w:szCs w:val="22"/>
        </w:rPr>
      </w:pPr>
      <w:bookmarkStart w:id="109" w:name="pr32"/>
      <w:bookmarkEnd w:id="109"/>
      <w:r w:rsidRPr="000250FA">
        <w:rPr>
          <w:sz w:val="22"/>
          <w:szCs w:val="22"/>
        </w:rPr>
        <w:t>felek kötelesek egymást minden olyan tényről, adatról, körülményről vagy ezek változásáról tájékoztatni, amely a közalkalmazotti jogviszony létesítése, valamint az e törvényben meghatározott jogok gyakorlása és a kötelezettségek teljesítése szempontjából lényeges.</w:t>
      </w:r>
    </w:p>
    <w:p w14:paraId="6A9BA26A" w14:textId="77777777" w:rsidR="00893D5B" w:rsidRPr="000250FA" w:rsidRDefault="00893D5B" w:rsidP="00912564">
      <w:pPr>
        <w:numPr>
          <w:ilvl w:val="0"/>
          <w:numId w:val="46"/>
        </w:numPr>
        <w:jc w:val="both"/>
        <w:rPr>
          <w:sz w:val="22"/>
          <w:szCs w:val="22"/>
        </w:rPr>
      </w:pPr>
      <w:bookmarkStart w:id="110" w:name="7"/>
      <w:bookmarkStart w:id="111" w:name="pr33"/>
      <w:bookmarkEnd w:id="110"/>
      <w:bookmarkEnd w:id="111"/>
      <w:r w:rsidRPr="000250FA">
        <w:rPr>
          <w:sz w:val="22"/>
          <w:szCs w:val="22"/>
        </w:rPr>
        <w:t>tilos a rendeltetésellenes joggyakorlás. E törvény alkalmazásában rendeltetésellenes a jog gyakorlása különösen akkor, ha az mások jogos érdekeinek csorbítására, érdekérvényesítési lehetőségeinek korlátozására, zaklatására, véleménynyilvánításának elfojtására irányul vagy ehhez vezet.</w:t>
      </w:r>
    </w:p>
    <w:p w14:paraId="6FB2A029" w14:textId="77777777" w:rsidR="00893D5B" w:rsidRPr="000250FA" w:rsidRDefault="00893D5B" w:rsidP="00893D5B">
      <w:pPr>
        <w:pStyle w:val="Normlstilus1norml"/>
        <w:tabs>
          <w:tab w:val="left" w:pos="9781"/>
        </w:tabs>
        <w:ind w:right="-144"/>
        <w:rPr>
          <w:color w:val="auto"/>
          <w:sz w:val="22"/>
          <w:szCs w:val="22"/>
        </w:rPr>
      </w:pPr>
    </w:p>
    <w:p w14:paraId="32B73510"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w:t>
      </w:r>
      <w:r w:rsidRPr="000250FA">
        <w:rPr>
          <w:b/>
          <w:i/>
          <w:color w:val="auto"/>
          <w:sz w:val="22"/>
          <w:szCs w:val="22"/>
        </w:rPr>
        <w:t xml:space="preserve"> </w:t>
      </w:r>
      <w:r w:rsidRPr="000250FA">
        <w:rPr>
          <w:color w:val="auto"/>
          <w:sz w:val="22"/>
          <w:szCs w:val="22"/>
        </w:rPr>
        <w:t>Az Egyetem köteles:</w:t>
      </w:r>
    </w:p>
    <w:p w14:paraId="397B7D81" w14:textId="77777777" w:rsidR="00893D5B" w:rsidRPr="000250FA" w:rsidRDefault="00893D5B" w:rsidP="00912564">
      <w:pPr>
        <w:numPr>
          <w:ilvl w:val="0"/>
          <w:numId w:val="47"/>
        </w:numPr>
        <w:jc w:val="both"/>
        <w:rPr>
          <w:sz w:val="22"/>
          <w:szCs w:val="22"/>
        </w:rPr>
      </w:pPr>
      <w:r w:rsidRPr="000250FA">
        <w:rPr>
          <w:sz w:val="22"/>
          <w:szCs w:val="22"/>
        </w:rPr>
        <w:t>a közalkalmazottat a kinevezésben foglaltak és a közalkalmazotti jogviszonyra vonatkozó szabályok, illetve az egyéb szabályok szerint foglalkoztatni,</w:t>
      </w:r>
    </w:p>
    <w:p w14:paraId="518A9DC5" w14:textId="77777777" w:rsidR="00893D5B" w:rsidRPr="000250FA" w:rsidRDefault="00893D5B" w:rsidP="00912564">
      <w:pPr>
        <w:numPr>
          <w:ilvl w:val="0"/>
          <w:numId w:val="47"/>
        </w:numPr>
        <w:jc w:val="both"/>
        <w:rPr>
          <w:sz w:val="22"/>
          <w:szCs w:val="22"/>
        </w:rPr>
      </w:pPr>
      <w:r w:rsidRPr="000250FA">
        <w:rPr>
          <w:sz w:val="22"/>
          <w:szCs w:val="22"/>
        </w:rPr>
        <w:t>az egészséges és biztonságos munkavégzés feltételeit biztosítani,</w:t>
      </w:r>
    </w:p>
    <w:p w14:paraId="4DD37B96" w14:textId="77777777" w:rsidR="00893D5B" w:rsidRPr="000250FA" w:rsidRDefault="00893D5B" w:rsidP="00912564">
      <w:pPr>
        <w:numPr>
          <w:ilvl w:val="0"/>
          <w:numId w:val="47"/>
        </w:numPr>
        <w:jc w:val="both"/>
        <w:rPr>
          <w:sz w:val="22"/>
          <w:szCs w:val="22"/>
        </w:rPr>
      </w:pPr>
      <w:r w:rsidRPr="000250FA">
        <w:rPr>
          <w:sz w:val="22"/>
          <w:szCs w:val="22"/>
        </w:rPr>
        <w:t>a közalkalmazott számára munkavégzéshez szükséges tájékoztatást és irányítást megadni,</w:t>
      </w:r>
    </w:p>
    <w:p w14:paraId="45390E58" w14:textId="77777777" w:rsidR="00893D5B" w:rsidRPr="000250FA" w:rsidRDefault="00893D5B" w:rsidP="00912564">
      <w:pPr>
        <w:numPr>
          <w:ilvl w:val="0"/>
          <w:numId w:val="47"/>
        </w:numPr>
        <w:jc w:val="both"/>
        <w:rPr>
          <w:sz w:val="22"/>
          <w:szCs w:val="22"/>
        </w:rPr>
      </w:pPr>
      <w:r w:rsidRPr="000250FA">
        <w:rPr>
          <w:sz w:val="22"/>
          <w:szCs w:val="22"/>
        </w:rPr>
        <w:t>a munkát úgy megszervezni, hogy a közalkalmazott a közalkalmazotti jogviszonyból eredő jogait gyakorolni, kötelességeit teljesíteni tudja,</w:t>
      </w:r>
    </w:p>
    <w:p w14:paraId="38E8328A" w14:textId="77777777" w:rsidR="00893D5B" w:rsidRPr="000250FA" w:rsidRDefault="00893D5B" w:rsidP="00912564">
      <w:pPr>
        <w:numPr>
          <w:ilvl w:val="0"/>
          <w:numId w:val="47"/>
        </w:numPr>
        <w:jc w:val="both"/>
        <w:rPr>
          <w:sz w:val="22"/>
          <w:szCs w:val="22"/>
        </w:rPr>
      </w:pPr>
      <w:r w:rsidRPr="000250FA">
        <w:rPr>
          <w:sz w:val="22"/>
          <w:szCs w:val="22"/>
        </w:rPr>
        <w:t>a munkavégzéshez szükséges ismeretek megszerzését biztosítani,</w:t>
      </w:r>
    </w:p>
    <w:p w14:paraId="3EE7B98A" w14:textId="77777777" w:rsidR="00893D5B" w:rsidRPr="000250FA" w:rsidRDefault="00893D5B" w:rsidP="00912564">
      <w:pPr>
        <w:numPr>
          <w:ilvl w:val="0"/>
          <w:numId w:val="47"/>
        </w:numPr>
        <w:jc w:val="both"/>
        <w:rPr>
          <w:sz w:val="22"/>
          <w:szCs w:val="22"/>
        </w:rPr>
      </w:pPr>
      <w:r w:rsidRPr="000250FA">
        <w:rPr>
          <w:sz w:val="22"/>
          <w:szCs w:val="22"/>
        </w:rPr>
        <w:t>a közalkalmazotti kinevezésben meghatározott illetményt megfizetni.</w:t>
      </w:r>
    </w:p>
    <w:p w14:paraId="5AC5C211" w14:textId="77777777" w:rsidR="00893D5B" w:rsidRPr="000250FA" w:rsidRDefault="00893D5B" w:rsidP="00912564">
      <w:pPr>
        <w:numPr>
          <w:ilvl w:val="0"/>
          <w:numId w:val="47"/>
        </w:numPr>
        <w:jc w:val="both"/>
        <w:rPr>
          <w:sz w:val="22"/>
          <w:szCs w:val="22"/>
        </w:rPr>
      </w:pPr>
      <w:r w:rsidRPr="000250FA">
        <w:rPr>
          <w:sz w:val="22"/>
          <w:szCs w:val="22"/>
        </w:rPr>
        <w:t>a munkavállalónak azt a költségét megtéríteni, amely a munkaviszony teljesítésével indokoltan merült fel.</w:t>
      </w:r>
    </w:p>
    <w:p w14:paraId="6FB2E555" w14:textId="77777777" w:rsidR="00893D5B" w:rsidRPr="000250FA" w:rsidRDefault="00893D5B" w:rsidP="00912564">
      <w:pPr>
        <w:numPr>
          <w:ilvl w:val="0"/>
          <w:numId w:val="47"/>
        </w:numPr>
        <w:jc w:val="both"/>
        <w:rPr>
          <w:sz w:val="22"/>
          <w:szCs w:val="22"/>
        </w:rPr>
      </w:pPr>
      <w:r w:rsidRPr="000250FA">
        <w:rPr>
          <w:sz w:val="22"/>
          <w:szCs w:val="22"/>
        </w:rPr>
        <w:t>fogyatékossággal élő személy foglalkoztatása során gondoskodni kell az ésszerű alkalmazkodás feltételeinek biztosításáról;</w:t>
      </w:r>
    </w:p>
    <w:p w14:paraId="3D14E1F1" w14:textId="77777777" w:rsidR="00893D5B" w:rsidRPr="000250FA" w:rsidRDefault="00893D5B" w:rsidP="00912564">
      <w:pPr>
        <w:numPr>
          <w:ilvl w:val="0"/>
          <w:numId w:val="47"/>
        </w:numPr>
        <w:jc w:val="both"/>
        <w:rPr>
          <w:sz w:val="22"/>
          <w:szCs w:val="22"/>
        </w:rPr>
      </w:pPr>
      <w:r w:rsidRPr="000250FA">
        <w:rPr>
          <w:sz w:val="22"/>
          <w:szCs w:val="22"/>
        </w:rPr>
        <w:t>személyhez fűződő jogok védelmét biztosítani, e körben:</w:t>
      </w:r>
    </w:p>
    <w:p w14:paraId="652CC253" w14:textId="77777777" w:rsidR="00893D5B" w:rsidRPr="000250FA" w:rsidRDefault="00893D5B" w:rsidP="00893D5B">
      <w:pPr>
        <w:ind w:left="720"/>
        <w:jc w:val="both"/>
        <w:rPr>
          <w:sz w:val="22"/>
          <w:szCs w:val="22"/>
        </w:rPr>
      </w:pPr>
      <w:proofErr w:type="spellStart"/>
      <w:r w:rsidRPr="000250FA">
        <w:rPr>
          <w:sz w:val="22"/>
          <w:szCs w:val="22"/>
        </w:rPr>
        <w:lastRenderedPageBreak/>
        <w:t>ia</w:t>
      </w:r>
      <w:proofErr w:type="spellEnd"/>
      <w:r w:rsidRPr="000250FA">
        <w:rPr>
          <w:sz w:val="22"/>
          <w:szCs w:val="22"/>
        </w:rPr>
        <w:t xml:space="preserve">) </w:t>
      </w:r>
      <w:bookmarkStart w:id="112" w:name="pr40"/>
      <w:bookmarkEnd w:id="112"/>
      <w:r w:rsidRPr="000250FA">
        <w:rPr>
          <w:sz w:val="22"/>
          <w:szCs w:val="22"/>
        </w:rPr>
        <w:t xml:space="preserve">a közalkalmazott személyhez fűződő jogait akkor korlátozhatja a munkáltató, ha a korlátozás a munkaviszony rendeltetésével közvetlenül összefüggő okból feltétlenül szükséges és a cél elérésével arányos. A személyhez fűződő jog korlátozásának módjáról, feltételeiről és várható tartamáról a munkavállalót előzetesen tájékoztatni kell. </w:t>
      </w:r>
      <w:bookmarkStart w:id="113" w:name="pr41"/>
      <w:bookmarkEnd w:id="113"/>
      <w:r w:rsidRPr="000250FA">
        <w:rPr>
          <w:sz w:val="22"/>
          <w:szCs w:val="22"/>
        </w:rPr>
        <w:t>A közalkalmazott személyhez fűződő jogáról általános jelleggel előre nem mondhat le. A munkavállaló személyhez fűződő jogáról rendelkező jognyilatkozatot érvényesen csak írásban tehet.</w:t>
      </w:r>
    </w:p>
    <w:p w14:paraId="0127D9F3" w14:textId="77777777" w:rsidR="00893D5B" w:rsidRPr="000250FA" w:rsidRDefault="00893D5B" w:rsidP="00893D5B">
      <w:pPr>
        <w:ind w:left="720"/>
        <w:jc w:val="both"/>
        <w:rPr>
          <w:sz w:val="22"/>
          <w:szCs w:val="22"/>
        </w:rPr>
      </w:pPr>
      <w:bookmarkStart w:id="114" w:name="10"/>
      <w:bookmarkStart w:id="115" w:name="pr42"/>
      <w:bookmarkEnd w:id="114"/>
      <w:bookmarkEnd w:id="115"/>
      <w:proofErr w:type="spellStart"/>
      <w:r w:rsidRPr="000250FA">
        <w:rPr>
          <w:sz w:val="22"/>
          <w:szCs w:val="22"/>
        </w:rPr>
        <w:t>ib</w:t>
      </w:r>
      <w:proofErr w:type="spellEnd"/>
      <w:r w:rsidRPr="000250FA">
        <w:rPr>
          <w:sz w:val="22"/>
          <w:szCs w:val="22"/>
        </w:rPr>
        <w:t>) a közalkalmazottól csak olyan nyilatkozat megtétele vagy adat közlése kérhető, amely személyhez fűződő jogát nem sérti, és a munkaviszony létesítése, teljesítése vagy megszűnése szempontjából lényeges. A közalkalmazottal szemben csak olyan alkalmassági vizsgálat alkalmazható, amelyet munkaviszonyra vonatkozó szabály ír elő, vagy amely munkaviszonyra vonatkozó szabályban meghatározott jog gyakorlása, kötelezettség teljesítése érdekében szükséges.</w:t>
      </w:r>
    </w:p>
    <w:p w14:paraId="70E0F30D" w14:textId="77777777" w:rsidR="00893D5B" w:rsidRPr="000250FA" w:rsidRDefault="00893D5B" w:rsidP="00893D5B">
      <w:pPr>
        <w:ind w:left="720"/>
        <w:jc w:val="both"/>
        <w:rPr>
          <w:sz w:val="22"/>
          <w:szCs w:val="22"/>
        </w:rPr>
      </w:pPr>
      <w:bookmarkStart w:id="116" w:name="pr43"/>
      <w:bookmarkEnd w:id="116"/>
      <w:proofErr w:type="spellStart"/>
      <w:r w:rsidRPr="000250FA">
        <w:rPr>
          <w:sz w:val="22"/>
          <w:szCs w:val="22"/>
        </w:rPr>
        <w:t>ic</w:t>
      </w:r>
      <w:proofErr w:type="spellEnd"/>
      <w:r w:rsidRPr="000250FA">
        <w:rPr>
          <w:sz w:val="22"/>
          <w:szCs w:val="22"/>
        </w:rPr>
        <w:t>) a munkáltató köteles a közalkalmazottat tájékoztatni személyes adatainak kezeléséről. A munkáltató a közalkalmazottra vonatkozó tényt, adatot, véleményt harmadik személlyel csak törvényben meghatározott esetben vagy a munkavállaló hozzájárulásával közölhet.</w:t>
      </w:r>
    </w:p>
    <w:p w14:paraId="00D92746" w14:textId="77777777" w:rsidR="00893D5B" w:rsidRPr="000250FA" w:rsidRDefault="00893D5B" w:rsidP="00893D5B">
      <w:pPr>
        <w:ind w:left="720"/>
        <w:jc w:val="both"/>
        <w:rPr>
          <w:sz w:val="22"/>
          <w:szCs w:val="22"/>
        </w:rPr>
      </w:pPr>
      <w:bookmarkStart w:id="117" w:name="pr44"/>
      <w:bookmarkEnd w:id="117"/>
      <w:proofErr w:type="spellStart"/>
      <w:r w:rsidRPr="000250FA">
        <w:rPr>
          <w:sz w:val="22"/>
          <w:szCs w:val="22"/>
        </w:rPr>
        <w:t>id</w:t>
      </w:r>
      <w:proofErr w:type="spellEnd"/>
      <w:r w:rsidRPr="000250FA">
        <w:rPr>
          <w:sz w:val="22"/>
          <w:szCs w:val="22"/>
        </w:rPr>
        <w:t>) a közalkalmazotti jogviszonyból származó kötelezettségek teljesítése céljából a munkáltató a közalkalmazott személyes adatait - az adatszolgáltatás céljának megjelölésével, törvényben meghatározottak szerint - adatfeldolgozó számára átadhatja. Erről a munkavállalót előzetesen tájékoztatni kell.</w:t>
      </w:r>
    </w:p>
    <w:p w14:paraId="25C45683" w14:textId="77777777" w:rsidR="00893D5B" w:rsidRPr="000250FA" w:rsidRDefault="00893D5B" w:rsidP="00893D5B">
      <w:pPr>
        <w:ind w:left="720"/>
        <w:jc w:val="both"/>
        <w:rPr>
          <w:sz w:val="22"/>
          <w:szCs w:val="22"/>
        </w:rPr>
      </w:pPr>
      <w:bookmarkStart w:id="118" w:name="pr45"/>
      <w:bookmarkEnd w:id="118"/>
      <w:proofErr w:type="spellStart"/>
      <w:r w:rsidRPr="000250FA">
        <w:rPr>
          <w:sz w:val="22"/>
          <w:szCs w:val="22"/>
        </w:rPr>
        <w:t>ie</w:t>
      </w:r>
      <w:proofErr w:type="spellEnd"/>
      <w:r w:rsidRPr="000250FA">
        <w:rPr>
          <w:sz w:val="22"/>
          <w:szCs w:val="22"/>
        </w:rPr>
        <w:t>) a közalkalmazottra vonatkozó adatok statisztikai célra felhasználhatók és statisztikai célú felhasználásra - hozzájárulása nélkül, személyazonosításra alkalmatlan módon - átadhatók.</w:t>
      </w:r>
    </w:p>
    <w:p w14:paraId="7837AE43" w14:textId="77777777" w:rsidR="00893D5B" w:rsidRPr="000250FA" w:rsidRDefault="00893D5B" w:rsidP="00893D5B">
      <w:pPr>
        <w:ind w:left="720"/>
        <w:jc w:val="both"/>
        <w:rPr>
          <w:sz w:val="22"/>
          <w:szCs w:val="22"/>
        </w:rPr>
      </w:pPr>
      <w:bookmarkStart w:id="119" w:name="11"/>
      <w:bookmarkStart w:id="120" w:name="pr46"/>
      <w:bookmarkEnd w:id="119"/>
      <w:bookmarkEnd w:id="120"/>
      <w:proofErr w:type="spellStart"/>
      <w:r w:rsidRPr="000250FA">
        <w:rPr>
          <w:sz w:val="22"/>
          <w:szCs w:val="22"/>
        </w:rPr>
        <w:t>if</w:t>
      </w:r>
      <w:proofErr w:type="spellEnd"/>
      <w:r w:rsidRPr="000250FA">
        <w:rPr>
          <w:sz w:val="22"/>
          <w:szCs w:val="22"/>
        </w:rPr>
        <w:t xml:space="preserve">) </w:t>
      </w:r>
      <w:proofErr w:type="gramStart"/>
      <w:r w:rsidRPr="000250FA">
        <w:rPr>
          <w:sz w:val="22"/>
          <w:szCs w:val="22"/>
        </w:rPr>
        <w:t>A</w:t>
      </w:r>
      <w:proofErr w:type="gramEnd"/>
      <w:r w:rsidRPr="000250FA">
        <w:rPr>
          <w:sz w:val="22"/>
          <w:szCs w:val="22"/>
        </w:rPr>
        <w:t xml:space="preserve"> munkáltató a közalkalmazottól csak a közalkalmazotti </w:t>
      </w:r>
      <w:proofErr w:type="spellStart"/>
      <w:r w:rsidRPr="000250FA">
        <w:rPr>
          <w:sz w:val="22"/>
          <w:szCs w:val="22"/>
        </w:rPr>
        <w:t>jogviszpnnyal</w:t>
      </w:r>
      <w:proofErr w:type="spellEnd"/>
      <w:r w:rsidRPr="000250FA">
        <w:rPr>
          <w:sz w:val="22"/>
          <w:szCs w:val="22"/>
        </w:rPr>
        <w:t xml:space="preserve"> összefüggő magatartása körében ellenőrizheti. A munkáltató ellenőrzése és az annak során alkalmazott eszközök, módszerek nem járhatnak az emberi méltóság megsértésével. A munkavállaló magánélete nem ellenőrizhető.</w:t>
      </w:r>
    </w:p>
    <w:p w14:paraId="0B254168" w14:textId="77777777" w:rsidR="00893D5B" w:rsidRPr="000250FA" w:rsidRDefault="00893D5B" w:rsidP="00893D5B">
      <w:pPr>
        <w:ind w:left="720"/>
        <w:jc w:val="both"/>
        <w:rPr>
          <w:sz w:val="22"/>
          <w:szCs w:val="22"/>
        </w:rPr>
      </w:pPr>
      <w:bookmarkStart w:id="121" w:name="pr47"/>
      <w:bookmarkEnd w:id="121"/>
      <w:proofErr w:type="spellStart"/>
      <w:r w:rsidRPr="000250FA">
        <w:rPr>
          <w:sz w:val="22"/>
          <w:szCs w:val="22"/>
        </w:rPr>
        <w:t>ig</w:t>
      </w:r>
      <w:proofErr w:type="spellEnd"/>
      <w:r w:rsidRPr="000250FA">
        <w:rPr>
          <w:sz w:val="22"/>
          <w:szCs w:val="22"/>
        </w:rPr>
        <w:t xml:space="preserve">) </w:t>
      </w:r>
      <w:proofErr w:type="gramStart"/>
      <w:r w:rsidRPr="000250FA">
        <w:rPr>
          <w:sz w:val="22"/>
          <w:szCs w:val="22"/>
        </w:rPr>
        <w:t>A</w:t>
      </w:r>
      <w:proofErr w:type="gramEnd"/>
      <w:r w:rsidRPr="000250FA">
        <w:rPr>
          <w:sz w:val="22"/>
          <w:szCs w:val="22"/>
        </w:rPr>
        <w:t xml:space="preserve"> munkáltató előzetesen tájékoztatja a közalkalmazottat azoknak a technikai eszközöknek az alkalmazásáról, amelyek a munkavállaló ellenőrzésére szolgálnak.</w:t>
      </w:r>
    </w:p>
    <w:p w14:paraId="2F4AF4CB" w14:textId="77777777" w:rsidR="00893D5B" w:rsidRPr="000250FA" w:rsidRDefault="00893D5B" w:rsidP="00893D5B">
      <w:pPr>
        <w:pStyle w:val="Normlstilus1norml"/>
        <w:tabs>
          <w:tab w:val="left" w:pos="9781"/>
        </w:tabs>
        <w:ind w:right="-144"/>
        <w:rPr>
          <w:color w:val="auto"/>
          <w:sz w:val="22"/>
          <w:szCs w:val="22"/>
        </w:rPr>
      </w:pPr>
    </w:p>
    <w:p w14:paraId="699DEA8F"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w:t>
      </w:r>
      <w:r w:rsidRPr="000250FA">
        <w:rPr>
          <w:b/>
          <w:i/>
          <w:color w:val="auto"/>
          <w:sz w:val="22"/>
          <w:szCs w:val="22"/>
        </w:rPr>
        <w:t xml:space="preserve"> </w:t>
      </w:r>
      <w:r w:rsidRPr="000250FA">
        <w:rPr>
          <w:color w:val="auto"/>
          <w:sz w:val="22"/>
          <w:szCs w:val="22"/>
        </w:rPr>
        <w:t>A közalkalmazott köteles:</w:t>
      </w:r>
    </w:p>
    <w:p w14:paraId="6A3C4F7B" w14:textId="77777777" w:rsidR="00893D5B" w:rsidRPr="000250FA" w:rsidRDefault="00893D5B" w:rsidP="00893D5B">
      <w:pPr>
        <w:pStyle w:val="Normlstilus1norml"/>
        <w:tabs>
          <w:tab w:val="left" w:pos="9781"/>
        </w:tabs>
        <w:ind w:left="561" w:right="-144"/>
        <w:rPr>
          <w:color w:val="auto"/>
          <w:sz w:val="22"/>
          <w:szCs w:val="22"/>
        </w:rPr>
      </w:pPr>
    </w:p>
    <w:p w14:paraId="26C2123A" w14:textId="77777777" w:rsidR="00893D5B" w:rsidRPr="000250FA" w:rsidRDefault="00893D5B" w:rsidP="00912564">
      <w:pPr>
        <w:numPr>
          <w:ilvl w:val="0"/>
          <w:numId w:val="48"/>
        </w:numPr>
        <w:jc w:val="both"/>
        <w:rPr>
          <w:sz w:val="22"/>
          <w:szCs w:val="22"/>
        </w:rPr>
      </w:pPr>
      <w:r w:rsidRPr="000250FA">
        <w:rPr>
          <w:sz w:val="22"/>
          <w:szCs w:val="22"/>
        </w:rPr>
        <w:t xml:space="preserve">az előírt helyen és időben munkára képes állapotban megjelenni </w:t>
      </w:r>
    </w:p>
    <w:p w14:paraId="7E420E2A" w14:textId="77777777" w:rsidR="00893D5B" w:rsidRPr="000250FA" w:rsidRDefault="00893D5B" w:rsidP="00912564">
      <w:pPr>
        <w:numPr>
          <w:ilvl w:val="0"/>
          <w:numId w:val="48"/>
        </w:numPr>
        <w:jc w:val="both"/>
        <w:rPr>
          <w:sz w:val="22"/>
          <w:szCs w:val="22"/>
        </w:rPr>
      </w:pPr>
      <w:r w:rsidRPr="000250FA">
        <w:rPr>
          <w:sz w:val="22"/>
          <w:szCs w:val="22"/>
        </w:rPr>
        <w:t>munkaideje alatt - munkavégzés céljából, munkára képes állapotban - a munkáltató rendelkezésére állni, munkát végezni,</w:t>
      </w:r>
    </w:p>
    <w:p w14:paraId="47264BF5" w14:textId="77777777" w:rsidR="00893D5B" w:rsidRPr="000250FA" w:rsidRDefault="00893D5B" w:rsidP="00912564">
      <w:pPr>
        <w:numPr>
          <w:ilvl w:val="0"/>
          <w:numId w:val="48"/>
        </w:numPr>
        <w:jc w:val="both"/>
        <w:rPr>
          <w:sz w:val="22"/>
          <w:szCs w:val="22"/>
        </w:rPr>
      </w:pPr>
      <w:r w:rsidRPr="000250FA">
        <w:rPr>
          <w:sz w:val="22"/>
          <w:szCs w:val="22"/>
        </w:rPr>
        <w:t>munkáját személyesen az általában elvárható szakértelemmel és gondossággal, a munkájára vonatkozó szabályok, előírások és utasítások szerint végezni,</w:t>
      </w:r>
    </w:p>
    <w:p w14:paraId="233CC2A8" w14:textId="77777777" w:rsidR="00893D5B" w:rsidRPr="000250FA" w:rsidRDefault="00893D5B" w:rsidP="00912564">
      <w:pPr>
        <w:numPr>
          <w:ilvl w:val="0"/>
          <w:numId w:val="48"/>
        </w:numPr>
        <w:jc w:val="both"/>
        <w:rPr>
          <w:sz w:val="22"/>
          <w:szCs w:val="22"/>
        </w:rPr>
      </w:pPr>
      <w:r w:rsidRPr="000250FA">
        <w:rPr>
          <w:sz w:val="22"/>
          <w:szCs w:val="22"/>
        </w:rPr>
        <w:t>a munkakörének ellátásához szükséges bizalomnak megfelelő magatartást tanúsítani,</w:t>
      </w:r>
    </w:p>
    <w:p w14:paraId="6D0479E6" w14:textId="77777777" w:rsidR="00893D5B" w:rsidRPr="000250FA" w:rsidRDefault="00893D5B" w:rsidP="00912564">
      <w:pPr>
        <w:numPr>
          <w:ilvl w:val="0"/>
          <w:numId w:val="48"/>
        </w:numPr>
        <w:jc w:val="both"/>
        <w:rPr>
          <w:sz w:val="22"/>
          <w:szCs w:val="22"/>
        </w:rPr>
      </w:pPr>
      <w:bookmarkStart w:id="122" w:name="pr238"/>
      <w:bookmarkEnd w:id="122"/>
      <w:r w:rsidRPr="000250FA">
        <w:rPr>
          <w:sz w:val="22"/>
          <w:szCs w:val="22"/>
        </w:rPr>
        <w:t>munkatársaival együttműködni,</w:t>
      </w:r>
    </w:p>
    <w:p w14:paraId="5FC568B6" w14:textId="77777777" w:rsidR="00893D5B" w:rsidRPr="000250FA" w:rsidRDefault="00893D5B" w:rsidP="00912564">
      <w:pPr>
        <w:numPr>
          <w:ilvl w:val="0"/>
          <w:numId w:val="48"/>
        </w:numPr>
        <w:jc w:val="both"/>
        <w:rPr>
          <w:sz w:val="22"/>
          <w:szCs w:val="22"/>
        </w:rPr>
      </w:pPr>
      <w:r w:rsidRPr="000250FA">
        <w:rPr>
          <w:sz w:val="22"/>
          <w:szCs w:val="22"/>
        </w:rPr>
        <w:t xml:space="preserve">munkáját úgy végezni és olyan magatartást tanúsítani, hogy ez más egészségét és testi épségét ne veszélyeztesse, munkáját ne zavarja, anyagi károsodást ne idézzen elő, </w:t>
      </w:r>
    </w:p>
    <w:p w14:paraId="334EE735" w14:textId="77777777" w:rsidR="00893D5B" w:rsidRPr="000250FA" w:rsidRDefault="00893D5B" w:rsidP="00912564">
      <w:pPr>
        <w:numPr>
          <w:ilvl w:val="0"/>
          <w:numId w:val="48"/>
        </w:numPr>
        <w:jc w:val="both"/>
        <w:rPr>
          <w:sz w:val="22"/>
          <w:szCs w:val="22"/>
        </w:rPr>
      </w:pPr>
      <w:r w:rsidRPr="000250FA">
        <w:rPr>
          <w:sz w:val="22"/>
          <w:szCs w:val="22"/>
        </w:rPr>
        <w:t xml:space="preserve">a munkája során tudomására jutott szolgálati titkot, továbbá az Egyetemre, illetve tevékenységére vonatkozó alapvető fontosságú </w:t>
      </w:r>
      <w:proofErr w:type="gramStart"/>
      <w:r w:rsidRPr="000250FA">
        <w:rPr>
          <w:sz w:val="22"/>
          <w:szCs w:val="22"/>
        </w:rPr>
        <w:t>információkat</w:t>
      </w:r>
      <w:proofErr w:type="gramEnd"/>
      <w:r w:rsidRPr="000250FA">
        <w:rPr>
          <w:sz w:val="22"/>
          <w:szCs w:val="22"/>
        </w:rPr>
        <w:t xml:space="preserve"> megőrizni,</w:t>
      </w:r>
    </w:p>
    <w:p w14:paraId="7508B4F7" w14:textId="77777777" w:rsidR="00893D5B" w:rsidRPr="000250FA" w:rsidRDefault="00893D5B" w:rsidP="00912564">
      <w:pPr>
        <w:numPr>
          <w:ilvl w:val="0"/>
          <w:numId w:val="48"/>
        </w:numPr>
        <w:jc w:val="both"/>
        <w:rPr>
          <w:sz w:val="22"/>
          <w:szCs w:val="22"/>
        </w:rPr>
      </w:pPr>
      <w:r w:rsidRPr="000250FA">
        <w:rPr>
          <w:sz w:val="22"/>
          <w:szCs w:val="22"/>
        </w:rPr>
        <w:t>a közalkalmazotti jogviszony fennállása alatt - kivéve, ha erre jogszabály feljogosítja - nem tanúsíthat olyan magatartást, amellyel munkáltatója jogos gazdasági érdekeit veszélyeztetné,</w:t>
      </w:r>
    </w:p>
    <w:p w14:paraId="6A136A54" w14:textId="77777777" w:rsidR="00893D5B" w:rsidRPr="000250FA" w:rsidRDefault="00893D5B" w:rsidP="00912564">
      <w:pPr>
        <w:numPr>
          <w:ilvl w:val="0"/>
          <w:numId w:val="48"/>
        </w:numPr>
        <w:jc w:val="both"/>
        <w:rPr>
          <w:sz w:val="22"/>
          <w:szCs w:val="22"/>
        </w:rPr>
      </w:pPr>
      <w:proofErr w:type="spellStart"/>
      <w:r w:rsidRPr="000250FA">
        <w:rPr>
          <w:sz w:val="22"/>
          <w:szCs w:val="22"/>
        </w:rPr>
        <w:t>munkaidején</w:t>
      </w:r>
      <w:proofErr w:type="spellEnd"/>
      <w:r w:rsidRPr="000250FA">
        <w:rPr>
          <w:sz w:val="22"/>
          <w:szCs w:val="22"/>
        </w:rPr>
        <w:t xml:space="preserve"> kívül is olyan magatartást tanúsításától tartózkodni, amely - különösen a közalkalmazott munkakörének jellege, a munkáltató szervezetében elfoglalt helye alapján - közvetlenül és ténylegesen alkalmas munkáltatója jó hírnevének, jogos gazdasági érdekének vagy a munkaviszony céljának veszélyeztetésére. A közalkalmazott magatartása az Mt. 9. § (2) bekezdésében foglaltak szerint korlátozható. A korlátozásról a közalkalmazottat írásban előzetesen tájékoztatni kell,</w:t>
      </w:r>
    </w:p>
    <w:p w14:paraId="05E30970" w14:textId="77777777" w:rsidR="00893D5B" w:rsidRPr="000250FA" w:rsidRDefault="00893D5B" w:rsidP="00912564">
      <w:pPr>
        <w:numPr>
          <w:ilvl w:val="0"/>
          <w:numId w:val="48"/>
        </w:numPr>
        <w:jc w:val="both"/>
        <w:rPr>
          <w:sz w:val="22"/>
          <w:szCs w:val="22"/>
        </w:rPr>
      </w:pPr>
      <w:bookmarkStart w:id="123" w:name="pr36"/>
      <w:bookmarkEnd w:id="123"/>
      <w:r w:rsidRPr="000250FA">
        <w:rPr>
          <w:sz w:val="22"/>
          <w:szCs w:val="22"/>
        </w:rPr>
        <w:t xml:space="preserve">véleménynyilvánításhoz való jogát úgy gyakorolni, hogy az a munkáltató jó hírnevét, jogos gazdasági és szervezeti érdekeit súlyosan ne </w:t>
      </w:r>
      <w:proofErr w:type="spellStart"/>
      <w:r w:rsidRPr="000250FA">
        <w:rPr>
          <w:sz w:val="22"/>
          <w:szCs w:val="22"/>
        </w:rPr>
        <w:t>sértse</w:t>
      </w:r>
      <w:proofErr w:type="spellEnd"/>
      <w:r w:rsidRPr="000250FA">
        <w:rPr>
          <w:sz w:val="22"/>
          <w:szCs w:val="22"/>
        </w:rPr>
        <w:t xml:space="preserve"> vagy veszélyeztesse,</w:t>
      </w:r>
    </w:p>
    <w:p w14:paraId="71EDB6E5" w14:textId="77777777" w:rsidR="00893D5B" w:rsidRPr="000250FA" w:rsidRDefault="00893D5B" w:rsidP="00912564">
      <w:pPr>
        <w:numPr>
          <w:ilvl w:val="0"/>
          <w:numId w:val="48"/>
        </w:numPr>
        <w:jc w:val="both"/>
        <w:rPr>
          <w:sz w:val="22"/>
          <w:szCs w:val="22"/>
        </w:rPr>
      </w:pPr>
      <w:bookmarkStart w:id="124" w:name="pr37"/>
      <w:bookmarkEnd w:id="124"/>
      <w:r w:rsidRPr="000250FA">
        <w:rPr>
          <w:sz w:val="22"/>
          <w:szCs w:val="22"/>
        </w:rPr>
        <w:t xml:space="preserve">a munkája során tudomására jutott üzleti titkot megőrizni. Ezen túlmenően sem közölhet illetéktelen személlyel olyan adatot, amely munkaköre betöltésével összefüggésben jutott a tudomására, és amelynek közlése a munkáltatóra vagy más személyre hátrányos következménnyel járhat. A titoktartás nem terjed ki a közérdekű adatok nyilvánosságára és a </w:t>
      </w:r>
      <w:r w:rsidRPr="000250FA">
        <w:rPr>
          <w:sz w:val="22"/>
          <w:szCs w:val="22"/>
        </w:rPr>
        <w:lastRenderedPageBreak/>
        <w:t>közérdekből nyilvános adatra vonatkozó, törvényben meghatározott adatszolgáltatási és tájékoztatási kötelezettségre.</w:t>
      </w:r>
    </w:p>
    <w:p w14:paraId="478E6BA6" w14:textId="77777777" w:rsidR="00893D5B" w:rsidRPr="000250FA" w:rsidRDefault="00893D5B" w:rsidP="00893D5B">
      <w:pPr>
        <w:pStyle w:val="Normlstilus1norml"/>
        <w:tabs>
          <w:tab w:val="left" w:pos="9781"/>
        </w:tabs>
        <w:ind w:right="-144"/>
        <w:rPr>
          <w:color w:val="auto"/>
          <w:sz w:val="22"/>
          <w:szCs w:val="22"/>
        </w:rPr>
      </w:pPr>
    </w:p>
    <w:p w14:paraId="3DC48DE8"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w:t>
      </w:r>
      <w:r w:rsidRPr="000250FA">
        <w:rPr>
          <w:b/>
          <w:i/>
          <w:color w:val="auto"/>
          <w:sz w:val="22"/>
          <w:szCs w:val="22"/>
        </w:rPr>
        <w:t xml:space="preserve"> </w:t>
      </w:r>
      <w:r w:rsidRPr="000250FA">
        <w:rPr>
          <w:color w:val="auto"/>
          <w:sz w:val="22"/>
          <w:szCs w:val="22"/>
        </w:rPr>
        <w:t>A (2) bekezdés a) pontja szerint a közalkalmazott munkára képes állapotát kizáró oknak minősül különösen a szeszesitaltól, vagy kábítószertől befolyásolt állapot, továbbá minden olyan betegség, amely a közalkalmazott teljesítményét, vagy biztonságos munkavégzését akadályozza.</w:t>
      </w:r>
    </w:p>
    <w:p w14:paraId="3884C583" w14:textId="77777777" w:rsidR="00893D5B" w:rsidRPr="000250FA" w:rsidRDefault="00893D5B" w:rsidP="00893D5B">
      <w:pPr>
        <w:pStyle w:val="Normlstilus1norml"/>
        <w:tabs>
          <w:tab w:val="left" w:pos="9781"/>
        </w:tabs>
        <w:ind w:right="-144"/>
        <w:rPr>
          <w:color w:val="auto"/>
          <w:sz w:val="22"/>
          <w:szCs w:val="22"/>
        </w:rPr>
      </w:pPr>
    </w:p>
    <w:p w14:paraId="589A1053"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(5) Az Egyetem jogosult ellenőrizni a közalkalmazott munkára képes állapotát. Amennyiben a közalkalmazott az ellenőrzés elvégzését megtagadja, vagy azt akadályozza, úgy e magatartása a közalkalmazotti jogviszonyból származó lényeges kötelezettség megszegésének minősül.</w:t>
      </w:r>
    </w:p>
    <w:p w14:paraId="297122E9" w14:textId="77777777" w:rsidR="00893D5B" w:rsidRPr="000250FA" w:rsidRDefault="00893D5B" w:rsidP="00893D5B">
      <w:pPr>
        <w:pStyle w:val="NormlWeb"/>
        <w:tabs>
          <w:tab w:val="left" w:pos="9781"/>
        </w:tabs>
        <w:spacing w:before="0" w:beforeAutospacing="0" w:after="0" w:afterAutospacing="0"/>
        <w:ind w:right="-144"/>
        <w:jc w:val="both"/>
        <w:rPr>
          <w:b/>
          <w:sz w:val="22"/>
          <w:szCs w:val="22"/>
        </w:rPr>
      </w:pPr>
    </w:p>
    <w:p w14:paraId="7455078D"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b/>
          <w:sz w:val="22"/>
          <w:szCs w:val="22"/>
        </w:rPr>
        <w:t>35/A.§</w:t>
      </w:r>
      <w:r w:rsidRPr="00A5211E">
        <w:rPr>
          <w:rStyle w:val="Lbjegyzet-hivatkozs"/>
          <w:sz w:val="22"/>
          <w:szCs w:val="22"/>
        </w:rPr>
        <w:footnoteReference w:id="172"/>
      </w:r>
      <w:r w:rsidRPr="00A5211E">
        <w:rPr>
          <w:i/>
          <w:sz w:val="22"/>
          <w:szCs w:val="22"/>
        </w:rPr>
        <w:t xml:space="preserve"> </w:t>
      </w:r>
      <w:r w:rsidRPr="000250FA">
        <w:rPr>
          <w:sz w:val="22"/>
          <w:szCs w:val="22"/>
        </w:rPr>
        <w:t xml:space="preserve">(1) </w:t>
      </w:r>
      <w:proofErr w:type="gramStart"/>
      <w:r w:rsidRPr="000250FA">
        <w:rPr>
          <w:sz w:val="22"/>
          <w:szCs w:val="22"/>
        </w:rPr>
        <w:t>A</w:t>
      </w:r>
      <w:proofErr w:type="gramEnd"/>
      <w:r w:rsidRPr="000250FA">
        <w:rPr>
          <w:sz w:val="22"/>
          <w:szCs w:val="22"/>
        </w:rPr>
        <w:t xml:space="preserve"> közalkalmazott a munkáltató előzetes hozzájárulása nélkül harmadik személytől díjazást a közalkalmazotti jogviszonyban végzett tevékenységére tekintettel nem fogadhat el, vagy nem köthet ki.</w:t>
      </w:r>
    </w:p>
    <w:p w14:paraId="7D0FB44A"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bookmarkStart w:id="125" w:name="pr240"/>
      <w:bookmarkEnd w:id="125"/>
    </w:p>
    <w:p w14:paraId="5E8475B0"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 xml:space="preserve">(2) A közalkalmazottat kinevezés vagy közalkalmazotti jogviszonyra vonatkozó szabály alapján </w:t>
      </w:r>
      <w:proofErr w:type="gramStart"/>
      <w:r w:rsidRPr="000250FA">
        <w:rPr>
          <w:sz w:val="22"/>
          <w:szCs w:val="22"/>
        </w:rPr>
        <w:t>megillető</w:t>
      </w:r>
      <w:proofErr w:type="gramEnd"/>
      <w:r w:rsidRPr="000250FA">
        <w:rPr>
          <w:sz w:val="22"/>
          <w:szCs w:val="22"/>
        </w:rPr>
        <w:t xml:space="preserve"> illetményt csökkenteni nem lehet arra tekintettel, hogy a közalkalmazott a munkáltató előzetes hozzájárulásával az (1) bekezdésben meghatározott díjazásban részesült.</w:t>
      </w:r>
    </w:p>
    <w:p w14:paraId="1AA3D60E"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bookmarkStart w:id="126" w:name="pr241"/>
      <w:bookmarkEnd w:id="126"/>
    </w:p>
    <w:p w14:paraId="1A5786E5"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(3) Az (1) bekezdésben meghatározott díjazásnak minősül minden olyan vagyoni értékű szolgáltatás, amelyet harmadik személy a munkáltatót megillető szolgáltatáson felül a munkavállalónak nyújt.</w:t>
      </w:r>
    </w:p>
    <w:p w14:paraId="2ADEAE53" w14:textId="77777777" w:rsidR="00893D5B" w:rsidRPr="000250FA" w:rsidRDefault="00893D5B" w:rsidP="00893D5B">
      <w:pPr>
        <w:pStyle w:val="Normlstilus1norml"/>
        <w:tabs>
          <w:tab w:val="left" w:pos="9781"/>
        </w:tabs>
        <w:ind w:right="-144"/>
        <w:rPr>
          <w:color w:val="auto"/>
          <w:sz w:val="22"/>
          <w:szCs w:val="22"/>
        </w:rPr>
      </w:pPr>
    </w:p>
    <w:p w14:paraId="3BD2634B" w14:textId="77777777" w:rsidR="00893D5B" w:rsidRPr="000250FA" w:rsidRDefault="00893D5B" w:rsidP="00893D5B">
      <w:pPr>
        <w:tabs>
          <w:tab w:val="left" w:pos="9781"/>
        </w:tabs>
        <w:adjustRightInd w:val="0"/>
        <w:ind w:right="-144"/>
        <w:jc w:val="both"/>
        <w:rPr>
          <w:sz w:val="22"/>
          <w:szCs w:val="22"/>
        </w:rPr>
      </w:pPr>
      <w:r w:rsidRPr="000250FA">
        <w:rPr>
          <w:b/>
          <w:bCs/>
          <w:sz w:val="22"/>
          <w:szCs w:val="22"/>
        </w:rPr>
        <w:t>36. §</w:t>
      </w:r>
      <w:r w:rsidRPr="000250FA">
        <w:rPr>
          <w:sz w:val="22"/>
          <w:szCs w:val="22"/>
        </w:rPr>
        <w:t xml:space="preserve"> A közalkalmazott a munkaköri feladatait a közalkalmazotti jogviszonyra vonatkozó szabályoknak, az egyéb szakmai szabályoknak és szokásoknak, valamint a munkáltató utasításainak megfelelően, a közérdek figyelembevételével látja el.</w:t>
      </w:r>
    </w:p>
    <w:p w14:paraId="1138167B" w14:textId="77777777" w:rsidR="00893D5B" w:rsidRPr="000250FA" w:rsidRDefault="00893D5B" w:rsidP="00893D5B">
      <w:pPr>
        <w:rPr>
          <w:b/>
          <w:sz w:val="22"/>
          <w:szCs w:val="22"/>
        </w:rPr>
      </w:pPr>
    </w:p>
    <w:p w14:paraId="2FC3252E" w14:textId="77777777" w:rsidR="00893D5B" w:rsidRPr="000250FA" w:rsidRDefault="00893D5B" w:rsidP="00893D5B">
      <w:pPr>
        <w:jc w:val="center"/>
        <w:rPr>
          <w:b/>
          <w:sz w:val="22"/>
          <w:szCs w:val="22"/>
        </w:rPr>
      </w:pPr>
      <w:r w:rsidRPr="000250FA">
        <w:rPr>
          <w:b/>
          <w:sz w:val="22"/>
          <w:szCs w:val="22"/>
        </w:rPr>
        <w:t>Az összeférhetetlenség szabályai</w:t>
      </w:r>
    </w:p>
    <w:p w14:paraId="6C762DE6" w14:textId="77777777" w:rsidR="00893D5B" w:rsidRPr="000250FA" w:rsidRDefault="00893D5B" w:rsidP="00893D5B">
      <w:pPr>
        <w:rPr>
          <w:sz w:val="22"/>
          <w:szCs w:val="22"/>
        </w:rPr>
      </w:pPr>
    </w:p>
    <w:p w14:paraId="0CCBC8BE" w14:textId="77777777" w:rsidR="00893D5B" w:rsidRPr="000250FA" w:rsidRDefault="00893D5B" w:rsidP="00A5211E">
      <w:pPr>
        <w:jc w:val="both"/>
        <w:rPr>
          <w:b/>
          <w:bCs/>
          <w:sz w:val="22"/>
          <w:szCs w:val="22"/>
        </w:rPr>
      </w:pPr>
      <w:r w:rsidRPr="000250FA">
        <w:rPr>
          <w:b/>
          <w:sz w:val="22"/>
          <w:szCs w:val="22"/>
        </w:rPr>
        <w:t>37. §</w:t>
      </w:r>
      <w:r w:rsidRPr="000250FA">
        <w:rPr>
          <w:rStyle w:val="Lbjegyzet-hivatkozs"/>
          <w:sz w:val="22"/>
          <w:szCs w:val="22"/>
        </w:rPr>
        <w:footnoteReference w:id="173"/>
      </w:r>
      <w:r w:rsidRPr="000250FA">
        <w:rPr>
          <w:bCs/>
          <w:sz w:val="22"/>
          <w:szCs w:val="22"/>
        </w:rPr>
        <w:t xml:space="preserve"> (1) Az oktatók, kutatók és egyéb közalkalmazottak nem létesíthetnek olyan munkavégzésre irányuló jogviszonyt, amely a közalkalmazotti jogviszony alapján betöltött munkakörükkel összeférhetetlen.</w:t>
      </w:r>
    </w:p>
    <w:p w14:paraId="00E0E1FE" w14:textId="77777777" w:rsidR="00893D5B" w:rsidRPr="000250FA" w:rsidRDefault="00893D5B" w:rsidP="00893D5B">
      <w:pPr>
        <w:rPr>
          <w:b/>
          <w:bCs/>
          <w:sz w:val="22"/>
          <w:szCs w:val="22"/>
        </w:rPr>
      </w:pPr>
    </w:p>
    <w:p w14:paraId="4E4A6CE5" w14:textId="77777777" w:rsidR="00893D5B" w:rsidRPr="000250FA" w:rsidRDefault="00893D5B" w:rsidP="00893D5B">
      <w:pPr>
        <w:rPr>
          <w:sz w:val="22"/>
          <w:szCs w:val="22"/>
        </w:rPr>
      </w:pPr>
      <w:r w:rsidRPr="000250FA">
        <w:rPr>
          <w:sz w:val="22"/>
          <w:szCs w:val="22"/>
        </w:rPr>
        <w:t>(2) Összeférhetetlen különösen az olyan munkavégzésre irányuló további jogviszony</w:t>
      </w:r>
    </w:p>
    <w:p w14:paraId="184059B2" w14:textId="77777777" w:rsidR="00893D5B" w:rsidRPr="000250FA" w:rsidRDefault="00893D5B" w:rsidP="00893D5B">
      <w:pPr>
        <w:rPr>
          <w:sz w:val="22"/>
          <w:szCs w:val="22"/>
        </w:rPr>
      </w:pPr>
    </w:p>
    <w:p w14:paraId="77BDD20F" w14:textId="77777777" w:rsidR="00893D5B" w:rsidRPr="000250FA" w:rsidRDefault="00893D5B" w:rsidP="00912564">
      <w:pPr>
        <w:numPr>
          <w:ilvl w:val="0"/>
          <w:numId w:val="49"/>
        </w:numPr>
        <w:jc w:val="both"/>
        <w:rPr>
          <w:sz w:val="22"/>
          <w:szCs w:val="22"/>
        </w:rPr>
      </w:pPr>
      <w:r w:rsidRPr="000250FA">
        <w:rPr>
          <w:sz w:val="22"/>
          <w:szCs w:val="22"/>
        </w:rPr>
        <w:t>amelyben a szolgálati (üzleti) titkot képező eljárások, módszerek, ismeretek harmadik személy javára való alkalmazására kerülhet sor,</w:t>
      </w:r>
    </w:p>
    <w:p w14:paraId="483085D4" w14:textId="77777777" w:rsidR="00893D5B" w:rsidRPr="000250FA" w:rsidRDefault="00893D5B" w:rsidP="00912564">
      <w:pPr>
        <w:numPr>
          <w:ilvl w:val="0"/>
          <w:numId w:val="49"/>
        </w:numPr>
        <w:jc w:val="both"/>
        <w:rPr>
          <w:sz w:val="22"/>
          <w:szCs w:val="22"/>
        </w:rPr>
      </w:pPr>
      <w:r w:rsidRPr="000250FA">
        <w:rPr>
          <w:sz w:val="22"/>
          <w:szCs w:val="22"/>
        </w:rPr>
        <w:t>amely a közalkalmazott egyetemi alapfeladatainak (oktatás, kutatás, közművelődési-és közgyűjteményi, egészségügyi tevékenység, igazgatási és gazdasági tevékenység) teljesítését hátráltatja,</w:t>
      </w:r>
    </w:p>
    <w:p w14:paraId="088B03F0" w14:textId="77777777" w:rsidR="00893D5B" w:rsidRPr="000250FA" w:rsidRDefault="00893D5B" w:rsidP="00912564">
      <w:pPr>
        <w:numPr>
          <w:ilvl w:val="0"/>
          <w:numId w:val="49"/>
        </w:numPr>
        <w:jc w:val="both"/>
        <w:rPr>
          <w:sz w:val="22"/>
          <w:szCs w:val="22"/>
        </w:rPr>
      </w:pPr>
      <w:r w:rsidRPr="000250FA">
        <w:rPr>
          <w:rStyle w:val="Lbjegyzet-hivatkozs"/>
          <w:sz w:val="22"/>
          <w:szCs w:val="22"/>
        </w:rPr>
        <w:footnoteReference w:id="174"/>
      </w:r>
      <w:r w:rsidRPr="000250FA">
        <w:rPr>
          <w:sz w:val="22"/>
          <w:szCs w:val="22"/>
        </w:rPr>
        <w:t xml:space="preserve">amely az Egyetemen teljes munkaidőben foglalkoztatott közalkalmazott által más felsőoktatási intézményben a teljes munkaidő </w:t>
      </w:r>
      <w:proofErr w:type="gramStart"/>
      <w:r w:rsidRPr="000250FA">
        <w:rPr>
          <w:sz w:val="22"/>
          <w:szCs w:val="22"/>
        </w:rPr>
        <w:t>több, mint</w:t>
      </w:r>
      <w:proofErr w:type="gramEnd"/>
      <w:r w:rsidRPr="000250FA">
        <w:rPr>
          <w:b/>
          <w:i/>
        </w:rPr>
        <w:t xml:space="preserve"> </w:t>
      </w:r>
      <w:r w:rsidRPr="000250FA">
        <w:rPr>
          <w:sz w:val="22"/>
          <w:szCs w:val="22"/>
        </w:rPr>
        <w:t>felének megfelelő időtartamban történő foglalkoztatásra irányul,</w:t>
      </w:r>
    </w:p>
    <w:p w14:paraId="5822D392" w14:textId="77777777" w:rsidR="00893D5B" w:rsidRPr="000250FA" w:rsidRDefault="00893D5B" w:rsidP="00912564">
      <w:pPr>
        <w:numPr>
          <w:ilvl w:val="0"/>
          <w:numId w:val="49"/>
        </w:numPr>
        <w:jc w:val="both"/>
        <w:rPr>
          <w:sz w:val="22"/>
          <w:szCs w:val="22"/>
        </w:rPr>
      </w:pPr>
      <w:r w:rsidRPr="000250FA">
        <w:rPr>
          <w:sz w:val="22"/>
          <w:szCs w:val="22"/>
          <w:vertAlign w:val="superscript"/>
        </w:rPr>
        <w:footnoteReference w:id="175"/>
      </w:r>
    </w:p>
    <w:p w14:paraId="4B1B6985" w14:textId="77777777" w:rsidR="00893D5B" w:rsidRPr="000250FA" w:rsidRDefault="00893D5B" w:rsidP="00912564">
      <w:pPr>
        <w:numPr>
          <w:ilvl w:val="0"/>
          <w:numId w:val="49"/>
        </w:numPr>
        <w:jc w:val="both"/>
      </w:pPr>
      <w:r w:rsidRPr="000250FA">
        <w:rPr>
          <w:sz w:val="22"/>
          <w:szCs w:val="22"/>
        </w:rPr>
        <w:t>amely az Egyetemen teljes munkaidőben foglalkoztatott közalkalmazott által más felsőoktatási intézményben magasabb vezetői megbízás ellátására irányul.</w:t>
      </w:r>
    </w:p>
    <w:p w14:paraId="75ABF937" w14:textId="77777777" w:rsidR="00893D5B" w:rsidRPr="000250FA" w:rsidRDefault="00893D5B" w:rsidP="00893D5B">
      <w:pPr>
        <w:tabs>
          <w:tab w:val="left" w:pos="9781"/>
        </w:tabs>
        <w:ind w:right="-144"/>
        <w:rPr>
          <w:sz w:val="22"/>
          <w:szCs w:val="22"/>
        </w:rPr>
      </w:pPr>
    </w:p>
    <w:p w14:paraId="6184B461" w14:textId="77777777" w:rsidR="00893D5B" w:rsidRPr="000250FA" w:rsidRDefault="00893D5B" w:rsidP="00893D5B">
      <w:pPr>
        <w:jc w:val="both"/>
        <w:rPr>
          <w:sz w:val="22"/>
          <w:szCs w:val="22"/>
        </w:rPr>
      </w:pPr>
      <w:r w:rsidRPr="000250FA">
        <w:rPr>
          <w:sz w:val="22"/>
          <w:szCs w:val="22"/>
        </w:rPr>
        <w:t>(3) A pénzügyi kötelezettségvállalásra jogosult közalkalmazott munkakörével összeférhetetlen</w:t>
      </w:r>
    </w:p>
    <w:p w14:paraId="3B08E1C1" w14:textId="77777777" w:rsidR="00893D5B" w:rsidRPr="000250FA" w:rsidRDefault="00893D5B" w:rsidP="00912564">
      <w:pPr>
        <w:numPr>
          <w:ilvl w:val="0"/>
          <w:numId w:val="50"/>
        </w:numPr>
        <w:jc w:val="both"/>
        <w:rPr>
          <w:sz w:val="22"/>
          <w:szCs w:val="22"/>
        </w:rPr>
      </w:pPr>
      <w:r w:rsidRPr="000250FA">
        <w:rPr>
          <w:sz w:val="22"/>
          <w:szCs w:val="22"/>
        </w:rPr>
        <w:t>ha az Mt. 294.§ (1) b) pontja szerinti hozzátartozójával irányítási (felügyeleti), ellenőrzési vagy elszámolási kapcsolatba kerülne,</w:t>
      </w:r>
    </w:p>
    <w:p w14:paraId="5EC96DE5" w14:textId="77777777" w:rsidR="00893D5B" w:rsidRPr="000250FA" w:rsidRDefault="00893D5B" w:rsidP="00912564">
      <w:pPr>
        <w:numPr>
          <w:ilvl w:val="0"/>
          <w:numId w:val="50"/>
        </w:numPr>
        <w:jc w:val="both"/>
        <w:rPr>
          <w:b/>
          <w:i/>
          <w:sz w:val="22"/>
          <w:szCs w:val="22"/>
        </w:rPr>
      </w:pPr>
      <w:r w:rsidRPr="000250FA">
        <w:rPr>
          <w:sz w:val="22"/>
          <w:szCs w:val="22"/>
        </w:rPr>
        <w:lastRenderedPageBreak/>
        <w:t>az Egyetemmel azonos vagy ahhoz hasonló tevékenységet is végző, illetve az Egyetemmel rendszeres gazdasági kapcsolatban álló gazdasági társaságban betöltött gazdasági társaságban vezetői tisztségviselői, felügyelőbizottsági tagság.</w:t>
      </w:r>
    </w:p>
    <w:p w14:paraId="7089E0A7" w14:textId="77777777" w:rsidR="00893D5B" w:rsidRPr="000250FA" w:rsidRDefault="00893D5B" w:rsidP="00893D5B">
      <w:pPr>
        <w:rPr>
          <w:b/>
          <w:i/>
          <w:sz w:val="22"/>
          <w:szCs w:val="22"/>
        </w:rPr>
      </w:pPr>
    </w:p>
    <w:p w14:paraId="747C472C" w14:textId="77777777" w:rsidR="00893D5B" w:rsidRPr="000250FA" w:rsidRDefault="00893D5B" w:rsidP="00893D5B">
      <w:pPr>
        <w:jc w:val="both"/>
        <w:rPr>
          <w:bCs/>
          <w:sz w:val="22"/>
          <w:szCs w:val="22"/>
        </w:rPr>
      </w:pPr>
      <w:r w:rsidRPr="000250FA">
        <w:rPr>
          <w:bCs/>
          <w:sz w:val="22"/>
          <w:szCs w:val="22"/>
        </w:rPr>
        <w:t>(4)</w:t>
      </w:r>
      <w:r w:rsidRPr="000250FA">
        <w:rPr>
          <w:rStyle w:val="Lbjegyzet-hivatkozs"/>
          <w:bCs/>
          <w:sz w:val="22"/>
          <w:szCs w:val="22"/>
        </w:rPr>
        <w:footnoteReference w:id="176"/>
      </w:r>
      <w:r w:rsidRPr="000250FA">
        <w:rPr>
          <w:bCs/>
          <w:i/>
          <w:sz w:val="22"/>
          <w:szCs w:val="22"/>
        </w:rPr>
        <w:t xml:space="preserve"> </w:t>
      </w:r>
      <w:r w:rsidRPr="000250FA">
        <w:rPr>
          <w:bCs/>
          <w:sz w:val="22"/>
          <w:szCs w:val="22"/>
        </w:rPr>
        <w:t>A közalkalmazott 8 napon belül köteles írásban bejelenteni a munkáltatói jogkör gyakorlójának, ha vele szemben jogszabályban vagy szabályzatban meghatározott összeférhetetlenség merül fel, illetve ha közalkalmazotti jogviszonya fennállása alatt összeférhetetlenségi helyzetbe kerülnek. A munkáltató az összeférhetetlenségi nyilatkozatban foglaltakat tudomásul veszi vagy megtiltja.</w:t>
      </w:r>
    </w:p>
    <w:p w14:paraId="5EC36163" w14:textId="77777777" w:rsidR="00893D5B" w:rsidRPr="000250FA" w:rsidRDefault="00893D5B" w:rsidP="00893D5B">
      <w:pPr>
        <w:jc w:val="both"/>
        <w:rPr>
          <w:bCs/>
          <w:sz w:val="22"/>
          <w:szCs w:val="22"/>
        </w:rPr>
      </w:pPr>
    </w:p>
    <w:p w14:paraId="087BFD4B" w14:textId="77777777" w:rsidR="00893D5B" w:rsidRPr="000250FA" w:rsidRDefault="00893D5B" w:rsidP="00893D5B">
      <w:pPr>
        <w:jc w:val="both"/>
        <w:rPr>
          <w:bCs/>
          <w:sz w:val="22"/>
          <w:szCs w:val="22"/>
        </w:rPr>
      </w:pPr>
      <w:r w:rsidRPr="000250FA">
        <w:rPr>
          <w:bCs/>
          <w:sz w:val="22"/>
          <w:szCs w:val="22"/>
        </w:rPr>
        <w:t>(5)</w:t>
      </w:r>
      <w:r w:rsidRPr="000250FA">
        <w:rPr>
          <w:bCs/>
          <w:i/>
          <w:sz w:val="22"/>
          <w:szCs w:val="22"/>
        </w:rPr>
        <w:t xml:space="preserve"> </w:t>
      </w:r>
      <w:r w:rsidRPr="000250FA">
        <w:rPr>
          <w:bCs/>
          <w:sz w:val="22"/>
          <w:szCs w:val="22"/>
        </w:rPr>
        <w:t>Ha az összeférhetetlenség ténye a munkáltatói jogkör gyakorlójának a tudomására jut, haladéktalanul köteles a közalkalmazottat a tudomásszerzéstől számított öt munkanapon belül írásban</w:t>
      </w:r>
      <w:r w:rsidRPr="000250FA">
        <w:rPr>
          <w:bCs/>
          <w:i/>
          <w:sz w:val="22"/>
          <w:szCs w:val="22"/>
        </w:rPr>
        <w:t xml:space="preserve"> </w:t>
      </w:r>
      <w:r w:rsidRPr="000250FA">
        <w:rPr>
          <w:bCs/>
          <w:sz w:val="22"/>
          <w:szCs w:val="22"/>
        </w:rPr>
        <w:t>felhívni az összeférhetetlenség megszüntetésére. Amennyiben a közalkalmazott e kötelezettségének a megtiltás, illetve a felszólítás kézhezvételétől számított harminc napon belül</w:t>
      </w:r>
      <w:r w:rsidRPr="000250FA">
        <w:rPr>
          <w:bCs/>
          <w:i/>
          <w:sz w:val="22"/>
          <w:szCs w:val="22"/>
        </w:rPr>
        <w:t xml:space="preserve"> </w:t>
      </w:r>
      <w:r w:rsidRPr="000250FA">
        <w:rPr>
          <w:bCs/>
          <w:sz w:val="22"/>
          <w:szCs w:val="22"/>
        </w:rPr>
        <w:t>nem tesz eleget, a munkáltató a közalkalmazotti jogviszonyt azonnali hatállyal megszünteti.</w:t>
      </w:r>
    </w:p>
    <w:p w14:paraId="17B0D00F" w14:textId="77777777" w:rsidR="00893D5B" w:rsidRPr="000250FA" w:rsidRDefault="00893D5B" w:rsidP="00893D5B">
      <w:pPr>
        <w:rPr>
          <w:sz w:val="22"/>
          <w:szCs w:val="22"/>
        </w:rPr>
      </w:pPr>
    </w:p>
    <w:p w14:paraId="752A908F" w14:textId="77777777" w:rsidR="00893D5B" w:rsidRPr="000250FA" w:rsidRDefault="00893D5B" w:rsidP="00893D5B">
      <w:pPr>
        <w:jc w:val="both"/>
        <w:rPr>
          <w:bCs/>
          <w:sz w:val="22"/>
          <w:szCs w:val="22"/>
        </w:rPr>
      </w:pPr>
      <w:r w:rsidRPr="000250FA">
        <w:rPr>
          <w:bCs/>
          <w:sz w:val="22"/>
          <w:szCs w:val="22"/>
        </w:rPr>
        <w:t>(6)</w:t>
      </w:r>
      <w:r w:rsidRPr="000250FA">
        <w:rPr>
          <w:bCs/>
          <w:i/>
          <w:sz w:val="22"/>
          <w:szCs w:val="22"/>
        </w:rPr>
        <w:t xml:space="preserve"> </w:t>
      </w:r>
      <w:r w:rsidRPr="000250FA">
        <w:rPr>
          <w:bCs/>
          <w:sz w:val="22"/>
          <w:szCs w:val="22"/>
        </w:rPr>
        <w:t>A (2) bekezdés a) pontjában meghatározott esetben az üzleti titkok megtartására történő figyelmeztetést a közalkalmazott kinevezési okmányában rögzíteni kell. Ebben a körben összeférhetetlenségre a munkáltató csak abban az esetben hivatkozhat, ha az erre vonatkozó figyelmeztetést az említett módon rögzítették.</w:t>
      </w:r>
    </w:p>
    <w:p w14:paraId="7CF8B83B" w14:textId="77777777" w:rsidR="00893D5B" w:rsidRPr="000250FA" w:rsidRDefault="00893D5B" w:rsidP="00893D5B">
      <w:pPr>
        <w:jc w:val="both"/>
        <w:rPr>
          <w:bCs/>
          <w:sz w:val="22"/>
          <w:szCs w:val="22"/>
        </w:rPr>
      </w:pPr>
    </w:p>
    <w:p w14:paraId="6CC09A0E" w14:textId="77777777" w:rsidR="00893D5B" w:rsidRPr="000250FA" w:rsidRDefault="00893D5B" w:rsidP="00893D5B">
      <w:pPr>
        <w:jc w:val="both"/>
        <w:rPr>
          <w:sz w:val="22"/>
          <w:szCs w:val="22"/>
        </w:rPr>
      </w:pPr>
      <w:r w:rsidRPr="000250FA">
        <w:rPr>
          <w:bCs/>
          <w:sz w:val="22"/>
          <w:szCs w:val="22"/>
        </w:rPr>
        <w:t>(7)</w:t>
      </w:r>
      <w:r w:rsidRPr="000250FA">
        <w:rPr>
          <w:rStyle w:val="Lbjegyzet-hivatkozs"/>
          <w:bCs/>
          <w:sz w:val="22"/>
          <w:szCs w:val="22"/>
        </w:rPr>
        <w:footnoteReference w:id="177"/>
      </w:r>
      <w:r w:rsidRPr="000250FA">
        <w:rPr>
          <w:rStyle w:val="Lbjegyzet-hivatkozs"/>
          <w:bCs/>
          <w:sz w:val="22"/>
          <w:szCs w:val="22"/>
        </w:rPr>
        <w:footnoteReference w:id="178"/>
      </w:r>
      <w:r w:rsidRPr="000250FA">
        <w:rPr>
          <w:bCs/>
          <w:i/>
          <w:sz w:val="22"/>
          <w:szCs w:val="22"/>
        </w:rPr>
        <w:t xml:space="preserve"> </w:t>
      </w:r>
      <w:r w:rsidRPr="000250FA">
        <w:rPr>
          <w:sz w:val="22"/>
          <w:szCs w:val="22"/>
        </w:rPr>
        <w:t>A (2) bekezdés a) és b)</w:t>
      </w:r>
      <w:r w:rsidRPr="000250FA">
        <w:rPr>
          <w:b/>
          <w:i/>
          <w:sz w:val="22"/>
          <w:szCs w:val="22"/>
        </w:rPr>
        <w:t xml:space="preserve"> </w:t>
      </w:r>
      <w:r w:rsidRPr="000250FA">
        <w:rPr>
          <w:sz w:val="22"/>
          <w:szCs w:val="22"/>
        </w:rPr>
        <w:t>pontját nem kell alkalmazni abban az esetben, ha a munkáltató az alól írásban felmentést ad.</w:t>
      </w:r>
    </w:p>
    <w:p w14:paraId="33E2F735" w14:textId="77777777" w:rsidR="00893D5B" w:rsidRPr="000250FA" w:rsidRDefault="00893D5B" w:rsidP="00893D5B">
      <w:pPr>
        <w:jc w:val="both"/>
        <w:rPr>
          <w:snapToGrid w:val="0"/>
          <w:sz w:val="22"/>
          <w:szCs w:val="22"/>
        </w:rPr>
      </w:pPr>
    </w:p>
    <w:p w14:paraId="25328A4A" w14:textId="77777777" w:rsidR="00893D5B" w:rsidRPr="000250FA" w:rsidRDefault="00893D5B" w:rsidP="00893D5B">
      <w:pPr>
        <w:tabs>
          <w:tab w:val="left" w:pos="9781"/>
        </w:tabs>
        <w:ind w:right="-144"/>
        <w:jc w:val="both"/>
        <w:rPr>
          <w:snapToGrid w:val="0"/>
          <w:sz w:val="22"/>
          <w:szCs w:val="22"/>
        </w:rPr>
      </w:pPr>
      <w:r w:rsidRPr="000250FA">
        <w:rPr>
          <w:snapToGrid w:val="0"/>
          <w:sz w:val="22"/>
          <w:szCs w:val="22"/>
        </w:rPr>
        <w:t>(8)</w:t>
      </w:r>
      <w:r w:rsidRPr="000250FA">
        <w:rPr>
          <w:b/>
          <w:i/>
          <w:snapToGrid w:val="0"/>
          <w:sz w:val="22"/>
          <w:szCs w:val="22"/>
        </w:rPr>
        <w:t xml:space="preserve"> </w:t>
      </w:r>
      <w:r w:rsidRPr="000250FA">
        <w:rPr>
          <w:snapToGrid w:val="0"/>
          <w:sz w:val="22"/>
          <w:szCs w:val="22"/>
        </w:rPr>
        <w:t>A magasabb vezetőkre és vezetőkre vonatkozó további összeférhetetlenségi szabályokat a 104-106. §-ok tartalmazzák.</w:t>
      </w:r>
    </w:p>
    <w:p w14:paraId="1EF01127" w14:textId="77777777" w:rsidR="00893D5B" w:rsidRPr="000250FA" w:rsidRDefault="00893D5B" w:rsidP="00893D5B">
      <w:pPr>
        <w:tabs>
          <w:tab w:val="left" w:pos="9781"/>
        </w:tabs>
        <w:ind w:right="-144"/>
        <w:jc w:val="both"/>
        <w:rPr>
          <w:snapToGrid w:val="0"/>
          <w:sz w:val="22"/>
          <w:szCs w:val="22"/>
        </w:rPr>
      </w:pPr>
    </w:p>
    <w:p w14:paraId="7ACEB797" w14:textId="77777777" w:rsidR="00893D5B" w:rsidRPr="000250FA" w:rsidRDefault="00893D5B" w:rsidP="00893D5B">
      <w:pPr>
        <w:tabs>
          <w:tab w:val="left" w:pos="9781"/>
        </w:tabs>
        <w:ind w:right="-144"/>
        <w:jc w:val="both"/>
        <w:rPr>
          <w:sz w:val="22"/>
          <w:szCs w:val="22"/>
        </w:rPr>
      </w:pPr>
      <w:r w:rsidRPr="000250FA">
        <w:rPr>
          <w:sz w:val="22"/>
          <w:szCs w:val="22"/>
        </w:rPr>
        <w:t>(9) A (3) bekezdés a) pontja az egészségügyi intézménynél létesített közalkalmazotti jogviszonyra nem alkalmazható. A Kjt. 41. § (2) bekezdés b) pontjában és 41. § (3) bekezdésében foglaltak alapján az egészségügyi intézményben foglalkoztatott közalkalmazott a munkáltatóéval azonos vagy ahhoz hasonló tevékenységet is végző, illetve a munkáltatóval rendszeres gazdasági kapcsolatban álló más gazdasági társaságban betöltött vezető tisztségviselői, felügyelőbizottsági tagságot kizárólag a munkáltató fenntartójának jóváhagyásával létesíthet.</w:t>
      </w:r>
    </w:p>
    <w:p w14:paraId="6766256C" w14:textId="77777777" w:rsidR="00893D5B" w:rsidRPr="000250FA" w:rsidRDefault="00893D5B" w:rsidP="00893D5B">
      <w:pPr>
        <w:tabs>
          <w:tab w:val="left" w:pos="9781"/>
        </w:tabs>
        <w:ind w:right="-144"/>
        <w:jc w:val="both"/>
        <w:rPr>
          <w:sz w:val="22"/>
          <w:szCs w:val="22"/>
        </w:rPr>
      </w:pPr>
    </w:p>
    <w:p w14:paraId="54B68CF4" w14:textId="77777777" w:rsidR="00893D5B" w:rsidRPr="000250FA" w:rsidRDefault="00893D5B" w:rsidP="00893D5B">
      <w:pPr>
        <w:tabs>
          <w:tab w:val="left" w:pos="9781"/>
        </w:tabs>
        <w:spacing w:line="259" w:lineRule="auto"/>
        <w:jc w:val="both"/>
        <w:rPr>
          <w:rFonts w:eastAsia="Calibri"/>
          <w:lang w:eastAsia="en-US"/>
        </w:rPr>
      </w:pPr>
      <w:r w:rsidRPr="000250FA">
        <w:rPr>
          <w:rFonts w:eastAsia="Calibri"/>
          <w:lang w:eastAsia="en-US"/>
        </w:rPr>
        <w:t>(</w:t>
      </w:r>
      <w:r w:rsidRPr="000250FA">
        <w:rPr>
          <w:rFonts w:eastAsia="Calibri"/>
          <w:sz w:val="22"/>
          <w:szCs w:val="22"/>
          <w:lang w:eastAsia="en-US"/>
        </w:rPr>
        <w:t>10)</w:t>
      </w:r>
      <w:r w:rsidRPr="000250FA">
        <w:rPr>
          <w:rStyle w:val="Lbjegyzet-hivatkozs"/>
          <w:rFonts w:eastAsia="Calibri"/>
          <w:sz w:val="22"/>
          <w:szCs w:val="22"/>
          <w:lang w:eastAsia="en-US"/>
        </w:rPr>
        <w:footnoteReference w:id="179"/>
      </w:r>
      <w:r w:rsidRPr="000250FA">
        <w:rPr>
          <w:rFonts w:eastAsia="Calibri"/>
          <w:sz w:val="22"/>
          <w:szCs w:val="22"/>
          <w:lang w:eastAsia="en-US"/>
        </w:rPr>
        <w:t xml:space="preserve"> A köznevelési intézményben történő foglalkoztatás esetén nem összeférhetetlen, ha a pénzügyi kötelezettségvállalásra jogosult a Munka Törvénykönyve szerinti hozzátartozójával irányítási, felügyeleti, ellenőrzési vagy elszámolási kapcsolatba kerülne.</w:t>
      </w:r>
    </w:p>
    <w:p w14:paraId="7A4A5BFB" w14:textId="77777777" w:rsidR="00893D5B" w:rsidRPr="000250FA" w:rsidRDefault="00893D5B" w:rsidP="00893D5B">
      <w:pPr>
        <w:tabs>
          <w:tab w:val="left" w:pos="9781"/>
        </w:tabs>
        <w:ind w:right="-144"/>
        <w:rPr>
          <w:b/>
          <w:sz w:val="22"/>
          <w:szCs w:val="22"/>
        </w:rPr>
      </w:pPr>
    </w:p>
    <w:p w14:paraId="11B7A93E" w14:textId="77777777" w:rsidR="00893D5B" w:rsidRPr="000250FA" w:rsidRDefault="00893D5B" w:rsidP="00893D5B">
      <w:pPr>
        <w:pStyle w:val="Cmsor4"/>
      </w:pPr>
      <w:bookmarkStart w:id="127" w:name="_Toc432753549"/>
      <w:r w:rsidRPr="000250FA">
        <w:t>Munkavégzésre irányuló további jogviszony létesítésének szabályai</w:t>
      </w:r>
      <w:bookmarkEnd w:id="127"/>
    </w:p>
    <w:p w14:paraId="4DE46925" w14:textId="77777777" w:rsidR="00893D5B" w:rsidRPr="000250FA" w:rsidRDefault="00893D5B" w:rsidP="00893D5B">
      <w:pPr>
        <w:rPr>
          <w:sz w:val="22"/>
          <w:szCs w:val="22"/>
        </w:rPr>
      </w:pPr>
    </w:p>
    <w:p w14:paraId="4EA27E11" w14:textId="77777777" w:rsidR="00893D5B" w:rsidRPr="000250FA" w:rsidRDefault="00893D5B" w:rsidP="00893D5B">
      <w:pPr>
        <w:jc w:val="both"/>
        <w:rPr>
          <w:sz w:val="22"/>
          <w:szCs w:val="22"/>
        </w:rPr>
      </w:pPr>
      <w:r w:rsidRPr="000250FA">
        <w:rPr>
          <w:b/>
          <w:sz w:val="22"/>
          <w:szCs w:val="22"/>
        </w:rPr>
        <w:t>38. §</w:t>
      </w:r>
      <w:r w:rsidRPr="000250FA">
        <w:rPr>
          <w:rStyle w:val="Lbjegyzet-hivatkozs"/>
          <w:sz w:val="22"/>
          <w:szCs w:val="22"/>
        </w:rPr>
        <w:footnoteReference w:id="180"/>
      </w:r>
      <w:r w:rsidRPr="000250FA">
        <w:rPr>
          <w:sz w:val="22"/>
          <w:szCs w:val="22"/>
        </w:rPr>
        <w:t xml:space="preserve"> </w:t>
      </w:r>
      <w:r w:rsidRPr="000250FA">
        <w:rPr>
          <w:rStyle w:val="Lbjegyzet-hivatkozs"/>
          <w:sz w:val="22"/>
          <w:szCs w:val="22"/>
        </w:rPr>
        <w:footnoteReference w:id="181"/>
      </w:r>
      <w:r w:rsidRPr="000250FA">
        <w:rPr>
          <w:sz w:val="22"/>
          <w:szCs w:val="22"/>
        </w:rPr>
        <w:t>(1)</w:t>
      </w:r>
      <w:r w:rsidRPr="000250FA">
        <w:rPr>
          <w:i/>
          <w:sz w:val="22"/>
          <w:szCs w:val="22"/>
        </w:rPr>
        <w:t xml:space="preserve"> </w:t>
      </w:r>
      <w:r w:rsidRPr="000250FA">
        <w:rPr>
          <w:sz w:val="22"/>
          <w:szCs w:val="22"/>
        </w:rPr>
        <w:t xml:space="preserve">A közalkalmazott – amennyiben közalkalmazotti jogviszonyával nem összeférhetetlen – munkavégzésre irányuló további jogviszonyt létesíthet az alábbiak szerint. </w:t>
      </w:r>
    </w:p>
    <w:p w14:paraId="4ACB32E8" w14:textId="77777777" w:rsidR="00893D5B" w:rsidRPr="000250FA" w:rsidRDefault="00893D5B" w:rsidP="00893D5B">
      <w:pPr>
        <w:jc w:val="both"/>
        <w:rPr>
          <w:sz w:val="22"/>
          <w:szCs w:val="22"/>
        </w:rPr>
      </w:pPr>
    </w:p>
    <w:p w14:paraId="706CDB39" w14:textId="77777777" w:rsidR="00893D5B" w:rsidRPr="000250FA" w:rsidRDefault="00893D5B" w:rsidP="00912564">
      <w:pPr>
        <w:numPr>
          <w:ilvl w:val="0"/>
          <w:numId w:val="51"/>
        </w:numPr>
        <w:jc w:val="both"/>
        <w:rPr>
          <w:bCs/>
          <w:sz w:val="22"/>
          <w:szCs w:val="22"/>
        </w:rPr>
      </w:pPr>
      <w:r w:rsidRPr="000250FA">
        <w:rPr>
          <w:sz w:val="22"/>
          <w:szCs w:val="22"/>
        </w:rPr>
        <w:t>A</w:t>
      </w:r>
      <w:r w:rsidRPr="000250FA">
        <w:rPr>
          <w:bCs/>
          <w:sz w:val="22"/>
          <w:szCs w:val="22"/>
        </w:rPr>
        <w:t xml:space="preserve">mennyiben a közalkalmazott munkaideje a közalkalmazotti jogviszonyban és a munkavégzésre irányuló további jogviszonyban - részben vagy egészben - azonos időtartamra esik, a munkavégzésre irányuló további jogviszony csak az Egyetem (munkáltató) előzetes </w:t>
      </w:r>
      <w:r w:rsidRPr="000250FA">
        <w:rPr>
          <w:bCs/>
          <w:sz w:val="22"/>
          <w:szCs w:val="22"/>
        </w:rPr>
        <w:lastRenderedPageBreak/>
        <w:t>írásbeli hozzájárulásával létesíthető. A hozzájárulás megtagadásával szemben munkaügyi jogvita nem kezdeményezhető.</w:t>
      </w:r>
    </w:p>
    <w:p w14:paraId="1B231DF5" w14:textId="77777777" w:rsidR="00893D5B" w:rsidRPr="000250FA" w:rsidRDefault="00893D5B" w:rsidP="00912564">
      <w:pPr>
        <w:numPr>
          <w:ilvl w:val="0"/>
          <w:numId w:val="51"/>
        </w:numPr>
        <w:jc w:val="both"/>
        <w:rPr>
          <w:bCs/>
          <w:sz w:val="22"/>
          <w:szCs w:val="22"/>
        </w:rPr>
      </w:pPr>
      <w:r w:rsidRPr="000250FA">
        <w:rPr>
          <w:rStyle w:val="Lbjegyzet-hivatkozs"/>
          <w:bCs/>
          <w:sz w:val="22"/>
          <w:szCs w:val="22"/>
        </w:rPr>
        <w:footnoteReference w:id="182"/>
      </w:r>
      <w:r w:rsidRPr="000250FA">
        <w:rPr>
          <w:bCs/>
          <w:sz w:val="22"/>
          <w:szCs w:val="22"/>
        </w:rPr>
        <w:t xml:space="preserve">A közalkalmazott </w:t>
      </w:r>
      <w:proofErr w:type="spellStart"/>
      <w:r w:rsidRPr="000250FA">
        <w:rPr>
          <w:bCs/>
          <w:sz w:val="22"/>
          <w:szCs w:val="22"/>
        </w:rPr>
        <w:t>munkaidejét</w:t>
      </w:r>
      <w:proofErr w:type="spellEnd"/>
      <w:r w:rsidRPr="000250FA">
        <w:rPr>
          <w:bCs/>
          <w:sz w:val="22"/>
          <w:szCs w:val="22"/>
        </w:rPr>
        <w:t xml:space="preserve"> nem érintő munkavégzésre irányuló további jogviszony létesítését a közalkalmazott köteles az Egyetemnek (munkáltatónak) előzetesen írásban bejelenteni. Az Egyetem (munkáltató) összeférhetetlenség esetén a további jogviszony létesítését írásban megtiltja. Az Egyetemnek a munkavégzésre irányuló további jogviszony létesítését megtiltó intézkedése ellen munkaügyi jogvita kezdeményezhető.</w:t>
      </w:r>
    </w:p>
    <w:p w14:paraId="2D410A69" w14:textId="77777777" w:rsidR="00893D5B" w:rsidRPr="000250FA" w:rsidRDefault="00893D5B" w:rsidP="00893D5B">
      <w:pPr>
        <w:tabs>
          <w:tab w:val="left" w:pos="9781"/>
        </w:tabs>
        <w:autoSpaceDE w:val="0"/>
        <w:autoSpaceDN w:val="0"/>
        <w:adjustRightInd w:val="0"/>
        <w:ind w:right="-144"/>
        <w:jc w:val="both"/>
        <w:rPr>
          <w:sz w:val="22"/>
          <w:szCs w:val="22"/>
        </w:rPr>
      </w:pPr>
    </w:p>
    <w:p w14:paraId="33391FC8"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 xml:space="preserve">(2) Amennyiben az Egyetem </w:t>
      </w:r>
      <w:r w:rsidRPr="000250FA">
        <w:rPr>
          <w:bCs/>
          <w:sz w:val="22"/>
          <w:szCs w:val="22"/>
        </w:rPr>
        <w:t xml:space="preserve">(munkáltató) </w:t>
      </w:r>
      <w:r w:rsidRPr="000250FA">
        <w:rPr>
          <w:sz w:val="22"/>
          <w:szCs w:val="22"/>
        </w:rPr>
        <w:t>az összeférhetetlenségről nem a közalkalmazott (1) bekezdésben meghatározott bejelentése alapján szerez tudomást, a tudomásszerzéstől számított öt munkanapon belül felszólítja a közalkalmazottat az összeférhetetlenség megszüntetésére.</w:t>
      </w:r>
    </w:p>
    <w:p w14:paraId="318519FE" w14:textId="77777777" w:rsidR="00893D5B" w:rsidRPr="000250FA" w:rsidRDefault="00893D5B" w:rsidP="00893D5B">
      <w:pPr>
        <w:tabs>
          <w:tab w:val="left" w:pos="9781"/>
        </w:tabs>
        <w:autoSpaceDE w:val="0"/>
        <w:autoSpaceDN w:val="0"/>
        <w:adjustRightInd w:val="0"/>
        <w:ind w:right="-144"/>
        <w:jc w:val="both"/>
        <w:rPr>
          <w:sz w:val="22"/>
          <w:szCs w:val="22"/>
        </w:rPr>
      </w:pPr>
    </w:p>
    <w:p w14:paraId="5A42F30C"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(3)</w:t>
      </w:r>
      <w:r w:rsidRPr="000250FA">
        <w:rPr>
          <w:rStyle w:val="Lbjegyzet-hivatkozs"/>
          <w:sz w:val="22"/>
          <w:szCs w:val="22"/>
        </w:rPr>
        <w:footnoteReference w:id="183"/>
      </w:r>
      <w:r w:rsidRPr="000250FA">
        <w:rPr>
          <w:sz w:val="22"/>
          <w:szCs w:val="22"/>
        </w:rPr>
        <w:t xml:space="preserve"> Ha a közalkalmazott az Egyetem felszólítása kézhezvételét követő harminc napon belül az összeférhetetlenséget nem szünteti meg, a közalkalmazotti jogviszonyra a munkáltató a közalkalmazotti jogviszonyt azonnali hatállyal megszünteti.</w:t>
      </w:r>
    </w:p>
    <w:p w14:paraId="55730207" w14:textId="77777777" w:rsidR="00893D5B" w:rsidRPr="000250FA" w:rsidRDefault="00893D5B" w:rsidP="00893D5B">
      <w:pPr>
        <w:tabs>
          <w:tab w:val="left" w:pos="9781"/>
        </w:tabs>
        <w:autoSpaceDE w:val="0"/>
        <w:autoSpaceDN w:val="0"/>
        <w:adjustRightInd w:val="0"/>
        <w:ind w:right="-144"/>
        <w:jc w:val="both"/>
        <w:rPr>
          <w:sz w:val="22"/>
          <w:szCs w:val="22"/>
        </w:rPr>
      </w:pPr>
    </w:p>
    <w:p w14:paraId="3821AB3F"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(4)</w:t>
      </w:r>
      <w:r w:rsidRPr="000250FA">
        <w:rPr>
          <w:rStyle w:val="Lbjegyzet-hivatkozs"/>
          <w:sz w:val="22"/>
          <w:szCs w:val="22"/>
        </w:rPr>
        <w:footnoteReference w:id="184"/>
      </w:r>
      <w:r w:rsidRPr="000250FA">
        <w:rPr>
          <w:sz w:val="22"/>
          <w:szCs w:val="22"/>
        </w:rPr>
        <w:t xml:space="preserve"> A további jogviszony bejelentési kötelezettség teljesítését a munkáltató ellenőrizheti, a bejelentési kötelezettség elmulasztása esetén a munkáltató a (2)-(3) bekezdésben meghatározottak szerint jár el.</w:t>
      </w:r>
    </w:p>
    <w:p w14:paraId="7EB36E85" w14:textId="77777777" w:rsidR="00893D5B" w:rsidRPr="000250FA" w:rsidRDefault="00893D5B" w:rsidP="00893D5B">
      <w:pPr>
        <w:tabs>
          <w:tab w:val="left" w:pos="9781"/>
        </w:tabs>
        <w:autoSpaceDE w:val="0"/>
        <w:autoSpaceDN w:val="0"/>
        <w:adjustRightInd w:val="0"/>
        <w:ind w:right="-144"/>
        <w:jc w:val="both"/>
        <w:rPr>
          <w:sz w:val="22"/>
          <w:szCs w:val="22"/>
        </w:rPr>
      </w:pPr>
    </w:p>
    <w:p w14:paraId="44A3CDF7" w14:textId="77777777" w:rsidR="00893D5B" w:rsidRPr="000250FA" w:rsidRDefault="00893D5B" w:rsidP="00893D5B">
      <w:pPr>
        <w:jc w:val="both"/>
        <w:rPr>
          <w:bCs/>
          <w:sz w:val="22"/>
          <w:szCs w:val="22"/>
        </w:rPr>
      </w:pPr>
      <w:r w:rsidRPr="000250FA">
        <w:rPr>
          <w:b/>
          <w:sz w:val="22"/>
          <w:szCs w:val="22"/>
        </w:rPr>
        <w:t>39. §</w:t>
      </w:r>
      <w:r w:rsidRPr="000250FA">
        <w:rPr>
          <w:sz w:val="22"/>
          <w:szCs w:val="22"/>
        </w:rPr>
        <w:t xml:space="preserve"> </w:t>
      </w:r>
      <w:r w:rsidRPr="000250FA">
        <w:rPr>
          <w:bCs/>
          <w:sz w:val="22"/>
          <w:szCs w:val="22"/>
        </w:rPr>
        <w:t>Az Egyetem a vele közalkalmazotti jogviszonyban álló közalkalmazottal munkaköri feladatai ellátására munkavégzésre irányuló további jogviszonyt nem létesíthet. Az oktatói, tanári munkakörben foglalkoztatott közalkalmazott részére megállapított legmagasabb heti tanítási órát meghaladóan vállalt tanítási feladatok ellátásáért a közalkalmazott kereset-kiegészítésben részesülhet.</w:t>
      </w:r>
    </w:p>
    <w:p w14:paraId="5B215B10" w14:textId="77777777" w:rsidR="00893D5B" w:rsidRPr="000250FA" w:rsidRDefault="00893D5B" w:rsidP="00893D5B">
      <w:pPr>
        <w:tabs>
          <w:tab w:val="left" w:pos="9781"/>
        </w:tabs>
        <w:ind w:right="-144"/>
        <w:jc w:val="both"/>
        <w:rPr>
          <w:snapToGrid w:val="0"/>
          <w:sz w:val="22"/>
          <w:szCs w:val="22"/>
        </w:rPr>
      </w:pPr>
    </w:p>
    <w:p w14:paraId="29AF68F4" w14:textId="77777777" w:rsidR="00893D5B" w:rsidRPr="000250FA" w:rsidRDefault="00893D5B" w:rsidP="00893D5B">
      <w:pPr>
        <w:tabs>
          <w:tab w:val="left" w:pos="9781"/>
        </w:tabs>
        <w:ind w:right="-144"/>
        <w:jc w:val="both"/>
        <w:rPr>
          <w:snapToGrid w:val="0"/>
          <w:sz w:val="22"/>
          <w:szCs w:val="22"/>
        </w:rPr>
      </w:pPr>
      <w:r w:rsidRPr="000250FA">
        <w:rPr>
          <w:b/>
          <w:snapToGrid w:val="0"/>
          <w:sz w:val="22"/>
          <w:szCs w:val="22"/>
        </w:rPr>
        <w:t>40. §</w:t>
      </w:r>
      <w:r w:rsidRPr="000250FA">
        <w:rPr>
          <w:rStyle w:val="Lbjegyzet-hivatkozs"/>
          <w:b/>
          <w:snapToGrid w:val="0"/>
          <w:sz w:val="22"/>
          <w:szCs w:val="22"/>
        </w:rPr>
        <w:footnoteReference w:id="185"/>
      </w:r>
      <w:r w:rsidRPr="000250FA">
        <w:rPr>
          <w:snapToGrid w:val="0"/>
          <w:sz w:val="22"/>
          <w:szCs w:val="22"/>
        </w:rPr>
        <w:t xml:space="preserve"> Amennyiben az oktató oktatói nyilatkozatában a másik felsőoktatási intézményt jelöli meg kedvezményezettként a költségvetési támogatás megállapításánál, úgy ő az Egyetemen csak részmunkaidőben foglalkoztatható, illetve a munkáltató a közalkalmazotti jogviszonyát felmentéssel megszüntetheti.</w:t>
      </w:r>
    </w:p>
    <w:p w14:paraId="495A20F2" w14:textId="77777777" w:rsidR="00893D5B" w:rsidRPr="000250FA" w:rsidRDefault="00893D5B" w:rsidP="00893D5B">
      <w:pPr>
        <w:pStyle w:val="Normlstilus1norml"/>
        <w:tabs>
          <w:tab w:val="left" w:pos="9781"/>
        </w:tabs>
        <w:ind w:right="-144"/>
        <w:rPr>
          <w:b/>
          <w:bCs/>
          <w:color w:val="auto"/>
          <w:sz w:val="22"/>
          <w:szCs w:val="22"/>
        </w:rPr>
      </w:pPr>
    </w:p>
    <w:p w14:paraId="21AEC89F" w14:textId="77777777" w:rsidR="00893D5B" w:rsidRPr="000250FA" w:rsidRDefault="00893D5B" w:rsidP="00893D5B">
      <w:pPr>
        <w:pStyle w:val="Cmsor4"/>
      </w:pPr>
      <w:bookmarkStart w:id="128" w:name="_Toc432753550"/>
      <w:r w:rsidRPr="000250FA">
        <w:t>Kutatási és tanulmányi célú külföldi kiutazás, külföldi munkavállalás</w:t>
      </w:r>
      <w:r w:rsidRPr="000250FA">
        <w:rPr>
          <w:rStyle w:val="Lbjegyzet-hivatkozs"/>
          <w:b w:val="0"/>
          <w:bCs w:val="0"/>
        </w:rPr>
        <w:footnoteReference w:id="186"/>
      </w:r>
      <w:bookmarkEnd w:id="128"/>
    </w:p>
    <w:p w14:paraId="49533408" w14:textId="77777777" w:rsidR="00893D5B" w:rsidRPr="000250FA" w:rsidRDefault="00893D5B" w:rsidP="00893D5B">
      <w:pPr>
        <w:pStyle w:val="Normlstilus1norml"/>
        <w:tabs>
          <w:tab w:val="left" w:pos="9781"/>
        </w:tabs>
        <w:ind w:right="-144"/>
        <w:rPr>
          <w:b/>
          <w:i/>
          <w:color w:val="auto"/>
          <w:sz w:val="22"/>
          <w:szCs w:val="22"/>
        </w:rPr>
      </w:pPr>
    </w:p>
    <w:p w14:paraId="1800008F" w14:textId="40DC8F8D"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40/</w:t>
      </w:r>
      <w:proofErr w:type="gramStart"/>
      <w:r w:rsidRPr="000250FA">
        <w:rPr>
          <w:b/>
          <w:bCs/>
          <w:color w:val="auto"/>
          <w:sz w:val="22"/>
          <w:szCs w:val="22"/>
        </w:rPr>
        <w:t>A.</w:t>
      </w:r>
      <w:proofErr w:type="gramEnd"/>
      <w:r w:rsidRPr="000250FA">
        <w:rPr>
          <w:b/>
          <w:bCs/>
          <w:color w:val="auto"/>
          <w:sz w:val="22"/>
          <w:szCs w:val="22"/>
        </w:rPr>
        <w:t xml:space="preserve"> §</w:t>
      </w:r>
      <w:r w:rsidRPr="000250FA">
        <w:rPr>
          <w:rStyle w:val="Lbjegyzet-hivatkozs"/>
          <w:b/>
          <w:bCs/>
          <w:color w:val="auto"/>
          <w:sz w:val="22"/>
          <w:szCs w:val="22"/>
        </w:rPr>
        <w:footnoteReference w:id="187"/>
      </w:r>
      <w:r w:rsidRPr="000250FA">
        <w:rPr>
          <w:b/>
          <w:bCs/>
          <w:i/>
          <w:color w:val="auto"/>
          <w:sz w:val="22"/>
          <w:szCs w:val="22"/>
        </w:rPr>
        <w:t xml:space="preserve"> </w:t>
      </w:r>
      <w:r w:rsidRPr="000250FA">
        <w:rPr>
          <w:bCs/>
          <w:color w:val="auto"/>
          <w:sz w:val="22"/>
          <w:szCs w:val="22"/>
        </w:rPr>
        <w:t>(1)</w:t>
      </w:r>
      <w:r w:rsidRPr="000250FA">
        <w:rPr>
          <w:rStyle w:val="Lbjegyzet-hivatkozs"/>
          <w:bCs/>
          <w:color w:val="auto"/>
          <w:sz w:val="22"/>
          <w:szCs w:val="22"/>
        </w:rPr>
        <w:footnoteReference w:id="188"/>
      </w:r>
      <w:r w:rsidRPr="000250FA">
        <w:rPr>
          <w:color w:val="auto"/>
          <w:sz w:val="22"/>
          <w:szCs w:val="22"/>
        </w:rPr>
        <w:t xml:space="preserve"> Kutatási és tanulmányi célú utazás (továbbiakban együtt: tanulmányút) esetén a munkáltatói jogkör gyakorlója a közalkalmazottal megállapodást köt. A megállapodást a Humánpolitikai </w:t>
      </w:r>
      <w:r w:rsidR="00154DF0" w:rsidRPr="00BD6AF1">
        <w:rPr>
          <w:bCs/>
          <w:iCs/>
          <w:color w:val="auto"/>
          <w:sz w:val="22"/>
          <w:szCs w:val="22"/>
        </w:rPr>
        <w:t>Főosztály</w:t>
      </w:r>
      <w:r w:rsidR="00154DF0" w:rsidRPr="00154DF0">
        <w:rPr>
          <w:b/>
          <w:bCs/>
          <w:i/>
          <w:iCs/>
          <w:color w:val="auto"/>
          <w:sz w:val="22"/>
          <w:szCs w:val="22"/>
        </w:rPr>
        <w:t xml:space="preserve"> </w:t>
      </w:r>
      <w:r w:rsidRPr="000250FA">
        <w:rPr>
          <w:color w:val="auto"/>
          <w:sz w:val="22"/>
          <w:szCs w:val="22"/>
        </w:rPr>
        <w:t>részére meg kell küldeni. A megállapodásra vonatkozó iratmintát a HR Kézikönyv tartalmazza.</w:t>
      </w:r>
    </w:p>
    <w:p w14:paraId="532225C5" w14:textId="77777777" w:rsidR="00893D5B" w:rsidRPr="000250FA" w:rsidRDefault="00893D5B" w:rsidP="00893D5B">
      <w:pPr>
        <w:pStyle w:val="Normlstilus1norml"/>
        <w:tabs>
          <w:tab w:val="left" w:pos="9781"/>
        </w:tabs>
        <w:ind w:right="-144"/>
        <w:rPr>
          <w:color w:val="auto"/>
          <w:sz w:val="22"/>
          <w:szCs w:val="22"/>
        </w:rPr>
      </w:pPr>
    </w:p>
    <w:p w14:paraId="600FDCC4"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(2) A külföldi tanulmányút esetén közalkalmazottat alapilletménye és vezetői pótlék nélkül számított </w:t>
      </w:r>
      <w:proofErr w:type="spellStart"/>
      <w:r w:rsidRPr="000250FA">
        <w:rPr>
          <w:color w:val="auto"/>
          <w:sz w:val="22"/>
          <w:szCs w:val="22"/>
        </w:rPr>
        <w:t>pótlékai</w:t>
      </w:r>
      <w:proofErr w:type="spellEnd"/>
      <w:r w:rsidRPr="000250FA">
        <w:rPr>
          <w:color w:val="auto"/>
          <w:sz w:val="22"/>
          <w:szCs w:val="22"/>
        </w:rPr>
        <w:t xml:space="preserve"> illetik meg.</w:t>
      </w:r>
    </w:p>
    <w:p w14:paraId="5B95421D" w14:textId="77777777" w:rsidR="00893D5B" w:rsidRPr="000250FA" w:rsidRDefault="00893D5B" w:rsidP="00893D5B">
      <w:pPr>
        <w:pStyle w:val="Normlstilus1norml"/>
        <w:tabs>
          <w:tab w:val="left" w:pos="9781"/>
        </w:tabs>
        <w:ind w:right="-144"/>
        <w:rPr>
          <w:color w:val="auto"/>
          <w:sz w:val="22"/>
          <w:szCs w:val="22"/>
        </w:rPr>
      </w:pPr>
    </w:p>
    <w:p w14:paraId="0816367E"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w:t>
      </w:r>
      <w:r w:rsidRPr="000250FA">
        <w:rPr>
          <w:rStyle w:val="Lbjegyzet-hivatkozs"/>
          <w:color w:val="auto"/>
          <w:sz w:val="22"/>
          <w:szCs w:val="22"/>
        </w:rPr>
        <w:footnoteReference w:id="189"/>
      </w:r>
      <w:r w:rsidRPr="000250FA">
        <w:rPr>
          <w:color w:val="auto"/>
          <w:sz w:val="22"/>
          <w:szCs w:val="22"/>
        </w:rPr>
        <w:t xml:space="preserve"> A közalkalmazott ösztöndíjas külföldi tanulmányútja esetén az (2) bekezdés rendelkezéseitől eltérően</w:t>
      </w:r>
    </w:p>
    <w:p w14:paraId="57353F16" w14:textId="77777777" w:rsidR="00893D5B" w:rsidRPr="000250FA" w:rsidRDefault="00893D5B" w:rsidP="00893D5B">
      <w:pPr>
        <w:pStyle w:val="Normlstilus1norml"/>
        <w:tabs>
          <w:tab w:val="left" w:pos="9781"/>
        </w:tabs>
        <w:ind w:right="-144"/>
        <w:rPr>
          <w:color w:val="auto"/>
          <w:sz w:val="22"/>
          <w:szCs w:val="22"/>
        </w:rPr>
      </w:pPr>
    </w:p>
    <w:p w14:paraId="30C21B7D" w14:textId="77777777" w:rsidR="00893D5B" w:rsidRPr="000250FA" w:rsidRDefault="00893D5B" w:rsidP="00912564">
      <w:pPr>
        <w:numPr>
          <w:ilvl w:val="0"/>
          <w:numId w:val="52"/>
        </w:numPr>
        <w:jc w:val="both"/>
        <w:rPr>
          <w:sz w:val="22"/>
          <w:szCs w:val="22"/>
        </w:rPr>
      </w:pPr>
      <w:r w:rsidRPr="000250FA">
        <w:rPr>
          <w:sz w:val="22"/>
          <w:szCs w:val="22"/>
        </w:rPr>
        <w:t xml:space="preserve">ha a közalkalmazott az Egyetem támogatásával állam vagy kormányközi egyezmény, magyar állami ösztöndíj, külföldön működő magyar intézményben rendelkezésre álló tanulmányi lehetőség, magyar intézmény külföldi féllel kötött külön megállapodása alapján, illetve nemzetközi szervezetnél vagy más külföldi szervnél pályázat, vagy megbízás alapján három </w:t>
      </w:r>
      <w:r w:rsidRPr="000250FA">
        <w:rPr>
          <w:sz w:val="22"/>
          <w:szCs w:val="22"/>
        </w:rPr>
        <w:lastRenderedPageBreak/>
        <w:t>hónapot meg nem haladó időtartamú ösztöndíjas tanulmányon vesz részt, a közalkalmazott részére az távolléti díj teljes összegét,</w:t>
      </w:r>
    </w:p>
    <w:p w14:paraId="21A564DA" w14:textId="77777777" w:rsidR="00893D5B" w:rsidRPr="000250FA" w:rsidRDefault="00893D5B" w:rsidP="00912564">
      <w:pPr>
        <w:numPr>
          <w:ilvl w:val="0"/>
          <w:numId w:val="52"/>
        </w:numPr>
        <w:jc w:val="both"/>
        <w:rPr>
          <w:sz w:val="22"/>
          <w:szCs w:val="22"/>
        </w:rPr>
      </w:pPr>
      <w:r w:rsidRPr="000250FA">
        <w:rPr>
          <w:sz w:val="22"/>
          <w:szCs w:val="22"/>
        </w:rPr>
        <w:t>a három-hat hónapig tartó ösztöndíjas tanulmányút idejére az távolléti díj 50 %-át,</w:t>
      </w:r>
    </w:p>
    <w:p w14:paraId="611ABBE3" w14:textId="77777777" w:rsidR="00893D5B" w:rsidRPr="000250FA" w:rsidRDefault="00893D5B" w:rsidP="00912564">
      <w:pPr>
        <w:numPr>
          <w:ilvl w:val="0"/>
          <w:numId w:val="52"/>
        </w:numPr>
        <w:jc w:val="both"/>
        <w:rPr>
          <w:sz w:val="22"/>
          <w:szCs w:val="22"/>
        </w:rPr>
      </w:pPr>
      <w:r w:rsidRPr="000250FA">
        <w:rPr>
          <w:rStyle w:val="Lbjegyzet-hivatkozs"/>
          <w:sz w:val="22"/>
          <w:szCs w:val="22"/>
        </w:rPr>
        <w:footnoteReference w:id="190"/>
      </w:r>
      <w:r w:rsidRPr="000250FA">
        <w:rPr>
          <w:sz w:val="22"/>
          <w:szCs w:val="22"/>
        </w:rPr>
        <w:t>a hat-tizenkettő hónapig tartó tanulmányút idejére a mindenkori közalkalmazott besorolása szerinti távolléti díj 40 %-át</w:t>
      </w:r>
    </w:p>
    <w:p w14:paraId="59A6D23F" w14:textId="77777777" w:rsidR="00893D5B" w:rsidRPr="000250FA" w:rsidRDefault="00893D5B" w:rsidP="00893D5B">
      <w:pPr>
        <w:pStyle w:val="Normlstilus1norml"/>
        <w:tabs>
          <w:tab w:val="left" w:pos="9781"/>
        </w:tabs>
        <w:ind w:right="-144"/>
        <w:rPr>
          <w:color w:val="auto"/>
          <w:sz w:val="22"/>
          <w:szCs w:val="22"/>
        </w:rPr>
      </w:pPr>
      <w:proofErr w:type="gramStart"/>
      <w:r w:rsidRPr="000250FA">
        <w:rPr>
          <w:color w:val="auto"/>
          <w:sz w:val="22"/>
          <w:szCs w:val="22"/>
        </w:rPr>
        <w:t>kell</w:t>
      </w:r>
      <w:proofErr w:type="gramEnd"/>
      <w:r w:rsidRPr="000250FA">
        <w:rPr>
          <w:color w:val="auto"/>
          <w:sz w:val="22"/>
          <w:szCs w:val="22"/>
        </w:rPr>
        <w:t xml:space="preserve"> megállapítani.</w:t>
      </w:r>
    </w:p>
    <w:p w14:paraId="6FDCB278" w14:textId="77777777" w:rsidR="00893D5B" w:rsidRPr="000250FA" w:rsidRDefault="00893D5B" w:rsidP="00893D5B">
      <w:pPr>
        <w:pStyle w:val="Normlstilus1norml"/>
        <w:tabs>
          <w:tab w:val="left" w:pos="9781"/>
        </w:tabs>
        <w:ind w:right="-144"/>
        <w:rPr>
          <w:color w:val="auto"/>
          <w:sz w:val="22"/>
          <w:szCs w:val="22"/>
        </w:rPr>
      </w:pPr>
    </w:p>
    <w:p w14:paraId="00B7A1E7"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(4) Az egy évet meghaladó ösztöndíjas külföldi tanulmányút idejére a közalkalmazott illetményre nem jogosult, kérelmére a munkáltatói jogkör gyakorlója fizetés nélküli szabadságot engedélyezhet. </w:t>
      </w:r>
    </w:p>
    <w:p w14:paraId="1FCADB95" w14:textId="77777777" w:rsidR="00893D5B" w:rsidRPr="000250FA" w:rsidRDefault="00893D5B" w:rsidP="00893D5B">
      <w:pPr>
        <w:tabs>
          <w:tab w:val="left" w:pos="9781"/>
        </w:tabs>
        <w:ind w:left="284" w:right="-144"/>
        <w:rPr>
          <w:sz w:val="22"/>
          <w:szCs w:val="22"/>
        </w:rPr>
      </w:pPr>
    </w:p>
    <w:p w14:paraId="4456B39A" w14:textId="77777777" w:rsidR="00893D5B" w:rsidRPr="000250FA" w:rsidRDefault="00893D5B" w:rsidP="00893D5B">
      <w:pPr>
        <w:tabs>
          <w:tab w:val="left" w:pos="9781"/>
        </w:tabs>
        <w:ind w:right="-144"/>
        <w:jc w:val="both"/>
        <w:rPr>
          <w:sz w:val="22"/>
          <w:szCs w:val="22"/>
        </w:rPr>
      </w:pPr>
      <w:r w:rsidRPr="000250FA">
        <w:rPr>
          <w:sz w:val="22"/>
          <w:szCs w:val="22"/>
        </w:rPr>
        <w:t>(5) Közalkalmazott külföldi tanulmányútjáról beszámolót köteles készíteni, amelyet a munkáltatói jogkör gyakorlójának kell a hazaérkezést követő nyolc napon belül benyújtania.</w:t>
      </w:r>
    </w:p>
    <w:p w14:paraId="4D35036F" w14:textId="77777777" w:rsidR="00893D5B" w:rsidRPr="000250FA" w:rsidRDefault="00893D5B" w:rsidP="00893D5B">
      <w:pPr>
        <w:tabs>
          <w:tab w:val="left" w:pos="9781"/>
        </w:tabs>
        <w:ind w:right="-144"/>
        <w:jc w:val="both"/>
        <w:rPr>
          <w:sz w:val="22"/>
          <w:szCs w:val="22"/>
        </w:rPr>
      </w:pPr>
    </w:p>
    <w:p w14:paraId="05D18B73"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191"/>
      </w:r>
      <w:r w:rsidRPr="000250FA">
        <w:rPr>
          <w:sz w:val="22"/>
          <w:szCs w:val="22"/>
        </w:rPr>
        <w:t xml:space="preserve"> </w:t>
      </w:r>
    </w:p>
    <w:p w14:paraId="52DF7140" w14:textId="77777777" w:rsidR="00893D5B" w:rsidRPr="000250FA" w:rsidRDefault="00893D5B" w:rsidP="00893D5B">
      <w:pPr>
        <w:pStyle w:val="Cmsor4"/>
      </w:pPr>
      <w:bookmarkStart w:id="129" w:name="_Toc432753551"/>
      <w:r w:rsidRPr="000250FA">
        <w:t>Munkavállalás külföldön</w:t>
      </w:r>
      <w:r w:rsidRPr="000250FA">
        <w:rPr>
          <w:rStyle w:val="Lbjegyzet-hivatkozs"/>
          <w:b w:val="0"/>
        </w:rPr>
        <w:footnoteReference w:id="192"/>
      </w:r>
      <w:bookmarkEnd w:id="129"/>
    </w:p>
    <w:p w14:paraId="6108801C" w14:textId="77777777" w:rsidR="00893D5B" w:rsidRPr="000250FA" w:rsidRDefault="00893D5B" w:rsidP="00893D5B">
      <w:pPr>
        <w:pStyle w:val="Normlstilus1norml"/>
        <w:tabs>
          <w:tab w:val="left" w:pos="9781"/>
        </w:tabs>
        <w:ind w:right="-144"/>
        <w:rPr>
          <w:color w:val="auto"/>
          <w:sz w:val="22"/>
          <w:szCs w:val="22"/>
        </w:rPr>
      </w:pPr>
    </w:p>
    <w:p w14:paraId="1E27A68A" w14:textId="77777777" w:rsidR="00893D5B" w:rsidRPr="000250FA" w:rsidRDefault="00893D5B" w:rsidP="00893D5B">
      <w:pPr>
        <w:tabs>
          <w:tab w:val="left" w:pos="9781"/>
        </w:tabs>
        <w:ind w:right="-144"/>
        <w:jc w:val="both"/>
        <w:rPr>
          <w:sz w:val="22"/>
          <w:szCs w:val="22"/>
        </w:rPr>
      </w:pPr>
      <w:r w:rsidRPr="000250FA">
        <w:rPr>
          <w:b/>
          <w:sz w:val="22"/>
          <w:szCs w:val="22"/>
        </w:rPr>
        <w:t>40/B. §</w:t>
      </w:r>
      <w:r w:rsidRPr="000250FA">
        <w:rPr>
          <w:rStyle w:val="Lbjegyzet-hivatkozs"/>
          <w:b/>
          <w:sz w:val="22"/>
          <w:szCs w:val="22"/>
        </w:rPr>
        <w:footnoteReference w:id="193"/>
      </w:r>
      <w:r w:rsidRPr="000250FA">
        <w:rPr>
          <w:b/>
          <w:sz w:val="22"/>
          <w:szCs w:val="22"/>
        </w:rPr>
        <w:t xml:space="preserve"> </w:t>
      </w:r>
      <w:r w:rsidRPr="000250FA">
        <w:rPr>
          <w:sz w:val="22"/>
          <w:szCs w:val="22"/>
        </w:rPr>
        <w:t xml:space="preserve">(1) </w:t>
      </w:r>
      <w:r w:rsidRPr="000250FA">
        <w:rPr>
          <w:iCs/>
          <w:sz w:val="22"/>
          <w:szCs w:val="22"/>
        </w:rPr>
        <w:t>Külföldi munkavállalás alatt</w:t>
      </w:r>
      <w:r w:rsidRPr="000250FA">
        <w:rPr>
          <w:sz w:val="22"/>
          <w:szCs w:val="22"/>
        </w:rPr>
        <w:t xml:space="preserve"> a munkáltatói jogkör gyakorlója által engedélyezett, jövedelemszerzés céljából saját kezdeményezésre, vagy meghívás </w:t>
      </w:r>
      <w:proofErr w:type="gramStart"/>
      <w:r w:rsidRPr="000250FA">
        <w:rPr>
          <w:sz w:val="22"/>
          <w:szCs w:val="22"/>
        </w:rPr>
        <w:t>alapján</w:t>
      </w:r>
      <w:proofErr w:type="gramEnd"/>
      <w:r w:rsidRPr="000250FA">
        <w:rPr>
          <w:sz w:val="22"/>
          <w:szCs w:val="22"/>
        </w:rPr>
        <w:t xml:space="preserve"> külföldön történő munkavégzés értendő. A (2)-(5) szabályait kell alkalmazni, ha a közalkalmazott házastársa külföldi munkavállalására hivatkozással kér fizetés nélküli szabadságot.</w:t>
      </w:r>
    </w:p>
    <w:p w14:paraId="722CB2FA" w14:textId="77777777" w:rsidR="00893D5B" w:rsidRPr="000250FA" w:rsidRDefault="00893D5B" w:rsidP="00893D5B">
      <w:pPr>
        <w:tabs>
          <w:tab w:val="left" w:pos="9781"/>
        </w:tabs>
        <w:ind w:right="-144"/>
        <w:jc w:val="both"/>
        <w:rPr>
          <w:i/>
          <w:sz w:val="22"/>
          <w:szCs w:val="22"/>
        </w:rPr>
      </w:pPr>
    </w:p>
    <w:p w14:paraId="37DB1F86"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bCs/>
          <w:sz w:val="22"/>
          <w:szCs w:val="22"/>
        </w:rPr>
        <w:t>(2)</w:t>
      </w:r>
      <w:r w:rsidRPr="000250FA">
        <w:rPr>
          <w:sz w:val="22"/>
          <w:szCs w:val="22"/>
        </w:rPr>
        <w:t xml:space="preserve"> A közalkalmazott a külföldi munkavállalás engedélyezése iránti kérelmét az utazás megkezdése előtt legalább 30 nappal köteles a munkáltatói jogkör gyakorlójának benyújtani. A fizetés nélküli szabadság engedélyezésére a közalkalmazott közvetlen felettese véleményének kikérését követően a munkáltatói jogkör gyakorlója jogosult.</w:t>
      </w:r>
    </w:p>
    <w:p w14:paraId="6C553783" w14:textId="77777777" w:rsidR="00893D5B" w:rsidRPr="000250FA" w:rsidRDefault="00893D5B" w:rsidP="00893D5B">
      <w:pPr>
        <w:pStyle w:val="Normlstilus1norml"/>
        <w:tabs>
          <w:tab w:val="left" w:pos="9781"/>
        </w:tabs>
        <w:ind w:right="-144"/>
        <w:rPr>
          <w:color w:val="auto"/>
          <w:sz w:val="22"/>
          <w:szCs w:val="22"/>
        </w:rPr>
      </w:pPr>
    </w:p>
    <w:p w14:paraId="1C3F82A5" w14:textId="77777777" w:rsidR="00893D5B" w:rsidRPr="000250FA" w:rsidRDefault="00893D5B" w:rsidP="00893D5B">
      <w:pPr>
        <w:tabs>
          <w:tab w:val="left" w:pos="9781"/>
        </w:tabs>
        <w:ind w:right="-144"/>
        <w:jc w:val="both"/>
        <w:rPr>
          <w:sz w:val="22"/>
          <w:szCs w:val="22"/>
        </w:rPr>
      </w:pPr>
      <w:r w:rsidRPr="000250FA">
        <w:rPr>
          <w:sz w:val="22"/>
          <w:szCs w:val="22"/>
        </w:rPr>
        <w:t>(3) Külföldi munkavállalás engedélyezése esetén a munkáltatói jogkör gyakorlója a közalkalmazottal megállapodást köt. A megállapodás megkötésével egyidejűleg a közalkalmazott köteles a nála lévő, az Egyetem tulajdonát képező eszközökkel, felszerelésekkel elszámolni, az eszközöket a közvetlen felettes által kijelölt személy részére átadni.</w:t>
      </w:r>
    </w:p>
    <w:p w14:paraId="4B83B6B4" w14:textId="265F7AF9" w:rsidR="00893D5B" w:rsidRPr="00BD6AF1" w:rsidRDefault="00893D5B" w:rsidP="00893D5B">
      <w:pPr>
        <w:pStyle w:val="Normlstilus1norml"/>
        <w:tabs>
          <w:tab w:val="left" w:pos="9781"/>
        </w:tabs>
        <w:ind w:right="-144"/>
        <w:rPr>
          <w:color w:val="auto"/>
          <w:sz w:val="22"/>
          <w:szCs w:val="22"/>
        </w:rPr>
      </w:pPr>
      <w:r w:rsidRPr="000250FA">
        <w:rPr>
          <w:color w:val="auto"/>
          <w:sz w:val="22"/>
          <w:szCs w:val="22"/>
        </w:rPr>
        <w:t>A</w:t>
      </w:r>
      <w:r w:rsidR="00BD6AF1">
        <w:rPr>
          <w:color w:val="auto"/>
          <w:sz w:val="22"/>
          <w:szCs w:val="22"/>
        </w:rPr>
        <w:t xml:space="preserve"> megállapodást a Humánpolitikai</w:t>
      </w:r>
      <w:r w:rsidR="00154DF0">
        <w:rPr>
          <w:b/>
          <w:i/>
          <w:color w:val="auto"/>
          <w:sz w:val="22"/>
          <w:szCs w:val="22"/>
        </w:rPr>
        <w:t xml:space="preserve"> </w:t>
      </w:r>
      <w:r w:rsidR="00154DF0" w:rsidRPr="00BD6AF1">
        <w:rPr>
          <w:color w:val="auto"/>
          <w:sz w:val="22"/>
          <w:szCs w:val="22"/>
        </w:rPr>
        <w:t>Főosztály</w:t>
      </w:r>
      <w:r w:rsidRPr="00BD6AF1">
        <w:rPr>
          <w:color w:val="auto"/>
          <w:sz w:val="22"/>
          <w:szCs w:val="22"/>
        </w:rPr>
        <w:t xml:space="preserve"> részére meg kell küldeni. A megállapodásra vonatkozó iratmintát a HR Kézikönyv tartalmazza.</w:t>
      </w:r>
    </w:p>
    <w:p w14:paraId="1704EB2A" w14:textId="77777777" w:rsidR="00893D5B" w:rsidRPr="00BD6AF1" w:rsidRDefault="00893D5B" w:rsidP="00893D5B">
      <w:pPr>
        <w:tabs>
          <w:tab w:val="left" w:pos="9781"/>
        </w:tabs>
        <w:ind w:right="-144"/>
        <w:jc w:val="both"/>
        <w:rPr>
          <w:sz w:val="22"/>
          <w:szCs w:val="22"/>
        </w:rPr>
      </w:pPr>
    </w:p>
    <w:p w14:paraId="32BE6095" w14:textId="1787DD12" w:rsidR="00893D5B" w:rsidRPr="000250FA" w:rsidRDefault="00893D5B" w:rsidP="00893D5B">
      <w:pPr>
        <w:jc w:val="both"/>
        <w:rPr>
          <w:sz w:val="22"/>
          <w:szCs w:val="22"/>
        </w:rPr>
      </w:pPr>
      <w:r w:rsidRPr="00BD6AF1">
        <w:rPr>
          <w:sz w:val="22"/>
          <w:szCs w:val="22"/>
        </w:rPr>
        <w:t>(4) Külföldi munkavállalás esetén legfeljebb egy év fizetés nélküli szabadság engedélyezhető. A külföldi munkavállalás rendkívüli esetben egyszeri alkalommal további egy évre – a közalkalmazott lejárat előtt 2 hónappal benyújtott írásbeli kérelmére – meghosszabbítható. Két éven túl a fizetés nélküli szabadságot – legfeljebb összesen három évig terjedő időtartamra- egyedi elbírálás alapján, az eset összes körülményeinek ismeretében a kérelmező közvetlen munkahelyi felettese, valamint a munkáltatói jogkör gyakorlójának támogató nyilatkozata alapján a rektor, illetve a kancellár</w:t>
      </w:r>
      <w:r w:rsidRPr="00BD6AF1">
        <w:rPr>
          <w:rStyle w:val="Lbjegyzet-hivatkozs"/>
          <w:sz w:val="22"/>
          <w:szCs w:val="22"/>
        </w:rPr>
        <w:footnoteReference w:id="194"/>
      </w:r>
      <w:r w:rsidRPr="00BD6AF1">
        <w:rPr>
          <w:sz w:val="22"/>
          <w:szCs w:val="22"/>
        </w:rPr>
        <w:t xml:space="preserve"> engedélyezheti. Az ismételt engedélyt a munkáltatói jogkör gyakorlója köteles haladéktalanul a Humánpolitikai </w:t>
      </w:r>
      <w:r w:rsidR="00154DF0" w:rsidRPr="00BD6AF1">
        <w:rPr>
          <w:sz w:val="22"/>
          <w:szCs w:val="22"/>
        </w:rPr>
        <w:t>Főosztály</w:t>
      </w:r>
      <w:r w:rsidRPr="00BD6AF1">
        <w:rPr>
          <w:sz w:val="22"/>
          <w:szCs w:val="22"/>
        </w:rPr>
        <w:t xml:space="preserve"> részére megküldeni</w:t>
      </w:r>
      <w:r w:rsidRPr="000250FA">
        <w:rPr>
          <w:sz w:val="22"/>
          <w:szCs w:val="22"/>
        </w:rPr>
        <w:t>. Hét éven belül újabb fizetés nélküli szabadság nem engedélyezhető. A hét éves időtartamot e szabályzat hatályba lépésétől kell alkalmazni. Amennyiben az érintett e szabályzat hatályba lépést megelőző hét éven belül fizetés nélküli szabadságban részesült, úgy a hét éves időtartamot annak lejártától kell számítani.</w:t>
      </w:r>
    </w:p>
    <w:p w14:paraId="4C8C020E" w14:textId="77777777" w:rsidR="00893D5B" w:rsidRPr="000250FA" w:rsidRDefault="00893D5B" w:rsidP="00893D5B">
      <w:pPr>
        <w:jc w:val="both"/>
        <w:rPr>
          <w:sz w:val="22"/>
          <w:szCs w:val="22"/>
        </w:rPr>
      </w:pPr>
    </w:p>
    <w:p w14:paraId="3237A954" w14:textId="77777777" w:rsidR="00893D5B" w:rsidRPr="000250FA" w:rsidRDefault="00893D5B" w:rsidP="00893D5B">
      <w:pPr>
        <w:jc w:val="both"/>
        <w:rPr>
          <w:sz w:val="22"/>
          <w:szCs w:val="22"/>
        </w:rPr>
      </w:pPr>
      <w:r w:rsidRPr="000250FA">
        <w:rPr>
          <w:sz w:val="22"/>
          <w:szCs w:val="22"/>
        </w:rPr>
        <w:t xml:space="preserve">(5) A közalkalmazott a határozott idejű engedély lejárta után 5 munkanapon belül köteles munkavégzésre jelentkezni a </w:t>
      </w:r>
      <w:proofErr w:type="spellStart"/>
      <w:r w:rsidRPr="000250FA">
        <w:rPr>
          <w:sz w:val="22"/>
          <w:szCs w:val="22"/>
        </w:rPr>
        <w:t>Kjt-ben</w:t>
      </w:r>
      <w:proofErr w:type="spellEnd"/>
      <w:r w:rsidRPr="000250FA">
        <w:rPr>
          <w:sz w:val="22"/>
          <w:szCs w:val="22"/>
        </w:rPr>
        <w:t xml:space="preserve"> meghatározott jogkövetkezmények </w:t>
      </w:r>
      <w:proofErr w:type="spellStart"/>
      <w:r w:rsidRPr="000250FA">
        <w:rPr>
          <w:sz w:val="22"/>
          <w:szCs w:val="22"/>
        </w:rPr>
        <w:t>terhe</w:t>
      </w:r>
      <w:proofErr w:type="spellEnd"/>
      <w:r w:rsidRPr="000250FA">
        <w:rPr>
          <w:sz w:val="22"/>
          <w:szCs w:val="22"/>
        </w:rPr>
        <w:t xml:space="preserve"> mellett. </w:t>
      </w:r>
    </w:p>
    <w:p w14:paraId="1C67D7FB" w14:textId="77777777" w:rsidR="00893D5B" w:rsidRPr="000250FA" w:rsidRDefault="00893D5B" w:rsidP="00893D5B">
      <w:pPr>
        <w:pStyle w:val="Normlstilus1norml"/>
        <w:tabs>
          <w:tab w:val="left" w:pos="9781"/>
        </w:tabs>
        <w:ind w:right="-144"/>
        <w:rPr>
          <w:color w:val="auto"/>
          <w:sz w:val="22"/>
          <w:szCs w:val="22"/>
        </w:rPr>
      </w:pPr>
    </w:p>
    <w:p w14:paraId="56D57134" w14:textId="77777777" w:rsidR="00893D5B" w:rsidRPr="000250FA" w:rsidRDefault="00893D5B" w:rsidP="00893D5B">
      <w:pPr>
        <w:pStyle w:val="Normlstilus1norml"/>
        <w:tabs>
          <w:tab w:val="left" w:pos="9781"/>
        </w:tabs>
        <w:ind w:right="-144"/>
        <w:rPr>
          <w:color w:val="auto"/>
          <w:sz w:val="22"/>
          <w:szCs w:val="22"/>
        </w:rPr>
      </w:pPr>
    </w:p>
    <w:p w14:paraId="5564BA7F" w14:textId="77777777" w:rsidR="00893D5B" w:rsidRPr="000250FA" w:rsidRDefault="00893D5B" w:rsidP="00893D5B">
      <w:pPr>
        <w:pStyle w:val="Cmsor3"/>
        <w:rPr>
          <w:lang w:val="hu-HU"/>
        </w:rPr>
      </w:pPr>
      <w:bookmarkStart w:id="130" w:name="_Toc432753552"/>
      <w:bookmarkStart w:id="131" w:name="_Toc444603553"/>
      <w:bookmarkStart w:id="132" w:name="_Toc58569535"/>
      <w:bookmarkStart w:id="133" w:name="_Toc445200813"/>
      <w:r w:rsidRPr="000250FA">
        <w:t>IV. fejezet - A közalkalmazott vétkes kötelezettségszegéséért alkalmazható jogkövetkezmények</w:t>
      </w:r>
      <w:r w:rsidRPr="000250FA">
        <w:rPr>
          <w:rStyle w:val="Lbjegyzet-hivatkozs"/>
        </w:rPr>
        <w:footnoteReference w:id="195"/>
      </w:r>
      <w:r w:rsidRPr="000250FA">
        <w:t xml:space="preserve"> és a közalkalmazottak kártérítési felelőssége</w:t>
      </w:r>
      <w:bookmarkEnd w:id="130"/>
      <w:bookmarkEnd w:id="131"/>
      <w:bookmarkEnd w:id="132"/>
      <w:r w:rsidRPr="000250FA">
        <w:rPr>
          <w:lang w:val="hu-HU"/>
        </w:rPr>
        <w:t xml:space="preserve"> </w:t>
      </w:r>
      <w:bookmarkEnd w:id="133"/>
      <w:r w:rsidRPr="000250FA">
        <w:rPr>
          <w:lang w:val="hu-HU"/>
        </w:rPr>
        <w:t xml:space="preserve"> </w:t>
      </w:r>
    </w:p>
    <w:p w14:paraId="1453757A" w14:textId="77777777" w:rsidR="00893D5B" w:rsidRPr="000250FA" w:rsidRDefault="00893D5B" w:rsidP="00893D5B">
      <w:pPr>
        <w:tabs>
          <w:tab w:val="left" w:pos="9781"/>
        </w:tabs>
        <w:ind w:right="-144"/>
        <w:jc w:val="both"/>
        <w:rPr>
          <w:sz w:val="22"/>
          <w:szCs w:val="22"/>
        </w:rPr>
      </w:pPr>
    </w:p>
    <w:p w14:paraId="60CE8CE7" w14:textId="77777777" w:rsidR="00893D5B" w:rsidRPr="000250FA" w:rsidRDefault="00893D5B" w:rsidP="00893D5B">
      <w:pPr>
        <w:pStyle w:val="Cmsor4"/>
        <w:rPr>
          <w:lang w:val="hu-HU"/>
        </w:rPr>
      </w:pPr>
      <w:bookmarkStart w:id="134" w:name="_Toc432753553"/>
      <w:r w:rsidRPr="000250FA">
        <w:t>A közalkalmazott vétkes kötelezettségszegésének jogkövetkezményei</w:t>
      </w:r>
      <w:r w:rsidRPr="000250FA" w:rsidDel="003B725F">
        <w:t xml:space="preserve"> </w:t>
      </w:r>
      <w:r w:rsidRPr="000250FA">
        <w:rPr>
          <w:rStyle w:val="Lbjegyzet-hivatkozs"/>
        </w:rPr>
        <w:footnoteReference w:id="196"/>
      </w:r>
      <w:bookmarkEnd w:id="134"/>
      <w:r w:rsidRPr="000250FA">
        <w:rPr>
          <w:lang w:val="hu-HU"/>
        </w:rPr>
        <w:t xml:space="preserve"> </w:t>
      </w:r>
      <w:r w:rsidRPr="000250FA">
        <w:rPr>
          <w:rStyle w:val="Lbjegyzet-hivatkozs"/>
          <w:lang w:val="hu-HU"/>
        </w:rPr>
        <w:footnoteReference w:id="197"/>
      </w:r>
    </w:p>
    <w:p w14:paraId="6F0073F9" w14:textId="77777777" w:rsidR="00893D5B" w:rsidRPr="000250FA" w:rsidRDefault="00893D5B" w:rsidP="00893D5B">
      <w:pPr>
        <w:tabs>
          <w:tab w:val="left" w:pos="9781"/>
        </w:tabs>
        <w:ind w:right="-144"/>
        <w:jc w:val="both"/>
        <w:rPr>
          <w:sz w:val="22"/>
          <w:szCs w:val="22"/>
        </w:rPr>
      </w:pPr>
    </w:p>
    <w:p w14:paraId="7F6E1389" w14:textId="77777777" w:rsidR="00893D5B" w:rsidRPr="000250FA" w:rsidRDefault="00893D5B" w:rsidP="00893D5B">
      <w:pPr>
        <w:jc w:val="both"/>
        <w:rPr>
          <w:strike/>
          <w:sz w:val="22"/>
          <w:szCs w:val="22"/>
        </w:rPr>
      </w:pPr>
      <w:r w:rsidRPr="000250FA">
        <w:rPr>
          <w:b/>
          <w:sz w:val="22"/>
          <w:szCs w:val="22"/>
        </w:rPr>
        <w:t>41. §</w:t>
      </w:r>
      <w:r w:rsidRPr="000250FA">
        <w:rPr>
          <w:rStyle w:val="Lbjegyzet-hivatkozs"/>
          <w:sz w:val="22"/>
          <w:szCs w:val="22"/>
        </w:rPr>
        <w:footnoteReference w:id="198"/>
      </w:r>
      <w:r w:rsidRPr="000250FA">
        <w:rPr>
          <w:bCs/>
          <w:sz w:val="22"/>
          <w:szCs w:val="22"/>
        </w:rPr>
        <w:t xml:space="preserve"> </w:t>
      </w:r>
      <w:r w:rsidRPr="000250FA">
        <w:rPr>
          <w:rStyle w:val="Lbjegyzet-hivatkozs"/>
          <w:bCs/>
          <w:sz w:val="22"/>
          <w:szCs w:val="22"/>
        </w:rPr>
        <w:footnoteReference w:id="199"/>
      </w:r>
      <w:r w:rsidRPr="000250FA">
        <w:rPr>
          <w:bCs/>
          <w:sz w:val="22"/>
          <w:szCs w:val="22"/>
        </w:rPr>
        <w:t xml:space="preserve">A munkaviszonyból származó kötelezettség vétkes megszegése esetére a PTE Kollektív Szerződése a kötelezettségszegés súlyával arányos hátrányos jogkövetkezményeket állapíthat meg. </w:t>
      </w:r>
    </w:p>
    <w:p w14:paraId="3CF0672E" w14:textId="77777777" w:rsidR="00893D5B" w:rsidRPr="000250FA" w:rsidRDefault="00893D5B" w:rsidP="00893D5B">
      <w:pPr>
        <w:jc w:val="both"/>
        <w:rPr>
          <w:sz w:val="22"/>
          <w:szCs w:val="22"/>
        </w:rPr>
      </w:pPr>
    </w:p>
    <w:p w14:paraId="6DB325A7" w14:textId="77777777" w:rsidR="00893D5B" w:rsidRPr="0037430A" w:rsidRDefault="00893D5B" w:rsidP="00893D5B">
      <w:pPr>
        <w:jc w:val="both"/>
        <w:rPr>
          <w:bCs/>
          <w:sz w:val="22"/>
          <w:szCs w:val="22"/>
        </w:rPr>
      </w:pPr>
      <w:r w:rsidRPr="000250FA">
        <w:rPr>
          <w:b/>
          <w:sz w:val="22"/>
          <w:szCs w:val="22"/>
        </w:rPr>
        <w:t>42. §</w:t>
      </w:r>
      <w:r w:rsidRPr="000250FA">
        <w:rPr>
          <w:rStyle w:val="Lbjegyzet-hivatkozs"/>
          <w:sz w:val="22"/>
          <w:szCs w:val="22"/>
        </w:rPr>
        <w:footnoteReference w:id="200"/>
      </w:r>
      <w:r w:rsidRPr="000250FA">
        <w:rPr>
          <w:sz w:val="22"/>
          <w:szCs w:val="22"/>
        </w:rPr>
        <w:t xml:space="preserve"> </w:t>
      </w:r>
      <w:r w:rsidR="0037430A" w:rsidRPr="0037430A">
        <w:rPr>
          <w:bCs/>
          <w:sz w:val="22"/>
          <w:szCs w:val="22"/>
        </w:rPr>
        <w:t>(1)</w:t>
      </w:r>
    </w:p>
    <w:p w14:paraId="0CB85E9F"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p>
    <w:p w14:paraId="1812C36B"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 xml:space="preserve"> (2) A munkáltató a közalkalmazotti jogviszonyt azonnali hatályú felmentéssel megszüntetheti, ha a közalkalmazott</w:t>
      </w:r>
    </w:p>
    <w:p w14:paraId="22DFA88E" w14:textId="77777777" w:rsidR="00893D5B" w:rsidRPr="000250FA" w:rsidRDefault="00893D5B" w:rsidP="00912564">
      <w:pPr>
        <w:numPr>
          <w:ilvl w:val="0"/>
          <w:numId w:val="53"/>
        </w:numPr>
        <w:jc w:val="both"/>
        <w:rPr>
          <w:sz w:val="22"/>
          <w:szCs w:val="22"/>
        </w:rPr>
      </w:pPr>
      <w:bookmarkStart w:id="135" w:name="pr434"/>
      <w:bookmarkEnd w:id="135"/>
      <w:r w:rsidRPr="000250FA">
        <w:rPr>
          <w:sz w:val="22"/>
          <w:szCs w:val="22"/>
        </w:rPr>
        <w:t>a közalkalmazotti jogviszonyból származó lényeges kötelezettségét szándékosan vagy súlyos gondatlansággal jelentős mértékben megszegi, vagy</w:t>
      </w:r>
    </w:p>
    <w:p w14:paraId="79520A67" w14:textId="77777777" w:rsidR="00893D5B" w:rsidRPr="000250FA" w:rsidRDefault="00893D5B" w:rsidP="00912564">
      <w:pPr>
        <w:numPr>
          <w:ilvl w:val="0"/>
          <w:numId w:val="53"/>
        </w:numPr>
        <w:jc w:val="both"/>
        <w:rPr>
          <w:sz w:val="22"/>
          <w:szCs w:val="22"/>
        </w:rPr>
      </w:pPr>
      <w:bookmarkStart w:id="136" w:name="pr435"/>
      <w:bookmarkEnd w:id="136"/>
      <w:r w:rsidRPr="000250FA">
        <w:rPr>
          <w:sz w:val="22"/>
          <w:szCs w:val="22"/>
        </w:rPr>
        <w:t>egyébként olyan magatartást tanúsít, amely a munkaviszony fenntartását lehetetlenné teszi.</w:t>
      </w:r>
    </w:p>
    <w:p w14:paraId="5B6601CF" w14:textId="77777777" w:rsidR="00893D5B" w:rsidRPr="000250FA" w:rsidRDefault="00893D5B" w:rsidP="00893D5B">
      <w:pPr>
        <w:jc w:val="both"/>
        <w:rPr>
          <w:sz w:val="22"/>
          <w:szCs w:val="22"/>
        </w:rPr>
      </w:pPr>
      <w:bookmarkStart w:id="137" w:name="pr436"/>
      <w:bookmarkEnd w:id="137"/>
    </w:p>
    <w:p w14:paraId="73604DB8"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(3)</w:t>
      </w:r>
      <w:r w:rsidRPr="000250FA">
        <w:rPr>
          <w:rStyle w:val="Lbjegyzet-hivatkozs"/>
          <w:sz w:val="22"/>
          <w:szCs w:val="22"/>
        </w:rPr>
        <w:footnoteReference w:id="201"/>
      </w:r>
      <w:r w:rsidRPr="000250FA">
        <w:rPr>
          <w:sz w:val="22"/>
          <w:szCs w:val="22"/>
        </w:rPr>
        <w:t xml:space="preserve"> Az azonnali hatályú felmentés jogát a munkáltatói jogkör gyakorlója által az ennek alapjául szolgáló okról való tudomásszerzéstől számított tizenöt napon, legfeljebb azonban az ok bekövetkeztétől számított egy éven belül, bűncselekmény elkövetése esetén a büntethetőség elévüléséig lehet gyakorolni. A tudomásszerzés időpontjának, ha az azonnali hatályú felmentés jogát testület jogosult gyakorolni, azt kell tekinteni, amikor az azonnali hatályú felmondás okáról a testületet - mint a munkáltatói jogkört gyakorló szervet - tájékoztatják.</w:t>
      </w:r>
    </w:p>
    <w:p w14:paraId="50927EC8" w14:textId="77777777" w:rsidR="00893D5B" w:rsidRPr="000250FA" w:rsidRDefault="00893D5B" w:rsidP="00893D5B">
      <w:pPr>
        <w:jc w:val="both"/>
        <w:rPr>
          <w:sz w:val="22"/>
          <w:szCs w:val="22"/>
        </w:rPr>
      </w:pPr>
    </w:p>
    <w:p w14:paraId="1F16B113" w14:textId="77777777" w:rsidR="00893D5B" w:rsidRPr="000250FA" w:rsidRDefault="00893D5B" w:rsidP="00893D5B">
      <w:pPr>
        <w:jc w:val="both"/>
        <w:rPr>
          <w:sz w:val="22"/>
          <w:szCs w:val="22"/>
        </w:rPr>
      </w:pPr>
      <w:r w:rsidRPr="000250FA">
        <w:rPr>
          <w:bCs/>
          <w:sz w:val="22"/>
          <w:szCs w:val="22"/>
        </w:rPr>
        <w:t>(4)</w:t>
      </w:r>
      <w:r w:rsidRPr="000250FA">
        <w:rPr>
          <w:rStyle w:val="Lbjegyzet-hivatkozs"/>
          <w:bCs/>
          <w:sz w:val="22"/>
          <w:szCs w:val="22"/>
        </w:rPr>
        <w:footnoteReference w:id="202"/>
      </w:r>
      <w:r w:rsidRPr="000250FA">
        <w:rPr>
          <w:bCs/>
          <w:sz w:val="22"/>
          <w:szCs w:val="22"/>
        </w:rPr>
        <w:t xml:space="preserve"> A vétkes kötelezettségszegéséért alkalmazható jogkövetkezményekkel kapcsolatos eljárási szabályokat a HR Kézikönyv tartalmazza.</w:t>
      </w:r>
    </w:p>
    <w:p w14:paraId="4493E764" w14:textId="77777777" w:rsidR="00893D5B" w:rsidRPr="000250FA" w:rsidRDefault="00893D5B" w:rsidP="00893D5B">
      <w:pPr>
        <w:tabs>
          <w:tab w:val="left" w:pos="9781"/>
        </w:tabs>
        <w:autoSpaceDE w:val="0"/>
        <w:autoSpaceDN w:val="0"/>
        <w:adjustRightInd w:val="0"/>
        <w:ind w:right="-144"/>
        <w:rPr>
          <w:sz w:val="22"/>
          <w:szCs w:val="22"/>
        </w:rPr>
      </w:pPr>
    </w:p>
    <w:p w14:paraId="7920B7B9" w14:textId="77777777" w:rsidR="00893D5B" w:rsidRPr="000250FA" w:rsidRDefault="00893D5B" w:rsidP="00893D5B">
      <w:pPr>
        <w:tabs>
          <w:tab w:val="left" w:pos="9781"/>
        </w:tabs>
        <w:ind w:right="-144"/>
        <w:jc w:val="both"/>
        <w:rPr>
          <w:b/>
          <w:bCs/>
          <w:sz w:val="22"/>
          <w:szCs w:val="22"/>
        </w:rPr>
      </w:pPr>
      <w:r w:rsidRPr="000250FA">
        <w:rPr>
          <w:b/>
          <w:sz w:val="22"/>
          <w:szCs w:val="22"/>
        </w:rPr>
        <w:t>43. §</w:t>
      </w:r>
      <w:r w:rsidRPr="000250FA">
        <w:rPr>
          <w:sz w:val="22"/>
          <w:szCs w:val="22"/>
        </w:rPr>
        <w:t xml:space="preserve"> </w:t>
      </w:r>
    </w:p>
    <w:p w14:paraId="77353096" w14:textId="77777777" w:rsidR="00893D5B" w:rsidRPr="000250FA" w:rsidRDefault="00893D5B" w:rsidP="00893D5B">
      <w:pPr>
        <w:pStyle w:val="Normlstilus1norml"/>
        <w:tabs>
          <w:tab w:val="left" w:pos="9781"/>
        </w:tabs>
        <w:ind w:right="-144"/>
        <w:rPr>
          <w:b/>
          <w:bCs/>
          <w:color w:val="auto"/>
          <w:sz w:val="22"/>
          <w:szCs w:val="22"/>
        </w:rPr>
      </w:pPr>
    </w:p>
    <w:p w14:paraId="4E95D869" w14:textId="77777777" w:rsidR="00893D5B" w:rsidRPr="000250FA" w:rsidRDefault="00893D5B" w:rsidP="00893D5B">
      <w:pPr>
        <w:pStyle w:val="Cmsor4"/>
      </w:pPr>
      <w:bookmarkStart w:id="138" w:name="_Toc432753554"/>
      <w:r w:rsidRPr="000250FA">
        <w:t>A közalkalmazott kártérítési felelőssége</w:t>
      </w:r>
      <w:bookmarkEnd w:id="138"/>
    </w:p>
    <w:p w14:paraId="659C1FF7" w14:textId="77777777" w:rsidR="00893D5B" w:rsidRPr="000250FA" w:rsidRDefault="00893D5B" w:rsidP="00893D5B">
      <w:pPr>
        <w:pStyle w:val="Normlstilus1norml"/>
        <w:tabs>
          <w:tab w:val="left" w:pos="9781"/>
        </w:tabs>
        <w:ind w:right="-144"/>
        <w:rPr>
          <w:color w:val="auto"/>
          <w:sz w:val="22"/>
          <w:szCs w:val="22"/>
        </w:rPr>
      </w:pPr>
    </w:p>
    <w:p w14:paraId="31832F2F"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 xml:space="preserve">44. </w:t>
      </w:r>
      <w:r w:rsidRPr="000250FA">
        <w:rPr>
          <w:b/>
          <w:bCs/>
          <w:color w:val="auto"/>
          <w:sz w:val="22"/>
          <w:szCs w:val="22"/>
        </w:rPr>
        <w:sym w:font="Times New Roman" w:char="00A7"/>
      </w:r>
      <w:r w:rsidRPr="000250FA">
        <w:rPr>
          <w:color w:val="auto"/>
          <w:sz w:val="22"/>
          <w:szCs w:val="22"/>
        </w:rPr>
        <w:t xml:space="preserve"> (1) A közalkalmazott közalkalmazotti jogviszonyából eredő kötelezettségének megszegésével okozott kárt köteles megtéríteni, ha nem úgy járt el, ahogy az adott helyzetben általában elvárható.</w:t>
      </w:r>
    </w:p>
    <w:p w14:paraId="10B5D97F" w14:textId="77777777" w:rsidR="00893D5B" w:rsidRPr="000250FA" w:rsidRDefault="00893D5B" w:rsidP="00893D5B">
      <w:pPr>
        <w:pStyle w:val="Normlstilus1norml"/>
        <w:tabs>
          <w:tab w:val="left" w:pos="9781"/>
        </w:tabs>
        <w:ind w:right="-144"/>
        <w:rPr>
          <w:color w:val="auto"/>
          <w:sz w:val="22"/>
          <w:szCs w:val="22"/>
        </w:rPr>
      </w:pPr>
    </w:p>
    <w:p w14:paraId="2B659230"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kártérítés mértéke nem haladhatja meg a munkavállaló négyhavi távolléti díjának összegét. Szándékos vagy súlyosan gondatlan károkozás esetén a teljes kárt kell megtéríteni.</w:t>
      </w:r>
    </w:p>
    <w:p w14:paraId="72A605FD" w14:textId="77777777" w:rsidR="00893D5B" w:rsidRPr="000250FA" w:rsidRDefault="00893D5B" w:rsidP="00893D5B">
      <w:pPr>
        <w:pStyle w:val="Normlstilus1norml"/>
        <w:tabs>
          <w:tab w:val="left" w:pos="9781"/>
        </w:tabs>
        <w:ind w:right="-144"/>
        <w:rPr>
          <w:b/>
          <w:i/>
          <w:color w:val="auto"/>
          <w:sz w:val="22"/>
          <w:szCs w:val="22"/>
        </w:rPr>
      </w:pPr>
    </w:p>
    <w:p w14:paraId="6640B0D8"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Súlyosan gondatlannak minősül a károkozás különösen, ha</w:t>
      </w:r>
    </w:p>
    <w:p w14:paraId="5ACD4B13" w14:textId="77777777" w:rsidR="00893D5B" w:rsidRPr="000250FA" w:rsidRDefault="00893D5B" w:rsidP="00912564">
      <w:pPr>
        <w:numPr>
          <w:ilvl w:val="0"/>
          <w:numId w:val="54"/>
        </w:numPr>
        <w:jc w:val="both"/>
        <w:rPr>
          <w:sz w:val="22"/>
          <w:szCs w:val="22"/>
        </w:rPr>
      </w:pPr>
      <w:r w:rsidRPr="000250FA">
        <w:rPr>
          <w:sz w:val="22"/>
          <w:szCs w:val="22"/>
        </w:rPr>
        <w:t>a közalkalmazott</w:t>
      </w:r>
    </w:p>
    <w:p w14:paraId="10C5F45E" w14:textId="77777777" w:rsidR="00893D5B" w:rsidRPr="000250FA" w:rsidRDefault="00893D5B" w:rsidP="00893D5B">
      <w:pPr>
        <w:ind w:left="720"/>
        <w:jc w:val="both"/>
        <w:rPr>
          <w:sz w:val="22"/>
          <w:szCs w:val="22"/>
        </w:rPr>
      </w:pPr>
      <w:proofErr w:type="spellStart"/>
      <w:r w:rsidRPr="000250FA">
        <w:rPr>
          <w:sz w:val="22"/>
          <w:szCs w:val="22"/>
        </w:rPr>
        <w:t>aa</w:t>
      </w:r>
      <w:proofErr w:type="spellEnd"/>
      <w:r w:rsidRPr="000250FA">
        <w:rPr>
          <w:sz w:val="22"/>
          <w:szCs w:val="22"/>
        </w:rPr>
        <w:t>) a munkáltató gazdálkodására vonatkozó szabályok súlyos megsértésével,</w:t>
      </w:r>
    </w:p>
    <w:p w14:paraId="153C732C" w14:textId="77777777" w:rsidR="00893D5B" w:rsidRPr="000250FA" w:rsidRDefault="00893D5B" w:rsidP="00893D5B">
      <w:pPr>
        <w:ind w:left="720"/>
        <w:jc w:val="both"/>
        <w:rPr>
          <w:sz w:val="22"/>
          <w:szCs w:val="22"/>
        </w:rPr>
      </w:pPr>
      <w:proofErr w:type="gramStart"/>
      <w:r w:rsidRPr="000250FA">
        <w:rPr>
          <w:sz w:val="22"/>
          <w:szCs w:val="22"/>
        </w:rPr>
        <w:t>ab</w:t>
      </w:r>
      <w:proofErr w:type="gramEnd"/>
      <w:r w:rsidRPr="000250FA">
        <w:rPr>
          <w:sz w:val="22"/>
          <w:szCs w:val="22"/>
        </w:rPr>
        <w:t>) az ellenőrzési kötelezettség elmulasztásával, illetve hiányos teljesítésével okozta a kárt, vagy</w:t>
      </w:r>
    </w:p>
    <w:p w14:paraId="4B1B1B3A" w14:textId="77777777" w:rsidR="00893D5B" w:rsidRPr="000250FA" w:rsidRDefault="00893D5B" w:rsidP="00912564">
      <w:pPr>
        <w:numPr>
          <w:ilvl w:val="0"/>
          <w:numId w:val="54"/>
        </w:numPr>
        <w:jc w:val="both"/>
        <w:rPr>
          <w:sz w:val="22"/>
          <w:szCs w:val="22"/>
        </w:rPr>
      </w:pPr>
      <w:r w:rsidRPr="000250FA">
        <w:rPr>
          <w:sz w:val="22"/>
          <w:szCs w:val="22"/>
        </w:rPr>
        <w:lastRenderedPageBreak/>
        <w:t>a kár olyan - jogszabályba ütköző - utasítása teljesítéséből keletkezett, amelynek várható következményeire az utasított közalkalmazott előzőleg a figyelmét felhívta.</w:t>
      </w:r>
    </w:p>
    <w:p w14:paraId="69F05B68" w14:textId="77777777" w:rsidR="00893D5B" w:rsidRPr="000250FA" w:rsidRDefault="00893D5B" w:rsidP="00893D5B">
      <w:pPr>
        <w:pStyle w:val="Normlstilus1norml"/>
        <w:tabs>
          <w:tab w:val="left" w:pos="9781"/>
        </w:tabs>
        <w:ind w:right="-144"/>
        <w:rPr>
          <w:bCs/>
          <w:color w:val="auto"/>
          <w:sz w:val="22"/>
          <w:szCs w:val="22"/>
        </w:rPr>
      </w:pPr>
    </w:p>
    <w:p w14:paraId="44EF8EBB"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 A magasabb vezető a vezetői tevékenységének keretében gondatlanul okozott károkért teljes mértékben felel.</w:t>
      </w:r>
    </w:p>
    <w:p w14:paraId="35436FA1" w14:textId="77777777" w:rsidR="00893D5B" w:rsidRPr="000250FA" w:rsidRDefault="00893D5B" w:rsidP="00893D5B">
      <w:pPr>
        <w:pStyle w:val="Normlstilus1norml"/>
        <w:tabs>
          <w:tab w:val="left" w:pos="9781"/>
        </w:tabs>
        <w:ind w:right="-144"/>
        <w:rPr>
          <w:bCs/>
          <w:color w:val="auto"/>
          <w:sz w:val="22"/>
          <w:szCs w:val="22"/>
        </w:rPr>
      </w:pPr>
    </w:p>
    <w:p w14:paraId="771E4934" w14:textId="77777777" w:rsidR="00893D5B" w:rsidRPr="000250FA" w:rsidRDefault="00893D5B" w:rsidP="00893D5B">
      <w:pPr>
        <w:pStyle w:val="Jegyzetszveg"/>
        <w:tabs>
          <w:tab w:val="left" w:pos="9781"/>
        </w:tabs>
        <w:ind w:right="-144"/>
        <w:jc w:val="both"/>
        <w:rPr>
          <w:sz w:val="22"/>
          <w:szCs w:val="22"/>
        </w:rPr>
      </w:pPr>
      <w:r w:rsidRPr="000250FA">
        <w:rPr>
          <w:bCs/>
          <w:sz w:val="22"/>
          <w:szCs w:val="22"/>
        </w:rPr>
        <w:t>(5)</w:t>
      </w:r>
      <w:r w:rsidRPr="000250FA">
        <w:rPr>
          <w:rStyle w:val="Lbjegyzet-hivatkozs"/>
          <w:bCs/>
          <w:sz w:val="22"/>
          <w:szCs w:val="22"/>
        </w:rPr>
        <w:footnoteReference w:id="203"/>
      </w:r>
      <w:r w:rsidRPr="000250FA">
        <w:rPr>
          <w:bCs/>
          <w:sz w:val="22"/>
          <w:szCs w:val="22"/>
        </w:rPr>
        <w:t xml:space="preserve"> </w:t>
      </w:r>
      <w:r w:rsidRPr="000250FA">
        <w:rPr>
          <w:rStyle w:val="Lbjegyzet-hivatkozs"/>
          <w:bCs/>
          <w:sz w:val="22"/>
          <w:szCs w:val="22"/>
        </w:rPr>
        <w:footnoteReference w:id="204"/>
      </w:r>
      <w:r w:rsidRPr="000250FA">
        <w:rPr>
          <w:sz w:val="22"/>
          <w:szCs w:val="22"/>
        </w:rPr>
        <w:t>A magasabb vezető a vezetői tevékenység keretében szándékosan okozott kárért, illetve a nem vezetői tevékenysége keretében okozott kárért az általános felelősségi szabályok szerint felel azzal az eltéréssel, hogy a nem vezetői tevékenység során okozott gondatlan károkozás esetén a felelősség mértéke a vezető tizenkét havi távolléti díjának megfelelő összegig terjedhet.</w:t>
      </w:r>
    </w:p>
    <w:p w14:paraId="5FEB484C" w14:textId="77777777" w:rsidR="00893D5B" w:rsidRPr="000250FA" w:rsidRDefault="00893D5B" w:rsidP="00893D5B">
      <w:pPr>
        <w:pStyle w:val="Jegyzetszveg"/>
        <w:tabs>
          <w:tab w:val="left" w:pos="9781"/>
        </w:tabs>
        <w:ind w:right="-144"/>
        <w:jc w:val="both"/>
        <w:rPr>
          <w:sz w:val="22"/>
          <w:szCs w:val="22"/>
        </w:rPr>
      </w:pPr>
    </w:p>
    <w:p w14:paraId="604187EA" w14:textId="77777777" w:rsidR="00893D5B" w:rsidRPr="000250FA" w:rsidRDefault="00893D5B" w:rsidP="00893D5B">
      <w:pPr>
        <w:pStyle w:val="Jegyzetszveg"/>
        <w:tabs>
          <w:tab w:val="left" w:pos="9781"/>
        </w:tabs>
        <w:ind w:right="-144"/>
        <w:jc w:val="both"/>
        <w:rPr>
          <w:sz w:val="22"/>
          <w:szCs w:val="22"/>
        </w:rPr>
      </w:pPr>
      <w:r w:rsidRPr="000250FA">
        <w:rPr>
          <w:sz w:val="22"/>
          <w:szCs w:val="22"/>
        </w:rPr>
        <w:t>(6)</w:t>
      </w:r>
      <w:r w:rsidRPr="000250FA">
        <w:rPr>
          <w:rStyle w:val="Lbjegyzet-hivatkozs"/>
          <w:sz w:val="22"/>
          <w:szCs w:val="22"/>
        </w:rPr>
        <w:footnoteReference w:id="205"/>
      </w:r>
      <w:r w:rsidRPr="000250FA">
        <w:rPr>
          <w:sz w:val="22"/>
          <w:szCs w:val="22"/>
        </w:rPr>
        <w:t xml:space="preserve"> Amennyiben a magasabb vezető a közalkalmazotti jogviszonyát jogellenesen szüntette meg – az Mt. 84. § (1)–(2) bekezdésében foglaltaktól eltérően – hat havi távolléti díjával felel.</w:t>
      </w:r>
    </w:p>
    <w:p w14:paraId="4D0802F5" w14:textId="77777777" w:rsidR="00893D5B" w:rsidRPr="000250FA" w:rsidRDefault="00893D5B" w:rsidP="00893D5B">
      <w:pPr>
        <w:pStyle w:val="Normlstilus1norml"/>
        <w:tabs>
          <w:tab w:val="left" w:pos="9781"/>
        </w:tabs>
        <w:ind w:right="-144"/>
        <w:rPr>
          <w:b/>
          <w:bCs/>
          <w:i/>
          <w:color w:val="auto"/>
          <w:sz w:val="22"/>
          <w:szCs w:val="22"/>
        </w:rPr>
      </w:pPr>
    </w:p>
    <w:p w14:paraId="476660DF" w14:textId="77777777" w:rsidR="00893D5B" w:rsidRPr="000250FA" w:rsidRDefault="00893D5B" w:rsidP="00893D5B">
      <w:pPr>
        <w:pStyle w:val="Normlstilus1norml"/>
        <w:tabs>
          <w:tab w:val="left" w:pos="9781"/>
        </w:tabs>
        <w:ind w:right="-144"/>
        <w:rPr>
          <w:strike/>
          <w:color w:val="auto"/>
          <w:sz w:val="22"/>
          <w:szCs w:val="22"/>
        </w:rPr>
      </w:pPr>
      <w:r w:rsidRPr="000250FA">
        <w:rPr>
          <w:b/>
          <w:bCs/>
          <w:color w:val="auto"/>
          <w:sz w:val="22"/>
          <w:szCs w:val="22"/>
        </w:rPr>
        <w:t xml:space="preserve">45. </w:t>
      </w:r>
      <w:r w:rsidRPr="000250FA">
        <w:rPr>
          <w:b/>
          <w:bCs/>
          <w:color w:val="auto"/>
          <w:sz w:val="22"/>
          <w:szCs w:val="22"/>
        </w:rPr>
        <w:sym w:font="Times New Roman" w:char="00A7"/>
      </w:r>
      <w:r w:rsidRPr="000250FA">
        <w:rPr>
          <w:color w:val="auto"/>
          <w:sz w:val="22"/>
          <w:szCs w:val="22"/>
        </w:rPr>
        <w:t xml:space="preserve"> </w:t>
      </w:r>
    </w:p>
    <w:p w14:paraId="3D9F2C1F"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 xml:space="preserve">46. </w:t>
      </w:r>
      <w:r w:rsidRPr="000250FA">
        <w:rPr>
          <w:b/>
          <w:bCs/>
          <w:color w:val="auto"/>
          <w:sz w:val="22"/>
          <w:szCs w:val="22"/>
        </w:rPr>
        <w:sym w:font="Times New Roman" w:char="00A7"/>
      </w:r>
      <w:r w:rsidRPr="000250FA">
        <w:rPr>
          <w:color w:val="auto"/>
          <w:sz w:val="22"/>
          <w:szCs w:val="22"/>
        </w:rPr>
        <w:t xml:space="preserve"> </w:t>
      </w:r>
    </w:p>
    <w:p w14:paraId="1E6C6453" w14:textId="77777777" w:rsidR="00893D5B" w:rsidRPr="000250FA" w:rsidRDefault="00893D5B" w:rsidP="00893D5B">
      <w:pPr>
        <w:pStyle w:val="Normlstilus1norml"/>
        <w:tabs>
          <w:tab w:val="left" w:pos="9781"/>
        </w:tabs>
        <w:ind w:right="-144"/>
        <w:rPr>
          <w:color w:val="auto"/>
          <w:sz w:val="22"/>
          <w:szCs w:val="22"/>
        </w:rPr>
      </w:pPr>
    </w:p>
    <w:p w14:paraId="3F518D6F" w14:textId="77777777" w:rsidR="00893D5B" w:rsidRPr="000250FA" w:rsidRDefault="00893D5B" w:rsidP="00893D5B">
      <w:pPr>
        <w:tabs>
          <w:tab w:val="left" w:pos="9781"/>
        </w:tabs>
        <w:ind w:right="-144"/>
        <w:jc w:val="both"/>
        <w:rPr>
          <w:sz w:val="22"/>
          <w:szCs w:val="22"/>
        </w:rPr>
      </w:pPr>
      <w:r w:rsidRPr="000250FA">
        <w:rPr>
          <w:b/>
          <w:sz w:val="22"/>
          <w:szCs w:val="22"/>
        </w:rPr>
        <w:t>47. §</w:t>
      </w:r>
      <w:r w:rsidRPr="000250FA">
        <w:rPr>
          <w:sz w:val="22"/>
          <w:szCs w:val="22"/>
        </w:rPr>
        <w:t xml:space="preserve"> (1) A kár bekövetkezését az észlelést követően haladéktalanul be kell jelenteni a szervezeti egység vezetőjének.</w:t>
      </w:r>
    </w:p>
    <w:p w14:paraId="36ABA787" w14:textId="77777777" w:rsidR="00893D5B" w:rsidRPr="000250FA" w:rsidRDefault="00893D5B" w:rsidP="0037430A">
      <w:pPr>
        <w:tabs>
          <w:tab w:val="left" w:pos="9781"/>
        </w:tabs>
        <w:ind w:right="-144"/>
        <w:jc w:val="both"/>
        <w:rPr>
          <w:sz w:val="22"/>
          <w:szCs w:val="22"/>
        </w:rPr>
      </w:pPr>
    </w:p>
    <w:p w14:paraId="7246B577" w14:textId="5D4C8AB9" w:rsidR="00893D5B" w:rsidRPr="000250FA" w:rsidRDefault="00893D5B" w:rsidP="00893D5B">
      <w:pPr>
        <w:tabs>
          <w:tab w:val="left" w:pos="9781"/>
        </w:tabs>
        <w:ind w:left="357" w:right="-144"/>
        <w:jc w:val="both"/>
        <w:rPr>
          <w:sz w:val="22"/>
          <w:szCs w:val="22"/>
        </w:rPr>
      </w:pPr>
      <w:r w:rsidRPr="000250FA">
        <w:rPr>
          <w:sz w:val="22"/>
          <w:szCs w:val="22"/>
        </w:rPr>
        <w:t>(2)</w:t>
      </w:r>
      <w:r w:rsidRPr="0037430A">
        <w:rPr>
          <w:sz w:val="22"/>
          <w:szCs w:val="22"/>
          <w:vertAlign w:val="superscript"/>
        </w:rPr>
        <w:footnoteReference w:id="206"/>
      </w:r>
      <w:r w:rsidR="00BD6AF1">
        <w:rPr>
          <w:rStyle w:val="Lbjegyzet-hivatkozs"/>
          <w:sz w:val="22"/>
          <w:szCs w:val="22"/>
        </w:rPr>
        <w:footnoteReference w:id="207"/>
      </w:r>
      <w:r w:rsidRPr="000250FA">
        <w:rPr>
          <w:sz w:val="22"/>
          <w:szCs w:val="22"/>
        </w:rPr>
        <w:t>A szervezeti egység vezetője köteles:</w:t>
      </w:r>
    </w:p>
    <w:p w14:paraId="1DAC84C1" w14:textId="77777777" w:rsidR="00893D5B" w:rsidRPr="000250FA" w:rsidRDefault="00893D5B" w:rsidP="00893D5B">
      <w:pPr>
        <w:tabs>
          <w:tab w:val="left" w:pos="9781"/>
        </w:tabs>
        <w:ind w:left="561" w:right="-144"/>
        <w:jc w:val="both"/>
        <w:rPr>
          <w:sz w:val="22"/>
          <w:szCs w:val="22"/>
        </w:rPr>
      </w:pPr>
    </w:p>
    <w:p w14:paraId="7E6D9097" w14:textId="1B1961C8" w:rsidR="00893D5B" w:rsidRPr="000250FA" w:rsidRDefault="00893D5B" w:rsidP="00912564">
      <w:pPr>
        <w:numPr>
          <w:ilvl w:val="0"/>
          <w:numId w:val="55"/>
        </w:numPr>
        <w:jc w:val="both"/>
        <w:rPr>
          <w:sz w:val="22"/>
          <w:szCs w:val="22"/>
        </w:rPr>
      </w:pPr>
      <w:r w:rsidRPr="000250FA">
        <w:rPr>
          <w:sz w:val="22"/>
          <w:szCs w:val="22"/>
          <w:vertAlign w:val="superscript"/>
        </w:rPr>
        <w:footnoteReference w:id="208"/>
      </w:r>
      <w:r w:rsidRPr="000250FA">
        <w:rPr>
          <w:sz w:val="22"/>
          <w:szCs w:val="22"/>
          <w:vertAlign w:val="superscript"/>
        </w:rPr>
        <w:t xml:space="preserve"> </w:t>
      </w:r>
      <w:r w:rsidRPr="000250FA">
        <w:rPr>
          <w:sz w:val="22"/>
          <w:szCs w:val="22"/>
        </w:rPr>
        <w:t>bűncselekmény gyanúja esetén a Kancellária Jogi Főosztályát</w:t>
      </w:r>
      <w:r w:rsidRPr="000250FA">
        <w:rPr>
          <w:b/>
          <w:i/>
          <w:sz w:val="22"/>
          <w:szCs w:val="22"/>
        </w:rPr>
        <w:t xml:space="preserve"> </w:t>
      </w:r>
      <w:r w:rsidRPr="000250FA">
        <w:rPr>
          <w:sz w:val="22"/>
          <w:szCs w:val="22"/>
        </w:rPr>
        <w:t>és a</w:t>
      </w:r>
      <w:r w:rsidR="00154DF0">
        <w:rPr>
          <w:sz w:val="22"/>
          <w:szCs w:val="22"/>
        </w:rPr>
        <w:t>z</w:t>
      </w:r>
      <w:r w:rsidRPr="000250FA">
        <w:rPr>
          <w:sz w:val="22"/>
          <w:szCs w:val="22"/>
        </w:rPr>
        <w:t xml:space="preserve"> </w:t>
      </w:r>
      <w:r w:rsidR="00154DF0" w:rsidRPr="0078578F">
        <w:rPr>
          <w:bCs/>
          <w:iCs/>
          <w:sz w:val="22"/>
          <w:szCs w:val="22"/>
        </w:rPr>
        <w:t>Üzemeltetési és Beszerzési</w:t>
      </w:r>
      <w:r w:rsidR="00154DF0" w:rsidRPr="0078578F">
        <w:rPr>
          <w:sz w:val="22"/>
          <w:szCs w:val="22"/>
        </w:rPr>
        <w:t xml:space="preserve"> </w:t>
      </w:r>
      <w:r w:rsidRPr="000250FA">
        <w:rPr>
          <w:sz w:val="22"/>
          <w:szCs w:val="22"/>
        </w:rPr>
        <w:t xml:space="preserve">Igazgatóságot </w:t>
      </w:r>
    </w:p>
    <w:p w14:paraId="4C50DEB3" w14:textId="77777777" w:rsidR="00893D5B" w:rsidRPr="000250FA" w:rsidRDefault="00893D5B" w:rsidP="00912564">
      <w:pPr>
        <w:numPr>
          <w:ilvl w:val="0"/>
          <w:numId w:val="55"/>
        </w:numPr>
        <w:jc w:val="both"/>
        <w:rPr>
          <w:sz w:val="22"/>
          <w:szCs w:val="22"/>
        </w:rPr>
      </w:pPr>
      <w:r w:rsidRPr="000250FA">
        <w:rPr>
          <w:sz w:val="22"/>
          <w:szCs w:val="22"/>
        </w:rPr>
        <w:t>leltárhiány, illetve visszaszolgáltatási, megőrzési, elszámolási kötelezettség megszegése esetén a Kancelláriát értesíteni,</w:t>
      </w:r>
    </w:p>
    <w:p w14:paraId="557C5DF4" w14:textId="77777777" w:rsidR="00893D5B" w:rsidRPr="000250FA" w:rsidRDefault="00893D5B" w:rsidP="00912564">
      <w:pPr>
        <w:numPr>
          <w:ilvl w:val="0"/>
          <w:numId w:val="55"/>
        </w:numPr>
        <w:jc w:val="both"/>
        <w:rPr>
          <w:sz w:val="22"/>
          <w:szCs w:val="22"/>
        </w:rPr>
      </w:pPr>
      <w:r w:rsidRPr="000250FA">
        <w:rPr>
          <w:sz w:val="22"/>
          <w:szCs w:val="22"/>
        </w:rPr>
        <w:t>a kár enyhítésére, további károk megakadályozására szükséges intézkedéseket haladéktalanul megtenni,</w:t>
      </w:r>
    </w:p>
    <w:p w14:paraId="1F2D4D2F" w14:textId="45281A0D" w:rsidR="00893D5B" w:rsidRPr="000250FA" w:rsidRDefault="00893D5B" w:rsidP="00912564">
      <w:pPr>
        <w:numPr>
          <w:ilvl w:val="0"/>
          <w:numId w:val="55"/>
        </w:numPr>
        <w:jc w:val="both"/>
        <w:rPr>
          <w:sz w:val="22"/>
          <w:szCs w:val="22"/>
        </w:rPr>
      </w:pPr>
      <w:r w:rsidRPr="000250FA">
        <w:rPr>
          <w:sz w:val="22"/>
          <w:szCs w:val="22"/>
        </w:rPr>
        <w:t>a kártérítési felelősség megállapítását célzó vizsgálatot megkezdeni és a</w:t>
      </w:r>
      <w:r w:rsidR="0078578F">
        <w:rPr>
          <w:sz w:val="22"/>
          <w:szCs w:val="22"/>
        </w:rPr>
        <w:t>z</w:t>
      </w:r>
      <w:r w:rsidRPr="000250FA">
        <w:rPr>
          <w:sz w:val="22"/>
          <w:szCs w:val="22"/>
        </w:rPr>
        <w:t xml:space="preserve"> </w:t>
      </w:r>
      <w:r w:rsidR="00154DF0" w:rsidRPr="0078578F">
        <w:rPr>
          <w:bCs/>
          <w:iCs/>
          <w:sz w:val="22"/>
          <w:szCs w:val="22"/>
        </w:rPr>
        <w:t>Üzemeltetési és Beszerzési</w:t>
      </w:r>
      <w:r w:rsidR="00154DF0" w:rsidRPr="0078578F">
        <w:rPr>
          <w:sz w:val="22"/>
          <w:szCs w:val="22"/>
        </w:rPr>
        <w:t xml:space="preserve"> </w:t>
      </w:r>
      <w:r w:rsidRPr="000250FA">
        <w:rPr>
          <w:sz w:val="22"/>
          <w:szCs w:val="22"/>
        </w:rPr>
        <w:t>Igazgatóság bevonásával lefolytatni.</w:t>
      </w:r>
    </w:p>
    <w:p w14:paraId="27F6BB00" w14:textId="77777777" w:rsidR="00893D5B" w:rsidRPr="000250FA" w:rsidRDefault="00893D5B" w:rsidP="00893D5B">
      <w:pPr>
        <w:tabs>
          <w:tab w:val="left" w:pos="3969"/>
          <w:tab w:val="left" w:pos="4962"/>
          <w:tab w:val="left" w:pos="9781"/>
        </w:tabs>
        <w:ind w:right="-144"/>
        <w:jc w:val="both"/>
        <w:rPr>
          <w:sz w:val="22"/>
          <w:szCs w:val="22"/>
        </w:rPr>
      </w:pPr>
    </w:p>
    <w:p w14:paraId="3F70A7F2" w14:textId="77777777" w:rsidR="00893D5B" w:rsidRPr="000250FA" w:rsidRDefault="00893D5B" w:rsidP="00893D5B">
      <w:pPr>
        <w:tabs>
          <w:tab w:val="left" w:pos="9781"/>
        </w:tabs>
        <w:ind w:right="-144"/>
        <w:jc w:val="both"/>
        <w:rPr>
          <w:sz w:val="22"/>
          <w:szCs w:val="22"/>
        </w:rPr>
      </w:pPr>
      <w:r w:rsidRPr="000250FA">
        <w:rPr>
          <w:sz w:val="22"/>
          <w:szCs w:val="22"/>
        </w:rPr>
        <w:t>(3) Nem áll fenn az (1) bekezdésben és a (2) bekezdés a), illetve b) pontjaiban rögzített bejelentési, illetve intézkedési kötelezettség, ha a keletkezett kár olyan kismértékű, hogy az azzal kapcsolatos intézkedés a munkáltatónak aránytalan többletfeladatot jelentene. Amennyiben a károkozó személye ismert és a kárt az eljárás megindításáig megtéríti, gondatlan károkozás esetén a munkáltató a (2) bekezdés d) pontjában foglalt intézkedéstől eltekinthet.</w:t>
      </w:r>
    </w:p>
    <w:p w14:paraId="5FE7CA8D" w14:textId="77777777" w:rsidR="00893D5B" w:rsidRPr="000250FA" w:rsidRDefault="00893D5B" w:rsidP="00893D5B">
      <w:pPr>
        <w:tabs>
          <w:tab w:val="left" w:pos="1985"/>
          <w:tab w:val="left" w:pos="9781"/>
        </w:tabs>
        <w:ind w:right="-144"/>
        <w:jc w:val="both"/>
        <w:rPr>
          <w:sz w:val="22"/>
          <w:szCs w:val="22"/>
        </w:rPr>
      </w:pPr>
    </w:p>
    <w:p w14:paraId="5A5262AE" w14:textId="77777777" w:rsidR="00893D5B" w:rsidRPr="000250FA" w:rsidRDefault="00893D5B" w:rsidP="00893D5B">
      <w:pPr>
        <w:tabs>
          <w:tab w:val="left" w:pos="9781"/>
        </w:tabs>
        <w:ind w:right="-144"/>
        <w:jc w:val="both"/>
        <w:rPr>
          <w:sz w:val="22"/>
          <w:szCs w:val="22"/>
        </w:rPr>
      </w:pPr>
      <w:r w:rsidRPr="000250FA">
        <w:rPr>
          <w:sz w:val="22"/>
          <w:szCs w:val="22"/>
        </w:rPr>
        <w:t>(4) A kártérítési eljárás során alkalmazandó iratmintákat a HR Kézikönyv tartalmazza.</w:t>
      </w:r>
    </w:p>
    <w:p w14:paraId="25A096C9" w14:textId="77777777" w:rsidR="00893D5B" w:rsidRPr="000250FA" w:rsidRDefault="00893D5B" w:rsidP="00893D5B">
      <w:pPr>
        <w:tabs>
          <w:tab w:val="left" w:pos="1985"/>
          <w:tab w:val="left" w:pos="9781"/>
        </w:tabs>
        <w:ind w:right="-144"/>
        <w:rPr>
          <w:b/>
          <w:sz w:val="22"/>
          <w:szCs w:val="22"/>
        </w:rPr>
      </w:pPr>
    </w:p>
    <w:p w14:paraId="1CC5743D" w14:textId="77777777" w:rsidR="00893D5B" w:rsidRPr="000250FA" w:rsidRDefault="00893D5B" w:rsidP="00893D5B">
      <w:pPr>
        <w:pStyle w:val="Cmsor4"/>
      </w:pPr>
      <w:bookmarkStart w:id="139" w:name="_Toc432753555"/>
      <w:r w:rsidRPr="000250FA">
        <w:t>Együttes közalkalmazotti felelősségre vonás és kártérítési eljárás</w:t>
      </w:r>
      <w:bookmarkEnd w:id="139"/>
    </w:p>
    <w:p w14:paraId="5E090C1E" w14:textId="77777777" w:rsidR="00893D5B" w:rsidRPr="000250FA" w:rsidRDefault="00893D5B" w:rsidP="00893D5B">
      <w:pPr>
        <w:tabs>
          <w:tab w:val="left" w:pos="9781"/>
        </w:tabs>
        <w:ind w:left="357" w:right="-144"/>
        <w:jc w:val="both"/>
        <w:rPr>
          <w:sz w:val="22"/>
          <w:szCs w:val="22"/>
        </w:rPr>
      </w:pPr>
    </w:p>
    <w:p w14:paraId="1C22D170" w14:textId="77777777" w:rsidR="00893D5B" w:rsidRPr="000250FA" w:rsidRDefault="00893D5B" w:rsidP="00893D5B">
      <w:pPr>
        <w:tabs>
          <w:tab w:val="left" w:pos="9781"/>
        </w:tabs>
        <w:ind w:right="-144"/>
        <w:jc w:val="both"/>
        <w:rPr>
          <w:sz w:val="22"/>
          <w:szCs w:val="22"/>
        </w:rPr>
      </w:pPr>
      <w:r w:rsidRPr="000250FA">
        <w:rPr>
          <w:b/>
          <w:sz w:val="22"/>
          <w:szCs w:val="22"/>
        </w:rPr>
        <w:t>48. §</w:t>
      </w:r>
      <w:r w:rsidRPr="000250FA">
        <w:rPr>
          <w:rStyle w:val="Lbjegyzet-hivatkozs"/>
          <w:b/>
          <w:sz w:val="22"/>
          <w:szCs w:val="22"/>
        </w:rPr>
        <w:footnoteReference w:id="209"/>
      </w:r>
      <w:r w:rsidRPr="000250FA">
        <w:rPr>
          <w:sz w:val="22"/>
          <w:szCs w:val="22"/>
        </w:rPr>
        <w:t xml:space="preserve"> (1) A közalkalmazottak fegyelmi és kártérítési felelőssége egymás mellett és egymástól függetlenül érvényesül.</w:t>
      </w:r>
    </w:p>
    <w:p w14:paraId="7EC976CC" w14:textId="77777777" w:rsidR="00893D5B" w:rsidRPr="000250FA" w:rsidRDefault="00893D5B" w:rsidP="00893D5B">
      <w:pPr>
        <w:tabs>
          <w:tab w:val="left" w:pos="9781"/>
        </w:tabs>
        <w:ind w:left="357" w:right="-144"/>
        <w:jc w:val="both"/>
        <w:rPr>
          <w:sz w:val="22"/>
          <w:szCs w:val="22"/>
        </w:rPr>
      </w:pPr>
    </w:p>
    <w:p w14:paraId="11DF6A65" w14:textId="77777777" w:rsidR="00893D5B" w:rsidRPr="000250FA" w:rsidRDefault="00893D5B" w:rsidP="00893D5B">
      <w:pPr>
        <w:tabs>
          <w:tab w:val="left" w:pos="9781"/>
        </w:tabs>
        <w:ind w:right="-144"/>
        <w:jc w:val="both"/>
        <w:rPr>
          <w:sz w:val="22"/>
          <w:szCs w:val="22"/>
        </w:rPr>
      </w:pPr>
      <w:r w:rsidRPr="000250FA">
        <w:rPr>
          <w:sz w:val="22"/>
          <w:szCs w:val="22"/>
        </w:rPr>
        <w:lastRenderedPageBreak/>
        <w:t>(2) Ha a közalkalmazott a közalkalmazotti jogviszonyából eredő lényeges kötelezettségének vétkes megszegésével az Egyetemnek kárt is okozott, a közalkalmazotti felelősségre vonás és a kártérítési eljárás együttesen is lefolytatható.</w:t>
      </w:r>
    </w:p>
    <w:p w14:paraId="430168F4" w14:textId="77777777" w:rsidR="00893D5B" w:rsidRPr="000250FA" w:rsidRDefault="00893D5B" w:rsidP="00893D5B">
      <w:pPr>
        <w:tabs>
          <w:tab w:val="left" w:pos="9781"/>
        </w:tabs>
        <w:ind w:left="357" w:right="-144"/>
        <w:jc w:val="both"/>
        <w:rPr>
          <w:sz w:val="22"/>
          <w:szCs w:val="22"/>
        </w:rPr>
      </w:pPr>
    </w:p>
    <w:p w14:paraId="28241E53" w14:textId="77777777" w:rsidR="00893D5B" w:rsidRPr="000250FA" w:rsidRDefault="00893D5B" w:rsidP="00893D5B">
      <w:pPr>
        <w:tabs>
          <w:tab w:val="left" w:pos="9781"/>
        </w:tabs>
        <w:ind w:right="-144"/>
        <w:jc w:val="both"/>
        <w:rPr>
          <w:sz w:val="22"/>
          <w:szCs w:val="22"/>
        </w:rPr>
      </w:pPr>
      <w:r w:rsidRPr="000250FA">
        <w:rPr>
          <w:sz w:val="22"/>
          <w:szCs w:val="22"/>
        </w:rPr>
        <w:t>(3) Az együttes közalkalmazotti felelősségre vonás és kártérítési eljárás lefolytatására a közalkalmazotti felelősségre vonás szabályait kell értelemszerűen alkalmazni.</w:t>
      </w:r>
    </w:p>
    <w:p w14:paraId="0CAC2D26" w14:textId="77777777" w:rsidR="00893D5B" w:rsidRPr="000250FA" w:rsidRDefault="00893D5B" w:rsidP="00893D5B">
      <w:pPr>
        <w:tabs>
          <w:tab w:val="left" w:pos="9781"/>
        </w:tabs>
        <w:ind w:right="-144"/>
        <w:jc w:val="both"/>
        <w:rPr>
          <w:b/>
          <w:strike/>
          <w:sz w:val="22"/>
          <w:szCs w:val="22"/>
        </w:rPr>
      </w:pPr>
    </w:p>
    <w:p w14:paraId="444CB9DC" w14:textId="77777777" w:rsidR="00893D5B" w:rsidRPr="000250FA" w:rsidRDefault="00893D5B" w:rsidP="00893D5B">
      <w:pPr>
        <w:pStyle w:val="Cmsor3"/>
      </w:pPr>
      <w:bookmarkStart w:id="140" w:name="_Toc432753556"/>
      <w:bookmarkStart w:id="141" w:name="_Toc444603554"/>
      <w:bookmarkStart w:id="142" w:name="_Toc445200814"/>
      <w:bookmarkStart w:id="143" w:name="_Toc58569536"/>
      <w:r>
        <w:t>V. f</w:t>
      </w:r>
      <w:r w:rsidRPr="000250FA">
        <w:t>ejezet- A tanulmányi szerződés és a továbbképzés</w:t>
      </w:r>
      <w:bookmarkEnd w:id="140"/>
      <w:bookmarkEnd w:id="141"/>
      <w:bookmarkEnd w:id="142"/>
      <w:bookmarkEnd w:id="143"/>
    </w:p>
    <w:p w14:paraId="4E830975" w14:textId="77777777" w:rsidR="00893D5B" w:rsidRPr="000250FA" w:rsidRDefault="00893D5B" w:rsidP="00893D5B">
      <w:pPr>
        <w:pStyle w:val="Normlstilus1norml"/>
        <w:tabs>
          <w:tab w:val="left" w:pos="9781"/>
        </w:tabs>
        <w:ind w:right="-144"/>
        <w:jc w:val="center"/>
        <w:rPr>
          <w:b/>
          <w:bCs/>
          <w:color w:val="auto"/>
          <w:sz w:val="22"/>
          <w:szCs w:val="22"/>
        </w:rPr>
      </w:pPr>
    </w:p>
    <w:p w14:paraId="140EB3DC" w14:textId="77777777" w:rsidR="00893D5B" w:rsidRPr="000250FA" w:rsidRDefault="00893D5B" w:rsidP="00893D5B">
      <w:pPr>
        <w:pStyle w:val="Cmsor4"/>
      </w:pPr>
      <w:bookmarkStart w:id="144" w:name="_Toc432753557"/>
      <w:r w:rsidRPr="000250FA">
        <w:t>A tanulmányi szerződés</w:t>
      </w:r>
      <w:bookmarkEnd w:id="144"/>
    </w:p>
    <w:p w14:paraId="1316B70C" w14:textId="77777777" w:rsidR="00893D5B" w:rsidRPr="000250FA" w:rsidRDefault="00893D5B" w:rsidP="00893D5B">
      <w:pPr>
        <w:pStyle w:val="Normlstilus1norml"/>
        <w:tabs>
          <w:tab w:val="left" w:pos="9781"/>
        </w:tabs>
        <w:ind w:right="-144"/>
        <w:jc w:val="center"/>
        <w:rPr>
          <w:b/>
          <w:bCs/>
          <w:color w:val="auto"/>
          <w:sz w:val="22"/>
          <w:szCs w:val="22"/>
        </w:rPr>
      </w:pPr>
    </w:p>
    <w:p w14:paraId="6978FCB5"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49. §</w:t>
      </w:r>
      <w:r w:rsidRPr="0037430A">
        <w:rPr>
          <w:rStyle w:val="Lbjegyzet-hivatkozs"/>
          <w:bCs/>
          <w:color w:val="auto"/>
          <w:sz w:val="22"/>
          <w:szCs w:val="22"/>
        </w:rPr>
        <w:footnoteReference w:id="210"/>
      </w:r>
      <w:r w:rsidRPr="0037430A">
        <w:rPr>
          <w:bCs/>
          <w:color w:val="auto"/>
          <w:sz w:val="22"/>
          <w:szCs w:val="22"/>
        </w:rPr>
        <w:t xml:space="preserve"> </w:t>
      </w:r>
      <w:r w:rsidRPr="0037430A">
        <w:rPr>
          <w:rStyle w:val="Lbjegyzet-hivatkozs"/>
          <w:bCs/>
          <w:color w:val="auto"/>
          <w:sz w:val="22"/>
          <w:szCs w:val="22"/>
        </w:rPr>
        <w:footnoteReference w:id="211"/>
      </w:r>
      <w:r w:rsidRPr="0037430A">
        <w:rPr>
          <w:color w:val="auto"/>
          <w:sz w:val="22"/>
          <w:szCs w:val="22"/>
        </w:rPr>
        <w:t xml:space="preserve"> </w:t>
      </w:r>
      <w:r w:rsidRPr="000250FA">
        <w:rPr>
          <w:color w:val="auto"/>
          <w:sz w:val="22"/>
          <w:szCs w:val="22"/>
        </w:rPr>
        <w:t>(1) A tanulmányi szerződésben az Egyetem arra vállal kötelezettséget, hogy a tanulmányok alatt támogatja a közalkalmazottat, a közalkalmazott pedig kötelezi magát, hogy a megállapodás szerinti tanulmányokat folytatja, illetőleg a képzettség megszerzése után a támogatás mértékével arányos időn - de legfeljebb öt éven - keresztül közalkalmazotti jogviszonyát nem szünteti meg.</w:t>
      </w:r>
      <w:r w:rsidRPr="000250FA">
        <w:rPr>
          <w:b/>
          <w:i/>
          <w:color w:val="auto"/>
          <w:sz w:val="22"/>
          <w:szCs w:val="22"/>
        </w:rPr>
        <w:t xml:space="preserve"> </w:t>
      </w:r>
      <w:r w:rsidRPr="000250FA">
        <w:rPr>
          <w:color w:val="auto"/>
          <w:sz w:val="22"/>
          <w:szCs w:val="22"/>
        </w:rPr>
        <w:t>A tanulmányi szerződés kérelem mintáját a HR Kézikönyv tartalmazza.</w:t>
      </w:r>
    </w:p>
    <w:p w14:paraId="6183922E" w14:textId="77777777" w:rsidR="00893D5B" w:rsidRPr="000250FA" w:rsidRDefault="00893D5B" w:rsidP="00893D5B">
      <w:pPr>
        <w:pStyle w:val="Normlstilus1norml"/>
        <w:tabs>
          <w:tab w:val="left" w:pos="9781"/>
        </w:tabs>
        <w:ind w:right="-144"/>
        <w:rPr>
          <w:color w:val="auto"/>
          <w:sz w:val="22"/>
          <w:szCs w:val="22"/>
        </w:rPr>
      </w:pPr>
    </w:p>
    <w:p w14:paraId="0F8BD42B"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w:t>
      </w:r>
      <w:r w:rsidRPr="000250FA">
        <w:rPr>
          <w:rStyle w:val="Lbjegyzet-hivatkozs"/>
          <w:color w:val="auto"/>
          <w:sz w:val="22"/>
          <w:szCs w:val="22"/>
        </w:rPr>
        <w:footnoteReference w:id="212"/>
      </w:r>
      <w:r w:rsidRPr="000250FA">
        <w:rPr>
          <w:color w:val="auto"/>
          <w:sz w:val="22"/>
          <w:szCs w:val="22"/>
        </w:rPr>
        <w:t xml:space="preserve"> Tanulmányi szerződés azzal a közalkalmazottal köthető, aki vállalja, hogy tanulmányainak befejezését követően legfeljebb tanulmányainak időtartamával arányos időtartamban közalkalmazotti jogviszonyát fenntartja.</w:t>
      </w:r>
    </w:p>
    <w:p w14:paraId="025726DA" w14:textId="77777777" w:rsidR="00893D5B" w:rsidRPr="000250FA" w:rsidRDefault="00893D5B" w:rsidP="00893D5B">
      <w:pPr>
        <w:pStyle w:val="Normlstilus1norml"/>
        <w:tabs>
          <w:tab w:val="left" w:pos="9781"/>
        </w:tabs>
        <w:ind w:right="-144"/>
        <w:rPr>
          <w:color w:val="auto"/>
          <w:sz w:val="22"/>
          <w:szCs w:val="22"/>
        </w:rPr>
      </w:pPr>
    </w:p>
    <w:p w14:paraId="647A39A2"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Nem köthető tanulmányi szerződés:</w:t>
      </w:r>
    </w:p>
    <w:p w14:paraId="4001DDC9" w14:textId="77777777" w:rsidR="00893D5B" w:rsidRPr="000250FA" w:rsidRDefault="00893D5B" w:rsidP="00893D5B">
      <w:pPr>
        <w:pStyle w:val="Normlstilus1norml"/>
        <w:tabs>
          <w:tab w:val="left" w:pos="9781"/>
        </w:tabs>
        <w:ind w:left="561" w:right="-144"/>
        <w:rPr>
          <w:color w:val="auto"/>
          <w:sz w:val="22"/>
          <w:szCs w:val="22"/>
        </w:rPr>
      </w:pPr>
    </w:p>
    <w:p w14:paraId="22A64203" w14:textId="77777777" w:rsidR="00893D5B" w:rsidRPr="000250FA" w:rsidRDefault="00893D5B" w:rsidP="00912564">
      <w:pPr>
        <w:numPr>
          <w:ilvl w:val="0"/>
          <w:numId w:val="56"/>
        </w:numPr>
        <w:jc w:val="both"/>
        <w:rPr>
          <w:sz w:val="22"/>
          <w:szCs w:val="22"/>
        </w:rPr>
      </w:pPr>
      <w:r w:rsidRPr="000250FA">
        <w:rPr>
          <w:sz w:val="22"/>
          <w:szCs w:val="22"/>
        </w:rPr>
        <w:t>a közalkalmazotti jogviszonyra vonatkozó szabály alapján járó kedvezmények biztosítására,</w:t>
      </w:r>
    </w:p>
    <w:p w14:paraId="5F3F2655" w14:textId="77777777" w:rsidR="00893D5B" w:rsidRPr="000250FA" w:rsidRDefault="00893D5B" w:rsidP="00912564">
      <w:pPr>
        <w:numPr>
          <w:ilvl w:val="0"/>
          <w:numId w:val="56"/>
        </w:numPr>
        <w:jc w:val="both"/>
        <w:rPr>
          <w:sz w:val="22"/>
          <w:szCs w:val="22"/>
        </w:rPr>
      </w:pPr>
      <w:r w:rsidRPr="000250FA">
        <w:rPr>
          <w:sz w:val="22"/>
          <w:szCs w:val="22"/>
        </w:rPr>
        <w:t xml:space="preserve">ha a tanulmányok elvégzésére az </w:t>
      </w:r>
      <w:proofErr w:type="gramStart"/>
      <w:r w:rsidRPr="000250FA">
        <w:rPr>
          <w:sz w:val="22"/>
          <w:szCs w:val="22"/>
        </w:rPr>
        <w:t>Egyetem írásban</w:t>
      </w:r>
      <w:proofErr w:type="gramEnd"/>
      <w:r w:rsidRPr="000250FA">
        <w:rPr>
          <w:sz w:val="22"/>
          <w:szCs w:val="22"/>
        </w:rPr>
        <w:t xml:space="preserve"> kötelezte a közalkalmazottat,</w:t>
      </w:r>
    </w:p>
    <w:p w14:paraId="14AE8264" w14:textId="77777777" w:rsidR="00893D5B" w:rsidRPr="000250FA" w:rsidRDefault="00893D5B" w:rsidP="00912564">
      <w:pPr>
        <w:numPr>
          <w:ilvl w:val="0"/>
          <w:numId w:val="56"/>
        </w:numPr>
        <w:jc w:val="both"/>
      </w:pPr>
      <w:r w:rsidRPr="000250FA">
        <w:rPr>
          <w:sz w:val="22"/>
          <w:szCs w:val="22"/>
        </w:rPr>
        <w:t>ha a végzettség megszerzése a munkáltató tevékenységéhez, a munkaköre magasabb színvonalú ellátásához nem szükségszerű és nem indokolt, illetőleg nem vehető figyelembe</w:t>
      </w:r>
      <w:r w:rsidRPr="000250FA">
        <w:t>.</w:t>
      </w:r>
    </w:p>
    <w:p w14:paraId="05CD054E" w14:textId="77777777" w:rsidR="00893D5B" w:rsidRPr="000250FA" w:rsidRDefault="00893D5B" w:rsidP="00893D5B">
      <w:pPr>
        <w:pStyle w:val="Normlstilus1norml"/>
        <w:tabs>
          <w:tab w:val="left" w:pos="9781"/>
        </w:tabs>
        <w:ind w:right="-144"/>
        <w:rPr>
          <w:color w:val="auto"/>
          <w:sz w:val="22"/>
          <w:szCs w:val="22"/>
        </w:rPr>
      </w:pPr>
    </w:p>
    <w:p w14:paraId="2551460C"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 A tanulmányi szerződést írásba kell foglalni. A megállapodásnak tartalmaznia kell</w:t>
      </w:r>
    </w:p>
    <w:p w14:paraId="39F9037D" w14:textId="77777777" w:rsidR="00893D5B" w:rsidRPr="000250FA" w:rsidRDefault="00893D5B" w:rsidP="00893D5B">
      <w:pPr>
        <w:pStyle w:val="Normlstilus1norml"/>
        <w:tabs>
          <w:tab w:val="left" w:pos="9781"/>
        </w:tabs>
        <w:ind w:left="561" w:right="-144"/>
        <w:rPr>
          <w:color w:val="auto"/>
          <w:sz w:val="22"/>
          <w:szCs w:val="22"/>
        </w:rPr>
      </w:pPr>
    </w:p>
    <w:p w14:paraId="2107B70B" w14:textId="77777777" w:rsidR="00893D5B" w:rsidRPr="000250FA" w:rsidRDefault="00893D5B" w:rsidP="00912564">
      <w:pPr>
        <w:numPr>
          <w:ilvl w:val="0"/>
          <w:numId w:val="57"/>
        </w:numPr>
        <w:jc w:val="both"/>
        <w:rPr>
          <w:sz w:val="22"/>
          <w:szCs w:val="22"/>
        </w:rPr>
      </w:pPr>
      <w:r w:rsidRPr="000250FA">
        <w:rPr>
          <w:sz w:val="22"/>
          <w:szCs w:val="22"/>
        </w:rPr>
        <w:t>az Egyetemet terhelő támogatás formáját, összegét és százalékban kifejezett mértékét,</w:t>
      </w:r>
    </w:p>
    <w:p w14:paraId="4005D24D" w14:textId="77777777" w:rsidR="00893D5B" w:rsidRPr="000250FA" w:rsidRDefault="00893D5B" w:rsidP="00912564">
      <w:pPr>
        <w:numPr>
          <w:ilvl w:val="0"/>
          <w:numId w:val="57"/>
        </w:numPr>
        <w:jc w:val="both"/>
        <w:rPr>
          <w:sz w:val="22"/>
          <w:szCs w:val="22"/>
        </w:rPr>
      </w:pPr>
      <w:r w:rsidRPr="000250FA">
        <w:rPr>
          <w:sz w:val="22"/>
          <w:szCs w:val="22"/>
        </w:rPr>
        <w:t>a közalkalmazott által a tanulmányok befejezését követően közalkalmazotti jogviszonyban töltendő időt, amely öt évnél hosszabb nem lehet,</w:t>
      </w:r>
    </w:p>
    <w:p w14:paraId="3A619B61" w14:textId="77777777" w:rsidR="00893D5B" w:rsidRPr="000250FA" w:rsidRDefault="00893D5B" w:rsidP="00912564">
      <w:pPr>
        <w:numPr>
          <w:ilvl w:val="0"/>
          <w:numId w:val="57"/>
        </w:numPr>
        <w:jc w:val="both"/>
        <w:rPr>
          <w:sz w:val="22"/>
          <w:szCs w:val="22"/>
        </w:rPr>
      </w:pPr>
      <w:r w:rsidRPr="000250FA">
        <w:rPr>
          <w:sz w:val="22"/>
          <w:szCs w:val="22"/>
        </w:rPr>
        <w:t>a (7) bekezdésben meghatározott szabadidőre járó díjazást (fizetett tanulmányi szabadság).</w:t>
      </w:r>
    </w:p>
    <w:p w14:paraId="4D92B60C" w14:textId="77777777" w:rsidR="00893D5B" w:rsidRPr="000250FA" w:rsidRDefault="00893D5B" w:rsidP="00893D5B">
      <w:pPr>
        <w:pStyle w:val="Normlstilus1norml"/>
        <w:tabs>
          <w:tab w:val="left" w:pos="9781"/>
        </w:tabs>
        <w:ind w:right="-144"/>
        <w:rPr>
          <w:color w:val="auto"/>
          <w:sz w:val="22"/>
          <w:szCs w:val="22"/>
        </w:rPr>
      </w:pPr>
    </w:p>
    <w:p w14:paraId="105ED416"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(5) Az Egyetem kizárólag az alábbi támogatásokat nyújthatja rendszeresen vagy eseti jelleggel:</w:t>
      </w:r>
    </w:p>
    <w:p w14:paraId="20FB0EC9" w14:textId="77777777" w:rsidR="00893D5B" w:rsidRPr="000250FA" w:rsidRDefault="00893D5B" w:rsidP="00893D5B">
      <w:pPr>
        <w:pStyle w:val="Normlstilus1norml"/>
        <w:tabs>
          <w:tab w:val="left" w:pos="9781"/>
        </w:tabs>
        <w:ind w:left="561" w:right="-144"/>
        <w:rPr>
          <w:color w:val="auto"/>
          <w:sz w:val="22"/>
          <w:szCs w:val="22"/>
        </w:rPr>
      </w:pPr>
    </w:p>
    <w:p w14:paraId="5A72F0BC" w14:textId="77777777" w:rsidR="00893D5B" w:rsidRPr="000250FA" w:rsidRDefault="00893D5B" w:rsidP="00912564">
      <w:pPr>
        <w:numPr>
          <w:ilvl w:val="0"/>
          <w:numId w:val="58"/>
        </w:numPr>
        <w:jc w:val="both"/>
        <w:rPr>
          <w:sz w:val="22"/>
          <w:szCs w:val="22"/>
        </w:rPr>
      </w:pPr>
      <w:r w:rsidRPr="000250FA">
        <w:rPr>
          <w:sz w:val="22"/>
          <w:szCs w:val="22"/>
        </w:rPr>
        <w:t>költségtérítés (utazás, szállás költsége),</w:t>
      </w:r>
    </w:p>
    <w:p w14:paraId="068A5396" w14:textId="77777777" w:rsidR="00893D5B" w:rsidRPr="000250FA" w:rsidRDefault="00893D5B" w:rsidP="00912564">
      <w:pPr>
        <w:numPr>
          <w:ilvl w:val="0"/>
          <w:numId w:val="58"/>
        </w:numPr>
        <w:jc w:val="both"/>
        <w:rPr>
          <w:sz w:val="22"/>
          <w:szCs w:val="22"/>
        </w:rPr>
      </w:pPr>
      <w:r w:rsidRPr="000250FA">
        <w:rPr>
          <w:sz w:val="22"/>
          <w:szCs w:val="22"/>
        </w:rPr>
        <w:t>önköltség és költségtérítés, vizsgadíj.</w:t>
      </w:r>
    </w:p>
    <w:p w14:paraId="03B55B91" w14:textId="77777777" w:rsidR="00893D5B" w:rsidRPr="000250FA" w:rsidRDefault="00893D5B" w:rsidP="00893D5B">
      <w:pPr>
        <w:pStyle w:val="Normlstilus1norml"/>
        <w:tabs>
          <w:tab w:val="left" w:pos="9781"/>
        </w:tabs>
        <w:ind w:right="-144"/>
        <w:rPr>
          <w:color w:val="auto"/>
          <w:sz w:val="22"/>
          <w:szCs w:val="22"/>
        </w:rPr>
      </w:pPr>
    </w:p>
    <w:p w14:paraId="5F867462"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(6) A közalkalmazott kötelezettséget vállal:</w:t>
      </w:r>
    </w:p>
    <w:p w14:paraId="442BC1F9" w14:textId="77777777" w:rsidR="00893D5B" w:rsidRPr="000250FA" w:rsidRDefault="00893D5B" w:rsidP="00893D5B">
      <w:pPr>
        <w:pStyle w:val="Normlstilus1norml"/>
        <w:tabs>
          <w:tab w:val="left" w:pos="9781"/>
        </w:tabs>
        <w:ind w:left="748" w:right="-144"/>
        <w:rPr>
          <w:color w:val="auto"/>
          <w:sz w:val="22"/>
          <w:szCs w:val="22"/>
        </w:rPr>
      </w:pPr>
    </w:p>
    <w:p w14:paraId="5DBD3649" w14:textId="77777777" w:rsidR="00893D5B" w:rsidRPr="000250FA" w:rsidRDefault="00893D5B" w:rsidP="00912564">
      <w:pPr>
        <w:numPr>
          <w:ilvl w:val="0"/>
          <w:numId w:val="59"/>
        </w:numPr>
        <w:jc w:val="both"/>
        <w:rPr>
          <w:sz w:val="22"/>
          <w:szCs w:val="22"/>
        </w:rPr>
      </w:pPr>
      <w:r w:rsidRPr="000250FA">
        <w:rPr>
          <w:sz w:val="22"/>
          <w:szCs w:val="22"/>
        </w:rPr>
        <w:t>a tanulmányok eredményes folytatására, végzettség megszerzésére,</w:t>
      </w:r>
    </w:p>
    <w:p w14:paraId="3ED87DA3" w14:textId="77777777" w:rsidR="00893D5B" w:rsidRPr="000250FA" w:rsidRDefault="00893D5B" w:rsidP="00912564">
      <w:pPr>
        <w:numPr>
          <w:ilvl w:val="0"/>
          <w:numId w:val="59"/>
        </w:numPr>
        <w:jc w:val="both"/>
        <w:rPr>
          <w:sz w:val="22"/>
          <w:szCs w:val="22"/>
        </w:rPr>
      </w:pPr>
      <w:r w:rsidRPr="000250FA">
        <w:rPr>
          <w:sz w:val="22"/>
          <w:szCs w:val="22"/>
        </w:rPr>
        <w:t>vizsgák letételére,</w:t>
      </w:r>
    </w:p>
    <w:p w14:paraId="1258BE5E" w14:textId="77777777" w:rsidR="00893D5B" w:rsidRPr="000250FA" w:rsidRDefault="00893D5B" w:rsidP="00912564">
      <w:pPr>
        <w:numPr>
          <w:ilvl w:val="0"/>
          <w:numId w:val="59"/>
        </w:numPr>
        <w:jc w:val="both"/>
        <w:rPr>
          <w:sz w:val="22"/>
          <w:szCs w:val="22"/>
        </w:rPr>
      </w:pPr>
      <w:r w:rsidRPr="000250FA">
        <w:rPr>
          <w:sz w:val="22"/>
          <w:szCs w:val="22"/>
        </w:rPr>
        <w:t>képzettség megszerzését követően közalkalmazotti jogviszonyának fenntartására.</w:t>
      </w:r>
    </w:p>
    <w:p w14:paraId="718BE20E" w14:textId="77777777" w:rsidR="00893D5B" w:rsidRPr="000250FA" w:rsidRDefault="00893D5B" w:rsidP="00893D5B">
      <w:pPr>
        <w:pStyle w:val="Normlstilus1norml"/>
        <w:tabs>
          <w:tab w:val="left" w:pos="9781"/>
        </w:tabs>
        <w:ind w:right="-144"/>
        <w:rPr>
          <w:color w:val="auto"/>
          <w:sz w:val="22"/>
          <w:szCs w:val="22"/>
        </w:rPr>
      </w:pPr>
    </w:p>
    <w:p w14:paraId="1E6C1EFC"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(7)</w:t>
      </w:r>
      <w:r w:rsidRPr="000250FA">
        <w:rPr>
          <w:rStyle w:val="Lbjegyzet-hivatkozs"/>
          <w:color w:val="auto"/>
          <w:sz w:val="22"/>
          <w:szCs w:val="22"/>
        </w:rPr>
        <w:footnoteReference w:id="213"/>
      </w:r>
      <w:r w:rsidRPr="000250FA">
        <w:rPr>
          <w:color w:val="auto"/>
          <w:sz w:val="22"/>
          <w:szCs w:val="22"/>
        </w:rPr>
        <w:t xml:space="preserve"> Az Egyetem vállalja, hogy az iskolai rendszerű képzésben részt vevő közalkalmazott számára:</w:t>
      </w:r>
    </w:p>
    <w:p w14:paraId="34ED729A" w14:textId="77777777" w:rsidR="00893D5B" w:rsidRPr="000250FA" w:rsidRDefault="00893D5B" w:rsidP="00893D5B">
      <w:pPr>
        <w:pStyle w:val="Normlstilus1norml"/>
        <w:tabs>
          <w:tab w:val="left" w:pos="9781"/>
        </w:tabs>
        <w:ind w:left="561" w:right="-144"/>
        <w:rPr>
          <w:color w:val="auto"/>
          <w:sz w:val="22"/>
          <w:szCs w:val="22"/>
        </w:rPr>
      </w:pPr>
    </w:p>
    <w:p w14:paraId="14525B9C" w14:textId="77777777" w:rsidR="00893D5B" w:rsidRPr="000250FA" w:rsidRDefault="00893D5B" w:rsidP="00912564">
      <w:pPr>
        <w:numPr>
          <w:ilvl w:val="0"/>
          <w:numId w:val="60"/>
        </w:numPr>
        <w:jc w:val="both"/>
        <w:rPr>
          <w:sz w:val="22"/>
          <w:szCs w:val="22"/>
        </w:rPr>
      </w:pPr>
      <w:r w:rsidRPr="000250FA">
        <w:rPr>
          <w:sz w:val="22"/>
          <w:szCs w:val="22"/>
        </w:rPr>
        <w:lastRenderedPageBreak/>
        <w:t>a tanulmányok folytatásához szükséges szabadidőt megállapodásuk szerint biztosítja, az oktatási intézmény igazolása alapján.</w:t>
      </w:r>
    </w:p>
    <w:p w14:paraId="36912519" w14:textId="77777777" w:rsidR="00893D5B" w:rsidRPr="000250FA" w:rsidRDefault="00893D5B" w:rsidP="00912564">
      <w:pPr>
        <w:numPr>
          <w:ilvl w:val="0"/>
          <w:numId w:val="60"/>
        </w:numPr>
        <w:jc w:val="both"/>
        <w:rPr>
          <w:sz w:val="22"/>
          <w:szCs w:val="22"/>
        </w:rPr>
      </w:pPr>
      <w:r w:rsidRPr="000250FA">
        <w:rPr>
          <w:sz w:val="22"/>
          <w:szCs w:val="22"/>
        </w:rPr>
        <w:t>megállapodás szerint a képzési költség megtérítésének mértékét.</w:t>
      </w:r>
    </w:p>
    <w:p w14:paraId="7948F71C" w14:textId="77777777" w:rsidR="00893D5B" w:rsidRPr="000250FA" w:rsidRDefault="00893D5B" w:rsidP="00893D5B">
      <w:pPr>
        <w:pStyle w:val="Normlstilus1norml"/>
        <w:tabs>
          <w:tab w:val="left" w:pos="9781"/>
        </w:tabs>
        <w:ind w:right="-144"/>
        <w:rPr>
          <w:color w:val="auto"/>
          <w:sz w:val="22"/>
          <w:szCs w:val="22"/>
        </w:rPr>
      </w:pPr>
    </w:p>
    <w:p w14:paraId="7F3CF4DD"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(8) Tanulmányi szerződés, tanulmányi kötelezés, illetve tudományos fokozat, habilitáció megszerzésének, nyelvvizsga díjának támogatásáról kötött megállapodás nélkül nem fizethető tanulmányokhoz kapcsolódó költségtérítés a közalkalmazott számára.</w:t>
      </w:r>
    </w:p>
    <w:p w14:paraId="608AC0B0" w14:textId="77777777" w:rsidR="00893D5B" w:rsidRPr="000250FA" w:rsidRDefault="00893D5B" w:rsidP="00893D5B">
      <w:pPr>
        <w:pStyle w:val="Normlstilus1norml"/>
        <w:tabs>
          <w:tab w:val="left" w:pos="9781"/>
        </w:tabs>
        <w:ind w:right="-144"/>
        <w:rPr>
          <w:color w:val="auto"/>
          <w:sz w:val="22"/>
          <w:szCs w:val="22"/>
        </w:rPr>
      </w:pPr>
    </w:p>
    <w:p w14:paraId="460F0A43" w14:textId="77F531DB"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(9)</w:t>
      </w:r>
      <w:r w:rsidRPr="000250FA">
        <w:rPr>
          <w:rStyle w:val="Lbjegyzet-hivatkozs"/>
          <w:color w:val="auto"/>
          <w:sz w:val="22"/>
          <w:szCs w:val="22"/>
        </w:rPr>
        <w:footnoteReference w:id="214"/>
      </w:r>
      <w:r w:rsidRPr="000250FA">
        <w:rPr>
          <w:color w:val="auto"/>
          <w:sz w:val="22"/>
          <w:szCs w:val="22"/>
        </w:rPr>
        <w:t xml:space="preserve"> A tanulmányi szerződést a közalkalmazottal az Egyetem képviseletében a munkáltatói jogkör gyakorlója jogosult megkötni a közalkalmazottat foglalkoztató szervezeti egység nyilatkozata alapján, amelyben valószínűsíti a megszerzendő végzettség alapján történő </w:t>
      </w:r>
      <w:proofErr w:type="spellStart"/>
      <w:r w:rsidRPr="000250FA">
        <w:rPr>
          <w:color w:val="auto"/>
          <w:sz w:val="22"/>
          <w:szCs w:val="22"/>
        </w:rPr>
        <w:t>foglalkoztathatóságot</w:t>
      </w:r>
      <w:proofErr w:type="spellEnd"/>
      <w:r w:rsidRPr="000250FA">
        <w:rPr>
          <w:color w:val="auto"/>
          <w:sz w:val="22"/>
          <w:szCs w:val="22"/>
        </w:rPr>
        <w:t xml:space="preserve">. A tanulmányi szerződést – a munkáltatói jogkör gyakorlójának igénybejelentése alapján - a Humánpolitikai </w:t>
      </w:r>
      <w:r w:rsidR="00734D33" w:rsidRPr="0078578F">
        <w:rPr>
          <w:bCs/>
          <w:iCs/>
          <w:color w:val="auto"/>
          <w:sz w:val="22"/>
          <w:szCs w:val="22"/>
        </w:rPr>
        <w:t>Főosztály</w:t>
      </w:r>
      <w:r w:rsidR="00734D33" w:rsidRPr="0078578F">
        <w:rPr>
          <w:color w:val="auto"/>
          <w:sz w:val="22"/>
          <w:szCs w:val="22"/>
        </w:rPr>
        <w:t xml:space="preserve"> </w:t>
      </w:r>
      <w:r w:rsidRPr="0078578F">
        <w:rPr>
          <w:color w:val="auto"/>
          <w:sz w:val="22"/>
          <w:szCs w:val="22"/>
        </w:rPr>
        <w:t>készíti el és tartja nyilván. Tandíj, tanulmányi költségtérítés kizárólag érvényes tanulmányi szerződés</w:t>
      </w:r>
      <w:r w:rsidRPr="000250FA">
        <w:rPr>
          <w:color w:val="auto"/>
          <w:sz w:val="22"/>
          <w:szCs w:val="22"/>
        </w:rPr>
        <w:t xml:space="preserve"> alapján fizethető.</w:t>
      </w:r>
    </w:p>
    <w:p w14:paraId="4A097C83" w14:textId="77777777" w:rsidR="00893D5B" w:rsidRPr="000250FA" w:rsidRDefault="00893D5B" w:rsidP="00893D5B">
      <w:pPr>
        <w:pStyle w:val="Normlstilus1norml"/>
        <w:tabs>
          <w:tab w:val="left" w:pos="9781"/>
        </w:tabs>
        <w:ind w:right="-144"/>
        <w:rPr>
          <w:color w:val="auto"/>
          <w:sz w:val="22"/>
          <w:szCs w:val="22"/>
        </w:rPr>
      </w:pPr>
    </w:p>
    <w:p w14:paraId="68FA9510"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(10) Amennyiben az Egyetem nem teljesíti a (5) bekezdésben meghatározott kötelezettségét, vagy egyéb szerződésszegést követ el, a közalkalmazott mentesül a szerződésből folyó kötelezettségei alól, és a szerződésszegésből eredő esetleges kárát érvényesítheti.</w:t>
      </w:r>
    </w:p>
    <w:p w14:paraId="70358118" w14:textId="77777777" w:rsidR="00893D5B" w:rsidRPr="000250FA" w:rsidRDefault="00893D5B" w:rsidP="00893D5B">
      <w:pPr>
        <w:pStyle w:val="Normlstilus1norml"/>
        <w:tabs>
          <w:tab w:val="left" w:pos="9781"/>
        </w:tabs>
        <w:ind w:right="-144"/>
        <w:rPr>
          <w:color w:val="auto"/>
          <w:sz w:val="22"/>
          <w:szCs w:val="22"/>
        </w:rPr>
      </w:pPr>
    </w:p>
    <w:p w14:paraId="4FA66057"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 xml:space="preserve">(11) Ha a közalkalmazott nem teljesíti az (6) bekezdésben meghatározott kötelességét, a meghatározott időtartamot nem tölti le, a képzettség megszerzését igazoló </w:t>
      </w:r>
      <w:proofErr w:type="gramStart"/>
      <w:r w:rsidRPr="000250FA">
        <w:rPr>
          <w:color w:val="auto"/>
          <w:sz w:val="22"/>
          <w:szCs w:val="22"/>
        </w:rPr>
        <w:t>dokumentumot</w:t>
      </w:r>
      <w:proofErr w:type="gramEnd"/>
      <w:r w:rsidRPr="000250FA">
        <w:rPr>
          <w:color w:val="auto"/>
          <w:sz w:val="22"/>
          <w:szCs w:val="22"/>
        </w:rPr>
        <w:t xml:space="preserve"> nem mutatja be, vagy egyéb lényeges kötelességszegést követ el, az Egyetem követelheti a ténylegesen nyújtott támogatásnak megfelelő összeg megtérítését. Amennyiben a közalkalmazott a szerződésben kikötött időtartamnak csak egy részét nem tölti le, megtérítési kötelessége ezzel arányos.</w:t>
      </w:r>
    </w:p>
    <w:p w14:paraId="3CCAD5BA" w14:textId="77777777" w:rsidR="00893D5B" w:rsidRPr="000250FA" w:rsidRDefault="00893D5B" w:rsidP="00893D5B">
      <w:pPr>
        <w:pStyle w:val="Normlstilus1norml"/>
        <w:tabs>
          <w:tab w:val="left" w:pos="9781"/>
        </w:tabs>
        <w:ind w:right="-144"/>
        <w:rPr>
          <w:b/>
          <w:bCs/>
          <w:color w:val="auto"/>
          <w:sz w:val="22"/>
          <w:szCs w:val="22"/>
        </w:rPr>
      </w:pPr>
    </w:p>
    <w:p w14:paraId="4C761E88"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(12) A közalkalmazottnak – feltéve, hogy tanulmányait az Egyetem által folytatott képzés keretében végzi – a tanulmányai során nyújtott egyéb kedvezmények és juttatások tekintetében az Egyetem rektora utasításban rendelkezik.</w:t>
      </w:r>
    </w:p>
    <w:p w14:paraId="6A7E18B4" w14:textId="77777777" w:rsidR="00893D5B" w:rsidRPr="000250FA" w:rsidRDefault="00893D5B" w:rsidP="00893D5B">
      <w:pPr>
        <w:pStyle w:val="Normlstilus1norml"/>
        <w:tabs>
          <w:tab w:val="left" w:pos="9781"/>
        </w:tabs>
        <w:ind w:right="-144"/>
        <w:rPr>
          <w:color w:val="auto"/>
          <w:sz w:val="22"/>
          <w:szCs w:val="22"/>
        </w:rPr>
      </w:pPr>
    </w:p>
    <w:p w14:paraId="02868E4E" w14:textId="77777777" w:rsidR="00893D5B" w:rsidRPr="000250FA" w:rsidRDefault="00893D5B" w:rsidP="00893D5B">
      <w:pPr>
        <w:pStyle w:val="Normlstilus1norml"/>
        <w:tabs>
          <w:tab w:val="left" w:pos="9781"/>
        </w:tabs>
        <w:ind w:right="-144"/>
        <w:rPr>
          <w:b/>
          <w:bCs/>
          <w:color w:val="auto"/>
          <w:sz w:val="22"/>
          <w:szCs w:val="22"/>
        </w:rPr>
      </w:pPr>
      <w:r w:rsidRPr="000250FA">
        <w:rPr>
          <w:color w:val="auto"/>
          <w:sz w:val="22"/>
          <w:szCs w:val="22"/>
        </w:rPr>
        <w:t xml:space="preserve">(13) </w:t>
      </w:r>
      <w:r w:rsidRPr="000250FA">
        <w:rPr>
          <w:rStyle w:val="Lbjegyzet-hivatkozs"/>
          <w:color w:val="auto"/>
          <w:sz w:val="22"/>
          <w:szCs w:val="22"/>
        </w:rPr>
        <w:footnoteReference w:id="215"/>
      </w:r>
      <w:r w:rsidRPr="000250FA">
        <w:rPr>
          <w:color w:val="auto"/>
          <w:sz w:val="22"/>
          <w:szCs w:val="22"/>
        </w:rPr>
        <w:t xml:space="preserve"> </w:t>
      </w:r>
    </w:p>
    <w:p w14:paraId="7F0E02CD" w14:textId="77777777" w:rsidR="00893D5B" w:rsidRPr="000250FA" w:rsidRDefault="00893D5B" w:rsidP="00893D5B">
      <w:pPr>
        <w:pStyle w:val="Cmsor4"/>
      </w:pPr>
      <w:bookmarkStart w:id="145" w:name="_Toc432753558"/>
      <w:r w:rsidRPr="000250FA">
        <w:t>A továbbképzés</w:t>
      </w:r>
      <w:bookmarkEnd w:id="145"/>
    </w:p>
    <w:p w14:paraId="578E62B7" w14:textId="77777777" w:rsidR="00893D5B" w:rsidRPr="000250FA" w:rsidRDefault="00893D5B" w:rsidP="00893D5B">
      <w:pPr>
        <w:pStyle w:val="Normlstilus1norml"/>
        <w:tabs>
          <w:tab w:val="left" w:pos="9781"/>
        </w:tabs>
        <w:ind w:right="-144"/>
        <w:rPr>
          <w:color w:val="auto"/>
          <w:sz w:val="22"/>
          <w:szCs w:val="22"/>
        </w:rPr>
      </w:pPr>
    </w:p>
    <w:p w14:paraId="0C6DFB26"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50. §</w:t>
      </w:r>
      <w:r w:rsidRPr="000250FA">
        <w:rPr>
          <w:color w:val="auto"/>
          <w:sz w:val="22"/>
          <w:szCs w:val="22"/>
        </w:rPr>
        <w:t xml:space="preserve"> (1) Az Egyetem elősegíti a közalkalmazott munkakörével összefüggő képzésben, illetve továbbképzésben való részvételét.</w:t>
      </w:r>
    </w:p>
    <w:p w14:paraId="72488D29" w14:textId="77777777" w:rsidR="00893D5B" w:rsidRPr="000250FA" w:rsidRDefault="00893D5B" w:rsidP="00893D5B">
      <w:pPr>
        <w:pStyle w:val="Normlstilus1norml"/>
        <w:tabs>
          <w:tab w:val="left" w:pos="9781"/>
        </w:tabs>
        <w:ind w:right="-144"/>
        <w:rPr>
          <w:color w:val="auto"/>
          <w:sz w:val="22"/>
          <w:szCs w:val="22"/>
        </w:rPr>
      </w:pPr>
    </w:p>
    <w:p w14:paraId="645C4C1D"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A közalkalmazott köteles a munkáltató által kijelölt tanfolyamon, illetve továbbképzésben részt venni, és az előírt vizsgákat letenni, kivéve, ha ez személyi vagy családi körülményeire tekintettel rá aránytalanul sérelmes.</w:t>
      </w:r>
    </w:p>
    <w:p w14:paraId="43E0D5DE" w14:textId="77777777" w:rsidR="00893D5B" w:rsidRPr="000250FA" w:rsidRDefault="00893D5B" w:rsidP="00893D5B">
      <w:pPr>
        <w:pStyle w:val="Normlstilus1norml"/>
        <w:tabs>
          <w:tab w:val="left" w:pos="9781"/>
        </w:tabs>
        <w:ind w:right="-144"/>
        <w:rPr>
          <w:color w:val="auto"/>
          <w:sz w:val="22"/>
          <w:szCs w:val="22"/>
        </w:rPr>
      </w:pPr>
    </w:p>
    <w:p w14:paraId="23797D9E"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w:t>
      </w:r>
      <w:r w:rsidRPr="000250FA">
        <w:rPr>
          <w:rStyle w:val="Lbjegyzet-hivatkozs"/>
          <w:color w:val="auto"/>
          <w:sz w:val="22"/>
          <w:szCs w:val="22"/>
        </w:rPr>
        <w:footnoteReference w:id="216"/>
      </w:r>
    </w:p>
    <w:p w14:paraId="06D4D352" w14:textId="77777777" w:rsidR="00893D5B" w:rsidRPr="000250FA" w:rsidRDefault="00893D5B" w:rsidP="00893D5B">
      <w:pPr>
        <w:pStyle w:val="Normlstilus1norml"/>
        <w:tabs>
          <w:tab w:val="left" w:pos="9781"/>
        </w:tabs>
        <w:ind w:right="-144"/>
        <w:rPr>
          <w:color w:val="auto"/>
          <w:sz w:val="22"/>
          <w:szCs w:val="22"/>
        </w:rPr>
      </w:pPr>
    </w:p>
    <w:p w14:paraId="2DBB97C1"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w:t>
      </w:r>
      <w:r w:rsidRPr="000250FA">
        <w:rPr>
          <w:rStyle w:val="Lbjegyzet-hivatkozs"/>
          <w:color w:val="auto"/>
          <w:sz w:val="22"/>
          <w:szCs w:val="22"/>
        </w:rPr>
        <w:footnoteReference w:id="217"/>
      </w:r>
      <w:r w:rsidRPr="000250FA">
        <w:rPr>
          <w:color w:val="auto"/>
          <w:sz w:val="22"/>
          <w:szCs w:val="22"/>
        </w:rPr>
        <w:t>Amennyiben az Egyetem kötelezte a közalkalmazottat továbbképzésben való részvételre, köteles az ezzel kapcsolatos költségeket megtéríteni. Köteles továbbá megtéríteni a közalkalmazott munkából távol töltött időre járó távolléti díját is.</w:t>
      </w:r>
    </w:p>
    <w:p w14:paraId="10B98BFA" w14:textId="77777777" w:rsidR="00385CF2" w:rsidRDefault="00385CF2">
      <w:pPr>
        <w:spacing w:after="160" w:line="259" w:lineRule="auto"/>
        <w:rPr>
          <w:b/>
          <w:sz w:val="22"/>
          <w:szCs w:val="22"/>
        </w:rPr>
      </w:pPr>
      <w:r>
        <w:rPr>
          <w:b/>
          <w:sz w:val="22"/>
          <w:szCs w:val="22"/>
        </w:rPr>
        <w:br w:type="page"/>
      </w:r>
    </w:p>
    <w:p w14:paraId="393BA686" w14:textId="77777777" w:rsidR="00893D5B" w:rsidRPr="000250FA" w:rsidRDefault="00893D5B" w:rsidP="00893D5B">
      <w:pPr>
        <w:pStyle w:val="Cmsor3"/>
      </w:pPr>
      <w:bookmarkStart w:id="146" w:name="_Toc432753559"/>
      <w:bookmarkStart w:id="147" w:name="_Toc444603555"/>
      <w:bookmarkStart w:id="148" w:name="_Toc445200815"/>
      <w:bookmarkStart w:id="149" w:name="_Toc58569537"/>
      <w:r w:rsidRPr="000250FA">
        <w:lastRenderedPageBreak/>
        <w:t>VI. fejezet - A közalkalmazott minősítése</w:t>
      </w:r>
      <w:r w:rsidRPr="000250FA">
        <w:rPr>
          <w:rStyle w:val="Lbjegyzet-hivatkozs"/>
          <w:b w:val="0"/>
        </w:rPr>
        <w:footnoteReference w:id="218"/>
      </w:r>
      <w:bookmarkEnd w:id="146"/>
      <w:bookmarkEnd w:id="147"/>
      <w:bookmarkEnd w:id="148"/>
      <w:bookmarkEnd w:id="149"/>
    </w:p>
    <w:p w14:paraId="40703F11" w14:textId="77777777" w:rsidR="00893D5B" w:rsidRPr="000250FA" w:rsidRDefault="00893D5B" w:rsidP="00893D5B">
      <w:pPr>
        <w:tabs>
          <w:tab w:val="left" w:pos="9781"/>
        </w:tabs>
        <w:ind w:right="-144"/>
        <w:jc w:val="both"/>
        <w:rPr>
          <w:sz w:val="22"/>
          <w:szCs w:val="22"/>
        </w:rPr>
      </w:pPr>
    </w:p>
    <w:p w14:paraId="2D304798" w14:textId="77777777" w:rsidR="00893D5B" w:rsidRPr="000250FA" w:rsidRDefault="00893D5B" w:rsidP="00893D5B">
      <w:pPr>
        <w:rPr>
          <w:bCs/>
          <w:sz w:val="22"/>
          <w:szCs w:val="22"/>
        </w:rPr>
      </w:pPr>
      <w:r w:rsidRPr="000250FA">
        <w:rPr>
          <w:b/>
          <w:bCs/>
          <w:sz w:val="22"/>
          <w:szCs w:val="22"/>
        </w:rPr>
        <w:t>51. §</w:t>
      </w:r>
      <w:r w:rsidRPr="000250FA">
        <w:rPr>
          <w:rStyle w:val="Lbjegyzet-hivatkozs"/>
          <w:bCs/>
          <w:sz w:val="22"/>
          <w:szCs w:val="22"/>
        </w:rPr>
        <w:footnoteReference w:id="219"/>
      </w:r>
      <w:r w:rsidRPr="000250FA">
        <w:rPr>
          <w:bCs/>
          <w:sz w:val="22"/>
          <w:szCs w:val="22"/>
        </w:rPr>
        <w:t xml:space="preserve"> (1) A minősítés célja a közalkalmazott munkaköri feladatai ellátásának megítélése, az ezt befolyásoló ismeretek, képességek, személyi tulajdonságok értékelése, továbbá a szakmai fejlődés elősegítése. </w:t>
      </w:r>
    </w:p>
    <w:p w14:paraId="30375295" w14:textId="77777777" w:rsidR="00893D5B" w:rsidRPr="000250FA" w:rsidRDefault="00893D5B" w:rsidP="00893D5B">
      <w:pPr>
        <w:rPr>
          <w:bCs/>
          <w:sz w:val="22"/>
          <w:szCs w:val="22"/>
        </w:rPr>
      </w:pPr>
    </w:p>
    <w:p w14:paraId="5567F917" w14:textId="77777777" w:rsidR="00893D5B" w:rsidRPr="000250FA" w:rsidRDefault="00893D5B" w:rsidP="00893D5B">
      <w:pPr>
        <w:rPr>
          <w:bCs/>
          <w:sz w:val="22"/>
          <w:szCs w:val="22"/>
        </w:rPr>
      </w:pPr>
      <w:r w:rsidRPr="000250FA">
        <w:rPr>
          <w:bCs/>
          <w:sz w:val="22"/>
          <w:szCs w:val="22"/>
        </w:rPr>
        <w:t>(2) A közalkalmazottat kötelező minősíteni</w:t>
      </w:r>
    </w:p>
    <w:p w14:paraId="10CBD4D4" w14:textId="77777777" w:rsidR="00893D5B" w:rsidRPr="000250FA" w:rsidRDefault="00893D5B" w:rsidP="00912564">
      <w:pPr>
        <w:numPr>
          <w:ilvl w:val="0"/>
          <w:numId w:val="61"/>
        </w:numPr>
        <w:jc w:val="both"/>
        <w:rPr>
          <w:sz w:val="22"/>
          <w:szCs w:val="22"/>
        </w:rPr>
      </w:pPr>
      <w:r w:rsidRPr="000250FA">
        <w:rPr>
          <w:sz w:val="22"/>
          <w:szCs w:val="22"/>
        </w:rPr>
        <w:t>a várakozási idő csökkentése előtt, kivéve, ha a várakozási idő csökkentése kötelező,</w:t>
      </w:r>
    </w:p>
    <w:p w14:paraId="76B08AF3" w14:textId="77777777" w:rsidR="00893D5B" w:rsidRPr="000250FA" w:rsidRDefault="00893D5B" w:rsidP="00912564">
      <w:pPr>
        <w:numPr>
          <w:ilvl w:val="0"/>
          <w:numId w:val="61"/>
        </w:numPr>
        <w:jc w:val="both"/>
        <w:rPr>
          <w:sz w:val="22"/>
          <w:szCs w:val="22"/>
        </w:rPr>
      </w:pPr>
      <w:proofErr w:type="gramStart"/>
      <w:r w:rsidRPr="000250FA">
        <w:rPr>
          <w:sz w:val="22"/>
          <w:szCs w:val="22"/>
        </w:rPr>
        <w:t>garantáltnál</w:t>
      </w:r>
      <w:proofErr w:type="gramEnd"/>
      <w:r w:rsidRPr="000250FA">
        <w:rPr>
          <w:sz w:val="22"/>
          <w:szCs w:val="22"/>
        </w:rPr>
        <w:t xml:space="preserve"> magasabb összegű illetmény megállapítása előtt (Kjt. 66. § szerinti munkáltatói hatáskörű illetménykiegészítés),</w:t>
      </w:r>
    </w:p>
    <w:p w14:paraId="6DCF867C" w14:textId="77777777" w:rsidR="00893D5B" w:rsidRPr="000250FA" w:rsidRDefault="00893D5B" w:rsidP="00912564">
      <w:pPr>
        <w:numPr>
          <w:ilvl w:val="0"/>
          <w:numId w:val="61"/>
        </w:numPr>
        <w:jc w:val="both"/>
        <w:rPr>
          <w:sz w:val="22"/>
          <w:szCs w:val="22"/>
        </w:rPr>
      </w:pPr>
      <w:r w:rsidRPr="000250FA">
        <w:rPr>
          <w:sz w:val="22"/>
          <w:szCs w:val="22"/>
        </w:rPr>
        <w:t xml:space="preserve">a közalkalmazotti jogviszony létesítését követő egy éven belül, amennyiben a közalkalmazotti jogviszony létesítésekor a </w:t>
      </w:r>
      <w:proofErr w:type="gramStart"/>
      <w:r w:rsidRPr="000250FA">
        <w:rPr>
          <w:sz w:val="22"/>
          <w:szCs w:val="22"/>
        </w:rPr>
        <w:t>garantált</w:t>
      </w:r>
      <w:proofErr w:type="gramEnd"/>
      <w:r w:rsidRPr="000250FA">
        <w:rPr>
          <w:sz w:val="22"/>
          <w:szCs w:val="22"/>
        </w:rPr>
        <w:t xml:space="preserve"> illetménynél magasabb összegű illetmény került megállapításra,</w:t>
      </w:r>
    </w:p>
    <w:p w14:paraId="4D6726C7" w14:textId="77777777" w:rsidR="00893D5B" w:rsidRPr="000250FA" w:rsidRDefault="00893D5B" w:rsidP="00912564">
      <w:pPr>
        <w:numPr>
          <w:ilvl w:val="0"/>
          <w:numId w:val="61"/>
        </w:numPr>
        <w:jc w:val="both"/>
        <w:rPr>
          <w:sz w:val="22"/>
          <w:szCs w:val="22"/>
        </w:rPr>
      </w:pPr>
      <w:r w:rsidRPr="000250FA">
        <w:rPr>
          <w:sz w:val="22"/>
          <w:szCs w:val="22"/>
        </w:rPr>
        <w:t>kérésére, legkorábban a közalkalmazotti jogviszonyának keletkezését, illetve a korábbi minősítését követő három évet követően, illetve közalkalmazotti jogviszonyának megszűnése esetén,</w:t>
      </w:r>
    </w:p>
    <w:p w14:paraId="09477125" w14:textId="77777777" w:rsidR="00893D5B" w:rsidRPr="000250FA" w:rsidRDefault="00893D5B" w:rsidP="00912564">
      <w:pPr>
        <w:numPr>
          <w:ilvl w:val="0"/>
          <w:numId w:val="61"/>
        </w:numPr>
        <w:jc w:val="both"/>
        <w:rPr>
          <w:sz w:val="22"/>
          <w:szCs w:val="22"/>
        </w:rPr>
      </w:pPr>
      <w:r w:rsidRPr="000250FA">
        <w:rPr>
          <w:sz w:val="22"/>
          <w:szCs w:val="22"/>
        </w:rPr>
        <w:t>címadományozást megelőzően,</w:t>
      </w:r>
    </w:p>
    <w:p w14:paraId="14CC4B8C" w14:textId="77777777" w:rsidR="00893D5B" w:rsidRPr="000250FA" w:rsidRDefault="00893D5B" w:rsidP="00912564">
      <w:pPr>
        <w:numPr>
          <w:ilvl w:val="0"/>
          <w:numId w:val="61"/>
        </w:numPr>
        <w:jc w:val="both"/>
        <w:rPr>
          <w:sz w:val="22"/>
          <w:szCs w:val="22"/>
        </w:rPr>
      </w:pPr>
      <w:r w:rsidRPr="000250FA">
        <w:rPr>
          <w:sz w:val="22"/>
          <w:szCs w:val="22"/>
        </w:rPr>
        <w:t>gyakornoki ideje alatt, a gyakornoki idő lejártának hónapjában.</w:t>
      </w:r>
    </w:p>
    <w:p w14:paraId="7C7AE8B0" w14:textId="77777777" w:rsidR="00893D5B" w:rsidRPr="000250FA" w:rsidRDefault="00893D5B" w:rsidP="00893D5B">
      <w:pPr>
        <w:rPr>
          <w:b/>
          <w:bCs/>
          <w:sz w:val="22"/>
          <w:szCs w:val="22"/>
        </w:rPr>
      </w:pPr>
    </w:p>
    <w:p w14:paraId="123D95EF" w14:textId="77777777" w:rsidR="00893D5B" w:rsidRPr="000250FA" w:rsidRDefault="00893D5B" w:rsidP="00893D5B">
      <w:pPr>
        <w:jc w:val="both"/>
        <w:rPr>
          <w:bCs/>
          <w:sz w:val="22"/>
          <w:szCs w:val="22"/>
        </w:rPr>
      </w:pPr>
      <w:r w:rsidRPr="000250FA">
        <w:rPr>
          <w:bCs/>
          <w:sz w:val="22"/>
          <w:szCs w:val="22"/>
        </w:rPr>
        <w:t>(3) A (2) bekezdésben meghatározott eseteken túl a munkáltató mérlegelési jogkörében eljárva is minősítheti a közalkalmazottat.</w:t>
      </w:r>
    </w:p>
    <w:p w14:paraId="5FADBE2D" w14:textId="77777777" w:rsidR="00893D5B" w:rsidRPr="000250FA" w:rsidRDefault="00893D5B" w:rsidP="00893D5B">
      <w:pPr>
        <w:tabs>
          <w:tab w:val="left" w:pos="9781"/>
        </w:tabs>
        <w:ind w:right="-144"/>
        <w:jc w:val="both"/>
        <w:rPr>
          <w:sz w:val="22"/>
          <w:szCs w:val="22"/>
        </w:rPr>
      </w:pPr>
    </w:p>
    <w:p w14:paraId="2765A1B6" w14:textId="77777777" w:rsidR="00893D5B" w:rsidRPr="000250FA" w:rsidRDefault="00893D5B" w:rsidP="00893D5B">
      <w:pPr>
        <w:tabs>
          <w:tab w:val="left" w:pos="9781"/>
        </w:tabs>
        <w:ind w:right="-144"/>
        <w:jc w:val="both"/>
        <w:rPr>
          <w:sz w:val="22"/>
          <w:szCs w:val="22"/>
        </w:rPr>
      </w:pPr>
      <w:r w:rsidRPr="000250FA">
        <w:rPr>
          <w:sz w:val="22"/>
          <w:szCs w:val="22"/>
        </w:rPr>
        <w:t>(4) Nem kerülhet sor a minősítésre- a (2) bekezdés d) pontjában, valamint a (3) bekezdésben foglalt eseteket kivéve-, amennyiben a korábbi minősítéstől, illetve a közalkalmazotti jogviszonya létesítésének időpontjától tizenkét hónap nem telt el. Ez esetben a korábbi minősítés eredményét kell irányadónak tekinteni.</w:t>
      </w:r>
    </w:p>
    <w:p w14:paraId="00F98309" w14:textId="77777777" w:rsidR="00893D5B" w:rsidRPr="000250FA" w:rsidRDefault="00893D5B" w:rsidP="00893D5B">
      <w:pPr>
        <w:tabs>
          <w:tab w:val="left" w:pos="9781"/>
        </w:tabs>
        <w:ind w:right="-144"/>
        <w:jc w:val="both"/>
        <w:rPr>
          <w:sz w:val="22"/>
          <w:szCs w:val="22"/>
        </w:rPr>
      </w:pPr>
    </w:p>
    <w:p w14:paraId="7F24A16B" w14:textId="77777777" w:rsidR="00893D5B" w:rsidRPr="000250FA" w:rsidRDefault="00893D5B" w:rsidP="00893D5B">
      <w:pPr>
        <w:tabs>
          <w:tab w:val="left" w:pos="9781"/>
        </w:tabs>
        <w:ind w:right="-144"/>
        <w:jc w:val="both"/>
        <w:rPr>
          <w:sz w:val="22"/>
          <w:szCs w:val="22"/>
        </w:rPr>
      </w:pPr>
      <w:r w:rsidRPr="000250FA">
        <w:rPr>
          <w:sz w:val="22"/>
          <w:szCs w:val="22"/>
        </w:rPr>
        <w:t>(5) A minősítést a közalkalmazott közvetlen felettese véleményének meghallgatását követően a munkáltatói jogkör gyakorlója készíti el a HR Kézikönyvben szereplő iratminta alapján.</w:t>
      </w:r>
    </w:p>
    <w:p w14:paraId="3B518C12" w14:textId="77777777" w:rsidR="00893D5B" w:rsidRPr="000250FA" w:rsidRDefault="00893D5B" w:rsidP="00893D5B">
      <w:pPr>
        <w:tabs>
          <w:tab w:val="left" w:pos="9781"/>
        </w:tabs>
        <w:ind w:right="-144"/>
        <w:jc w:val="both"/>
        <w:rPr>
          <w:sz w:val="22"/>
          <w:szCs w:val="22"/>
        </w:rPr>
      </w:pPr>
    </w:p>
    <w:p w14:paraId="427759D8" w14:textId="77777777" w:rsidR="00893D5B" w:rsidRPr="000250FA" w:rsidRDefault="00893D5B" w:rsidP="00893D5B">
      <w:pPr>
        <w:tabs>
          <w:tab w:val="left" w:pos="9781"/>
        </w:tabs>
        <w:ind w:right="-144"/>
        <w:jc w:val="both"/>
        <w:rPr>
          <w:sz w:val="22"/>
          <w:szCs w:val="22"/>
        </w:rPr>
      </w:pPr>
      <w:r w:rsidRPr="000250FA">
        <w:rPr>
          <w:sz w:val="22"/>
          <w:szCs w:val="22"/>
        </w:rPr>
        <w:t xml:space="preserve">(6) Minősítés a közalkalmazott személyi adatain túl csak a munkakör betöltésével kapcsolatos tényeket és a ténymegállapításon alapuló értékelést tartalmazhat. A közalkalmazott </w:t>
      </w:r>
      <w:proofErr w:type="spellStart"/>
      <w:r w:rsidRPr="000250FA">
        <w:rPr>
          <w:sz w:val="22"/>
          <w:szCs w:val="22"/>
        </w:rPr>
        <w:t>alkalmasságának</w:t>
      </w:r>
      <w:proofErr w:type="spellEnd"/>
      <w:r w:rsidRPr="000250FA">
        <w:rPr>
          <w:sz w:val="22"/>
          <w:szCs w:val="22"/>
        </w:rPr>
        <w:t xml:space="preserve"> megítélését a munkáltatói jog gyakorlója írásban indokolni köteles.</w:t>
      </w:r>
    </w:p>
    <w:p w14:paraId="77BE7BFF" w14:textId="77777777" w:rsidR="00893D5B" w:rsidRPr="000250FA" w:rsidRDefault="00893D5B" w:rsidP="00893D5B">
      <w:pPr>
        <w:tabs>
          <w:tab w:val="left" w:pos="9781"/>
        </w:tabs>
        <w:ind w:right="-144"/>
        <w:jc w:val="both"/>
        <w:rPr>
          <w:sz w:val="22"/>
          <w:szCs w:val="22"/>
        </w:rPr>
      </w:pPr>
    </w:p>
    <w:p w14:paraId="61A7DF3E" w14:textId="77777777" w:rsidR="00893D5B" w:rsidRPr="000250FA" w:rsidRDefault="00893D5B" w:rsidP="00385CF2">
      <w:pPr>
        <w:tabs>
          <w:tab w:val="left" w:pos="9781"/>
        </w:tabs>
        <w:ind w:right="-144"/>
        <w:jc w:val="both"/>
        <w:rPr>
          <w:sz w:val="22"/>
          <w:szCs w:val="22"/>
        </w:rPr>
      </w:pPr>
      <w:r w:rsidRPr="000250FA">
        <w:rPr>
          <w:sz w:val="22"/>
          <w:szCs w:val="22"/>
        </w:rPr>
        <w:t>(7) A minősítés során az egyes szempontok értékelésekor a következő pontszámokat kell alkalmazn</w:t>
      </w:r>
      <w:r w:rsidR="00385CF2">
        <w:rPr>
          <w:sz w:val="22"/>
          <w:szCs w:val="22"/>
        </w:rPr>
        <w:t>i:</w:t>
      </w:r>
    </w:p>
    <w:p w14:paraId="002C463D" w14:textId="77777777" w:rsidR="00893D5B" w:rsidRPr="000250FA" w:rsidRDefault="00893D5B" w:rsidP="00912564">
      <w:pPr>
        <w:numPr>
          <w:ilvl w:val="0"/>
          <w:numId w:val="62"/>
        </w:numPr>
        <w:jc w:val="both"/>
        <w:rPr>
          <w:sz w:val="22"/>
          <w:szCs w:val="22"/>
        </w:rPr>
      </w:pPr>
      <w:r w:rsidRPr="000250FA">
        <w:rPr>
          <w:sz w:val="22"/>
          <w:szCs w:val="22"/>
        </w:rPr>
        <w:t>kiemelkedő értékelés három pont,</w:t>
      </w:r>
    </w:p>
    <w:p w14:paraId="3D8F372D" w14:textId="77777777" w:rsidR="00893D5B" w:rsidRPr="000250FA" w:rsidRDefault="00893D5B" w:rsidP="00912564">
      <w:pPr>
        <w:numPr>
          <w:ilvl w:val="0"/>
          <w:numId w:val="62"/>
        </w:numPr>
        <w:jc w:val="both"/>
        <w:rPr>
          <w:sz w:val="22"/>
          <w:szCs w:val="22"/>
        </w:rPr>
      </w:pPr>
      <w:r w:rsidRPr="000250FA">
        <w:rPr>
          <w:sz w:val="22"/>
          <w:szCs w:val="22"/>
        </w:rPr>
        <w:t>megfelelő értékelés kettő pont,</w:t>
      </w:r>
    </w:p>
    <w:p w14:paraId="3A4488D9" w14:textId="77777777" w:rsidR="00893D5B" w:rsidRPr="000250FA" w:rsidRDefault="00893D5B" w:rsidP="00912564">
      <w:pPr>
        <w:numPr>
          <w:ilvl w:val="0"/>
          <w:numId w:val="62"/>
        </w:numPr>
        <w:jc w:val="both"/>
        <w:rPr>
          <w:sz w:val="22"/>
          <w:szCs w:val="22"/>
        </w:rPr>
      </w:pPr>
      <w:r w:rsidRPr="000250FA">
        <w:rPr>
          <w:sz w:val="22"/>
          <w:szCs w:val="22"/>
        </w:rPr>
        <w:t>kevéssé megfelelő értékelés egy pont,</w:t>
      </w:r>
    </w:p>
    <w:p w14:paraId="7242CA57" w14:textId="77777777" w:rsidR="00893D5B" w:rsidRPr="000250FA" w:rsidRDefault="00893D5B" w:rsidP="00912564">
      <w:pPr>
        <w:numPr>
          <w:ilvl w:val="0"/>
          <w:numId w:val="62"/>
        </w:numPr>
        <w:jc w:val="both"/>
        <w:rPr>
          <w:sz w:val="22"/>
          <w:szCs w:val="22"/>
        </w:rPr>
      </w:pPr>
      <w:r w:rsidRPr="000250FA">
        <w:rPr>
          <w:sz w:val="22"/>
          <w:szCs w:val="22"/>
        </w:rPr>
        <w:t>nem megfelelő értékelés nulla pont.</w:t>
      </w:r>
    </w:p>
    <w:p w14:paraId="07595FD3" w14:textId="77777777" w:rsidR="00893D5B" w:rsidRPr="00306086" w:rsidRDefault="00893D5B" w:rsidP="00893D5B">
      <w:pPr>
        <w:jc w:val="both"/>
        <w:rPr>
          <w:sz w:val="22"/>
          <w:szCs w:val="22"/>
        </w:rPr>
      </w:pPr>
    </w:p>
    <w:p w14:paraId="0ABDCAA4" w14:textId="77777777" w:rsidR="00893D5B" w:rsidRPr="000250FA" w:rsidRDefault="00893D5B" w:rsidP="00893D5B">
      <w:pPr>
        <w:tabs>
          <w:tab w:val="left" w:pos="9781"/>
        </w:tabs>
        <w:ind w:right="-144"/>
        <w:jc w:val="both"/>
        <w:rPr>
          <w:sz w:val="22"/>
          <w:szCs w:val="22"/>
        </w:rPr>
      </w:pPr>
      <w:r w:rsidRPr="00306086">
        <w:rPr>
          <w:sz w:val="22"/>
          <w:szCs w:val="22"/>
        </w:rPr>
        <w:t>(8)</w:t>
      </w:r>
      <w:r>
        <w:rPr>
          <w:rStyle w:val="Lbjegyzet-hivatkozs"/>
          <w:sz w:val="22"/>
          <w:szCs w:val="22"/>
        </w:rPr>
        <w:footnoteReference w:id="220"/>
      </w:r>
      <w:r w:rsidRPr="00306086">
        <w:rPr>
          <w:sz w:val="22"/>
          <w:szCs w:val="22"/>
        </w:rPr>
        <w:t xml:space="preserve"> A közalkalmazott a minősítés eredményeként kiválóan alkalmas, alkalmas, kevéssé alkalmas és alkalmatlan </w:t>
      </w:r>
      <w:r w:rsidRPr="00893D5B">
        <w:rPr>
          <w:sz w:val="22"/>
          <w:szCs w:val="22"/>
        </w:rPr>
        <w:t>minősítést kaphat. A minősítés</w:t>
      </w:r>
      <w:r w:rsidRPr="00306086">
        <w:rPr>
          <w:b/>
          <w:i/>
          <w:sz w:val="22"/>
          <w:szCs w:val="22"/>
        </w:rPr>
        <w:t xml:space="preserve"> </w:t>
      </w:r>
      <w:r w:rsidRPr="00306086">
        <w:rPr>
          <w:sz w:val="22"/>
          <w:szCs w:val="22"/>
        </w:rPr>
        <w:t>eredményét az egyes szempontok értékelésekor adható legmagasabb pontszámnak a ténylegesen adott pontszámokhoz viszonyított aránya alapján kell megállapítani az alábbiak szerint:</w:t>
      </w:r>
    </w:p>
    <w:p w14:paraId="2E13B6C4" w14:textId="77777777" w:rsidR="00893D5B" w:rsidRPr="000250FA" w:rsidRDefault="00893D5B" w:rsidP="00912564">
      <w:pPr>
        <w:numPr>
          <w:ilvl w:val="0"/>
          <w:numId w:val="63"/>
        </w:numPr>
        <w:jc w:val="both"/>
        <w:rPr>
          <w:sz w:val="22"/>
          <w:szCs w:val="22"/>
        </w:rPr>
      </w:pPr>
      <w:r w:rsidRPr="000250FA">
        <w:rPr>
          <w:sz w:val="22"/>
          <w:szCs w:val="22"/>
        </w:rPr>
        <w:t>nyolcvantól száz százalékig kiválóan alkalmas,</w:t>
      </w:r>
    </w:p>
    <w:p w14:paraId="45575817" w14:textId="77777777" w:rsidR="00893D5B" w:rsidRPr="000250FA" w:rsidRDefault="00893D5B" w:rsidP="00912564">
      <w:pPr>
        <w:numPr>
          <w:ilvl w:val="0"/>
          <w:numId w:val="63"/>
        </w:numPr>
        <w:jc w:val="both"/>
        <w:rPr>
          <w:sz w:val="22"/>
          <w:szCs w:val="22"/>
        </w:rPr>
      </w:pPr>
      <w:r w:rsidRPr="000250FA">
        <w:rPr>
          <w:sz w:val="22"/>
          <w:szCs w:val="22"/>
        </w:rPr>
        <w:t>hatvantól hetvenkilenc százalékig alkalmas,</w:t>
      </w:r>
    </w:p>
    <w:p w14:paraId="42DB50DC" w14:textId="77777777" w:rsidR="00893D5B" w:rsidRPr="000250FA" w:rsidRDefault="00893D5B" w:rsidP="00912564">
      <w:pPr>
        <w:numPr>
          <w:ilvl w:val="0"/>
          <w:numId w:val="63"/>
        </w:numPr>
        <w:jc w:val="both"/>
        <w:rPr>
          <w:sz w:val="22"/>
          <w:szCs w:val="22"/>
        </w:rPr>
      </w:pPr>
      <w:r w:rsidRPr="000250FA">
        <w:rPr>
          <w:sz w:val="22"/>
          <w:szCs w:val="22"/>
        </w:rPr>
        <w:t>harminctól ötvenkilenc százalékig kevéssé alkalmas,</w:t>
      </w:r>
    </w:p>
    <w:p w14:paraId="72B9CDFA" w14:textId="77777777" w:rsidR="00893D5B" w:rsidRPr="00385CF2" w:rsidRDefault="00893D5B" w:rsidP="00912564">
      <w:pPr>
        <w:numPr>
          <w:ilvl w:val="0"/>
          <w:numId w:val="63"/>
        </w:numPr>
        <w:jc w:val="both"/>
      </w:pPr>
      <w:r w:rsidRPr="000250FA">
        <w:rPr>
          <w:sz w:val="22"/>
          <w:szCs w:val="22"/>
        </w:rPr>
        <w:t>harminc százalék alatt alkalmatlan</w:t>
      </w:r>
    </w:p>
    <w:p w14:paraId="5D1FE9A7" w14:textId="77777777" w:rsidR="00893D5B" w:rsidRPr="000250FA" w:rsidRDefault="00893D5B" w:rsidP="00893D5B">
      <w:pPr>
        <w:tabs>
          <w:tab w:val="left" w:pos="9781"/>
        </w:tabs>
        <w:ind w:right="-144"/>
        <w:jc w:val="both"/>
        <w:rPr>
          <w:sz w:val="22"/>
          <w:szCs w:val="22"/>
        </w:rPr>
      </w:pPr>
      <w:proofErr w:type="gramStart"/>
      <w:r w:rsidRPr="000250FA">
        <w:rPr>
          <w:sz w:val="22"/>
          <w:szCs w:val="22"/>
        </w:rPr>
        <w:t>minősítést</w:t>
      </w:r>
      <w:proofErr w:type="gramEnd"/>
      <w:r w:rsidRPr="000250FA">
        <w:rPr>
          <w:sz w:val="22"/>
          <w:szCs w:val="22"/>
        </w:rPr>
        <w:t xml:space="preserve"> kap a közalkalmazott. Ettől eltérően, a közalkalmazott alkalmatlan minősítést kap, ha legalább egy szempont értékelése nem megfelelő.</w:t>
      </w:r>
    </w:p>
    <w:p w14:paraId="2C5392FF" w14:textId="77777777" w:rsidR="00893D5B" w:rsidRPr="000250FA" w:rsidRDefault="00893D5B" w:rsidP="00893D5B">
      <w:pPr>
        <w:tabs>
          <w:tab w:val="left" w:pos="9781"/>
        </w:tabs>
        <w:ind w:right="-144"/>
        <w:jc w:val="both"/>
        <w:rPr>
          <w:sz w:val="22"/>
          <w:szCs w:val="22"/>
        </w:rPr>
      </w:pPr>
    </w:p>
    <w:p w14:paraId="1D3B069F" w14:textId="77777777" w:rsidR="00893D5B" w:rsidRPr="000250FA" w:rsidRDefault="00893D5B" w:rsidP="00893D5B">
      <w:pPr>
        <w:tabs>
          <w:tab w:val="left" w:pos="9781"/>
        </w:tabs>
        <w:ind w:right="-144"/>
        <w:jc w:val="both"/>
        <w:rPr>
          <w:sz w:val="22"/>
          <w:szCs w:val="22"/>
        </w:rPr>
      </w:pPr>
      <w:r w:rsidRPr="000250FA">
        <w:rPr>
          <w:sz w:val="22"/>
          <w:szCs w:val="22"/>
        </w:rPr>
        <w:t>(9) A közalkalmazottal a minősítés eredményét ismertetni kell, és annak egy példányát az ismertetéskor részére át kell adni. A megismerés tényét a közalkalmazott a minősítési lapon aláírásával igazolja, továbbá feltüntetheti esetleges észrevételeit is.</w:t>
      </w:r>
    </w:p>
    <w:p w14:paraId="7C79CE43" w14:textId="77777777" w:rsidR="00893D5B" w:rsidRPr="000250FA" w:rsidRDefault="00893D5B" w:rsidP="00893D5B">
      <w:pPr>
        <w:tabs>
          <w:tab w:val="left" w:pos="9781"/>
        </w:tabs>
        <w:ind w:right="-144"/>
        <w:jc w:val="both"/>
        <w:rPr>
          <w:sz w:val="22"/>
          <w:szCs w:val="22"/>
        </w:rPr>
      </w:pPr>
    </w:p>
    <w:p w14:paraId="67EACBA3" w14:textId="2DF35E8F" w:rsidR="00893D5B" w:rsidRPr="000250FA" w:rsidRDefault="00893D5B" w:rsidP="00893D5B">
      <w:pPr>
        <w:tabs>
          <w:tab w:val="left" w:pos="9781"/>
        </w:tabs>
        <w:ind w:right="-144"/>
        <w:jc w:val="both"/>
        <w:rPr>
          <w:sz w:val="22"/>
          <w:szCs w:val="22"/>
        </w:rPr>
      </w:pPr>
      <w:r w:rsidRPr="000250FA">
        <w:rPr>
          <w:sz w:val="22"/>
          <w:szCs w:val="22"/>
        </w:rPr>
        <w:t>(10)</w:t>
      </w:r>
      <w:r w:rsidRPr="000250FA">
        <w:rPr>
          <w:rStyle w:val="Lbjegyzet-hivatkozs"/>
          <w:sz w:val="22"/>
          <w:szCs w:val="22"/>
        </w:rPr>
        <w:footnoteReference w:id="221"/>
      </w:r>
      <w:r w:rsidRPr="000250FA">
        <w:rPr>
          <w:sz w:val="22"/>
          <w:szCs w:val="22"/>
        </w:rPr>
        <w:t xml:space="preserve"> A minősítés egy példányát a munkáltatói jogkör gyakorlója a Humánpolitikai </w:t>
      </w:r>
      <w:r w:rsidR="00734D33" w:rsidRPr="0078578F">
        <w:rPr>
          <w:bCs/>
          <w:iCs/>
          <w:sz w:val="22"/>
          <w:szCs w:val="22"/>
        </w:rPr>
        <w:t>Főosztálynak</w:t>
      </w:r>
      <w:r w:rsidR="00734D33" w:rsidRPr="0078578F">
        <w:rPr>
          <w:sz w:val="22"/>
          <w:szCs w:val="22"/>
        </w:rPr>
        <w:t xml:space="preserve"> </w:t>
      </w:r>
      <w:r w:rsidRPr="000250FA">
        <w:rPr>
          <w:sz w:val="22"/>
          <w:szCs w:val="22"/>
        </w:rPr>
        <w:t xml:space="preserve">megküldi, a minősítés </w:t>
      </w:r>
      <w:proofErr w:type="gramStart"/>
      <w:r w:rsidRPr="000250FA">
        <w:rPr>
          <w:sz w:val="22"/>
          <w:szCs w:val="22"/>
        </w:rPr>
        <w:t>dokumentumát</w:t>
      </w:r>
      <w:proofErr w:type="gramEnd"/>
      <w:r w:rsidRPr="000250FA">
        <w:rPr>
          <w:sz w:val="22"/>
          <w:szCs w:val="22"/>
        </w:rPr>
        <w:t xml:space="preserve"> a közalkalmazotti nyilvántartás tartalmazza.</w:t>
      </w:r>
    </w:p>
    <w:p w14:paraId="35930A40" w14:textId="77777777" w:rsidR="00893D5B" w:rsidRPr="000250FA" w:rsidRDefault="00893D5B" w:rsidP="00893D5B">
      <w:pPr>
        <w:tabs>
          <w:tab w:val="left" w:pos="9781"/>
        </w:tabs>
        <w:ind w:right="-144"/>
        <w:jc w:val="both"/>
        <w:rPr>
          <w:sz w:val="22"/>
          <w:szCs w:val="22"/>
        </w:rPr>
      </w:pPr>
    </w:p>
    <w:p w14:paraId="64FD1183" w14:textId="77777777" w:rsidR="00893D5B" w:rsidRPr="000250FA" w:rsidRDefault="00893D5B" w:rsidP="00893D5B">
      <w:pPr>
        <w:tabs>
          <w:tab w:val="left" w:pos="9781"/>
        </w:tabs>
        <w:ind w:right="-144"/>
        <w:jc w:val="both"/>
        <w:rPr>
          <w:sz w:val="22"/>
          <w:szCs w:val="22"/>
        </w:rPr>
      </w:pPr>
      <w:r w:rsidRPr="000250FA">
        <w:rPr>
          <w:sz w:val="22"/>
          <w:szCs w:val="22"/>
        </w:rPr>
        <w:t>(11) A közalkalmazott a minősítés hibás vagy valótlan ténymegállapításának, személyiségi jogát sértő megállapításának megsemmisítését a minősítés eredményének közlésétől számított harminc napon belül a bíróságtól kérheti.</w:t>
      </w:r>
    </w:p>
    <w:p w14:paraId="5B95CDBE" w14:textId="77777777" w:rsidR="00893D5B" w:rsidRPr="000250FA" w:rsidRDefault="00893D5B" w:rsidP="00893D5B">
      <w:pPr>
        <w:tabs>
          <w:tab w:val="left" w:pos="9781"/>
        </w:tabs>
        <w:ind w:right="-144"/>
        <w:jc w:val="both"/>
        <w:rPr>
          <w:sz w:val="22"/>
          <w:szCs w:val="22"/>
        </w:rPr>
      </w:pPr>
    </w:p>
    <w:p w14:paraId="1D02D53B" w14:textId="77777777" w:rsidR="00893D5B" w:rsidRPr="000250FA" w:rsidRDefault="00893D5B" w:rsidP="00893D5B">
      <w:pPr>
        <w:spacing w:line="259" w:lineRule="auto"/>
        <w:jc w:val="both"/>
        <w:rPr>
          <w:rFonts w:eastAsia="Calibri"/>
          <w:sz w:val="22"/>
          <w:szCs w:val="22"/>
          <w:lang w:eastAsia="en-US"/>
        </w:rPr>
      </w:pPr>
      <w:r w:rsidRPr="000250FA">
        <w:rPr>
          <w:rFonts w:eastAsia="Calibri"/>
          <w:b/>
          <w:i/>
          <w:sz w:val="22"/>
          <w:szCs w:val="22"/>
          <w:lang w:eastAsia="en-US"/>
        </w:rPr>
        <w:t>(</w:t>
      </w:r>
      <w:r w:rsidRPr="000250FA">
        <w:rPr>
          <w:rFonts w:eastAsia="Calibri"/>
          <w:sz w:val="22"/>
          <w:szCs w:val="22"/>
          <w:lang w:eastAsia="en-US"/>
        </w:rPr>
        <w:t>12)</w:t>
      </w:r>
      <w:r w:rsidRPr="000250FA">
        <w:rPr>
          <w:rStyle w:val="Lbjegyzet-hivatkozs"/>
          <w:rFonts w:eastAsia="Calibri"/>
          <w:sz w:val="22"/>
          <w:szCs w:val="22"/>
          <w:lang w:eastAsia="en-US"/>
        </w:rPr>
        <w:footnoteReference w:id="222"/>
      </w:r>
      <w:r w:rsidRPr="000250FA">
        <w:rPr>
          <w:rFonts w:eastAsia="Calibri"/>
          <w:sz w:val="22"/>
          <w:szCs w:val="22"/>
          <w:lang w:eastAsia="en-US"/>
        </w:rPr>
        <w:t xml:space="preserve"> A nem oktató vagy kutató munkakörben foglalkoztatottak értékelésének szempontjait rektori- kancellári együttes utasítás határozza meg.</w:t>
      </w:r>
    </w:p>
    <w:p w14:paraId="10BAFECB" w14:textId="77777777" w:rsidR="00893D5B" w:rsidRPr="000250FA" w:rsidRDefault="00893D5B" w:rsidP="00893D5B">
      <w:pPr>
        <w:spacing w:line="259" w:lineRule="auto"/>
        <w:jc w:val="both"/>
        <w:rPr>
          <w:rFonts w:eastAsia="Calibri"/>
          <w:sz w:val="22"/>
          <w:szCs w:val="22"/>
          <w:lang w:eastAsia="en-US"/>
        </w:rPr>
      </w:pPr>
    </w:p>
    <w:p w14:paraId="70CD7AB9" w14:textId="77777777" w:rsidR="00893D5B" w:rsidRPr="000250FA" w:rsidRDefault="00893D5B" w:rsidP="00893D5B">
      <w:pPr>
        <w:spacing w:line="259" w:lineRule="auto"/>
        <w:jc w:val="both"/>
        <w:rPr>
          <w:rFonts w:eastAsia="Calibri"/>
          <w:sz w:val="22"/>
          <w:szCs w:val="22"/>
          <w:lang w:eastAsia="en-US"/>
        </w:rPr>
      </w:pPr>
      <w:r w:rsidRPr="000250FA">
        <w:rPr>
          <w:rFonts w:eastAsia="Calibri"/>
          <w:sz w:val="22"/>
          <w:szCs w:val="22"/>
          <w:lang w:eastAsia="en-US"/>
        </w:rPr>
        <w:t>(13)</w:t>
      </w:r>
      <w:r w:rsidRPr="000250FA">
        <w:rPr>
          <w:rStyle w:val="Lbjegyzet-hivatkozs"/>
          <w:rFonts w:eastAsia="Calibri"/>
          <w:sz w:val="22"/>
          <w:szCs w:val="22"/>
          <w:lang w:eastAsia="en-US"/>
        </w:rPr>
        <w:footnoteReference w:id="223"/>
      </w:r>
      <w:r w:rsidRPr="000250FA">
        <w:rPr>
          <w:rFonts w:eastAsia="Calibri"/>
          <w:sz w:val="22"/>
          <w:szCs w:val="22"/>
          <w:lang w:eastAsia="en-US"/>
        </w:rPr>
        <w:t xml:space="preserve"> A mesteroktató munkakörben foglalkoztatottak értékelésének szempontjait a kar szabályzatban határozza meg. </w:t>
      </w:r>
    </w:p>
    <w:p w14:paraId="15EA0844" w14:textId="77777777" w:rsidR="00893D5B" w:rsidRPr="000250FA" w:rsidRDefault="00893D5B" w:rsidP="00893D5B">
      <w:pPr>
        <w:spacing w:line="259" w:lineRule="auto"/>
        <w:jc w:val="both"/>
        <w:rPr>
          <w:rFonts w:eastAsia="Calibri"/>
          <w:sz w:val="22"/>
          <w:szCs w:val="22"/>
          <w:lang w:eastAsia="en-US"/>
        </w:rPr>
      </w:pPr>
    </w:p>
    <w:p w14:paraId="4E4BD253" w14:textId="77777777" w:rsidR="00893D5B" w:rsidRPr="000250FA" w:rsidRDefault="00893D5B" w:rsidP="00893D5B">
      <w:pPr>
        <w:spacing w:line="259" w:lineRule="auto"/>
        <w:jc w:val="both"/>
        <w:rPr>
          <w:rFonts w:eastAsia="Calibri"/>
          <w:sz w:val="22"/>
          <w:szCs w:val="22"/>
          <w:lang w:eastAsia="en-US"/>
        </w:rPr>
      </w:pPr>
      <w:r w:rsidRPr="000250FA">
        <w:rPr>
          <w:rFonts w:eastAsia="Calibri"/>
          <w:sz w:val="22"/>
          <w:szCs w:val="22"/>
          <w:lang w:eastAsia="en-US"/>
        </w:rPr>
        <w:t>(14)</w:t>
      </w:r>
      <w:r w:rsidRPr="000250FA">
        <w:rPr>
          <w:rStyle w:val="Lbjegyzet-hivatkozs"/>
          <w:rFonts w:eastAsia="Calibri"/>
          <w:sz w:val="22"/>
          <w:szCs w:val="22"/>
          <w:lang w:eastAsia="en-US"/>
        </w:rPr>
        <w:footnoteReference w:id="224"/>
      </w:r>
      <w:r w:rsidRPr="000250FA">
        <w:rPr>
          <w:rFonts w:eastAsia="Calibri"/>
          <w:sz w:val="22"/>
          <w:szCs w:val="22"/>
          <w:lang w:eastAsia="en-US"/>
        </w:rPr>
        <w:t xml:space="preserve"> A Klinikai Központban orvos vagy egészségügyi szakdolgozó munkakörben foglalkoztatottak értékelésének szempontjait a Klinikai Központ szabályzatban határozza meg.</w:t>
      </w:r>
    </w:p>
    <w:p w14:paraId="4DD087C7" w14:textId="77777777" w:rsidR="00893D5B" w:rsidRPr="000250FA" w:rsidRDefault="00893D5B" w:rsidP="00893D5B">
      <w:pPr>
        <w:tabs>
          <w:tab w:val="left" w:pos="9781"/>
        </w:tabs>
        <w:ind w:right="-144"/>
        <w:rPr>
          <w:b/>
          <w:sz w:val="22"/>
          <w:szCs w:val="22"/>
        </w:rPr>
      </w:pPr>
    </w:p>
    <w:p w14:paraId="53F5BE06" w14:textId="77777777" w:rsidR="00893D5B" w:rsidRPr="000250FA" w:rsidRDefault="00893D5B" w:rsidP="00893D5B">
      <w:pPr>
        <w:jc w:val="center"/>
        <w:rPr>
          <w:b/>
          <w:sz w:val="22"/>
          <w:szCs w:val="22"/>
        </w:rPr>
      </w:pPr>
      <w:bookmarkStart w:id="150" w:name="_Toc432753560"/>
      <w:r w:rsidRPr="000250FA">
        <w:rPr>
          <w:b/>
          <w:sz w:val="22"/>
          <w:szCs w:val="22"/>
        </w:rPr>
        <w:t>Az oktatók-kutatók minősítése</w:t>
      </w:r>
      <w:bookmarkEnd w:id="150"/>
    </w:p>
    <w:p w14:paraId="1587D921" w14:textId="77777777" w:rsidR="00893D5B" w:rsidRPr="000250FA" w:rsidRDefault="00893D5B" w:rsidP="00893D5B">
      <w:pPr>
        <w:tabs>
          <w:tab w:val="left" w:pos="9781"/>
        </w:tabs>
        <w:ind w:right="-144"/>
        <w:jc w:val="both"/>
        <w:rPr>
          <w:b/>
          <w:sz w:val="22"/>
          <w:szCs w:val="22"/>
        </w:rPr>
      </w:pPr>
    </w:p>
    <w:p w14:paraId="17A17E83" w14:textId="77777777" w:rsidR="00893D5B" w:rsidRPr="000250FA" w:rsidRDefault="00893D5B" w:rsidP="00893D5B">
      <w:pPr>
        <w:tabs>
          <w:tab w:val="left" w:pos="9781"/>
        </w:tabs>
        <w:ind w:right="-144"/>
        <w:jc w:val="both"/>
        <w:rPr>
          <w:sz w:val="22"/>
          <w:szCs w:val="22"/>
        </w:rPr>
      </w:pPr>
      <w:r w:rsidRPr="000250FA">
        <w:rPr>
          <w:b/>
          <w:sz w:val="22"/>
          <w:szCs w:val="22"/>
        </w:rPr>
        <w:t>52. §</w:t>
      </w:r>
      <w:r w:rsidRPr="000250FA">
        <w:rPr>
          <w:rStyle w:val="Lbjegyzet-hivatkozs"/>
          <w:sz w:val="22"/>
          <w:szCs w:val="22"/>
        </w:rPr>
        <w:footnoteReference w:id="225"/>
      </w:r>
      <w:r w:rsidRPr="000250FA">
        <w:rPr>
          <w:sz w:val="22"/>
          <w:szCs w:val="22"/>
        </w:rPr>
        <w:t xml:space="preserve"> </w:t>
      </w:r>
      <w:r w:rsidRPr="000250FA">
        <w:rPr>
          <w:rStyle w:val="Lbjegyzet-hivatkozs"/>
          <w:sz w:val="22"/>
          <w:szCs w:val="22"/>
        </w:rPr>
        <w:footnoteReference w:id="226"/>
      </w:r>
      <w:r w:rsidRPr="000250FA">
        <w:rPr>
          <w:sz w:val="22"/>
          <w:szCs w:val="22"/>
        </w:rPr>
        <w:t xml:space="preserve"> (1)</w:t>
      </w:r>
      <w:r w:rsidRPr="000250FA">
        <w:rPr>
          <w:rStyle w:val="Lbjegyzet-hivatkozs"/>
          <w:sz w:val="22"/>
          <w:szCs w:val="22"/>
        </w:rPr>
        <w:t xml:space="preserve"> </w:t>
      </w:r>
      <w:r w:rsidRPr="000250FA">
        <w:rPr>
          <w:rStyle w:val="Lbjegyzet-hivatkozs"/>
          <w:sz w:val="22"/>
          <w:szCs w:val="22"/>
        </w:rPr>
        <w:footnoteReference w:id="227"/>
      </w:r>
      <w:r w:rsidRPr="000250FA">
        <w:rPr>
          <w:sz w:val="22"/>
          <w:szCs w:val="22"/>
        </w:rPr>
        <w:t xml:space="preserve"> Az oktatók – ide nem értve a mesteroktatót - és</w:t>
      </w:r>
      <w:r w:rsidRPr="000250FA">
        <w:rPr>
          <w:b/>
          <w:i/>
          <w:sz w:val="22"/>
          <w:szCs w:val="22"/>
        </w:rPr>
        <w:t xml:space="preserve"> </w:t>
      </w:r>
      <w:r w:rsidRPr="000250FA">
        <w:rPr>
          <w:sz w:val="22"/>
          <w:szCs w:val="22"/>
        </w:rPr>
        <w:t>kutatók esetében a minősítést különösen</w:t>
      </w:r>
      <w:r w:rsidRPr="000250FA">
        <w:rPr>
          <w:b/>
          <w:i/>
          <w:sz w:val="22"/>
          <w:szCs w:val="22"/>
        </w:rPr>
        <w:t xml:space="preserve"> </w:t>
      </w:r>
      <w:r w:rsidRPr="000250FA">
        <w:rPr>
          <w:sz w:val="22"/>
          <w:szCs w:val="22"/>
        </w:rPr>
        <w:t>az alábbi szempontok alapján kell elvégezni:</w:t>
      </w:r>
    </w:p>
    <w:p w14:paraId="297F31EC" w14:textId="77777777" w:rsidR="00893D5B" w:rsidRPr="000250FA" w:rsidRDefault="00893D5B" w:rsidP="00893D5B">
      <w:pPr>
        <w:tabs>
          <w:tab w:val="left" w:pos="9781"/>
        </w:tabs>
        <w:ind w:left="540" w:right="-144"/>
        <w:jc w:val="both"/>
        <w:rPr>
          <w:sz w:val="22"/>
          <w:szCs w:val="22"/>
        </w:rPr>
      </w:pPr>
    </w:p>
    <w:p w14:paraId="0FAAE568" w14:textId="77777777" w:rsidR="00893D5B" w:rsidRPr="000250FA" w:rsidRDefault="00893D5B" w:rsidP="00F83E93">
      <w:pPr>
        <w:numPr>
          <w:ilvl w:val="0"/>
          <w:numId w:val="134"/>
        </w:numPr>
        <w:jc w:val="both"/>
        <w:rPr>
          <w:iCs/>
          <w:sz w:val="22"/>
          <w:szCs w:val="22"/>
        </w:rPr>
      </w:pPr>
      <w:r w:rsidRPr="000250FA">
        <w:rPr>
          <w:iCs/>
          <w:sz w:val="22"/>
          <w:szCs w:val="22"/>
        </w:rPr>
        <w:t>az oktatási, kutatási tevékenység ellátása</w:t>
      </w:r>
    </w:p>
    <w:p w14:paraId="2A2F82E0" w14:textId="77777777" w:rsidR="00893D5B" w:rsidRPr="000250FA" w:rsidRDefault="00893D5B" w:rsidP="00F83E93">
      <w:pPr>
        <w:numPr>
          <w:ilvl w:val="0"/>
          <w:numId w:val="134"/>
        </w:numPr>
        <w:jc w:val="both"/>
        <w:rPr>
          <w:iCs/>
          <w:sz w:val="22"/>
          <w:szCs w:val="22"/>
        </w:rPr>
      </w:pPr>
      <w:r w:rsidRPr="000250FA">
        <w:rPr>
          <w:iCs/>
          <w:sz w:val="22"/>
          <w:szCs w:val="22"/>
        </w:rPr>
        <w:t>az oktatáshoz kapcsolódó egyéb tevékenység (így különösen szakdolgozati témavezetés, nemzetközi mobilitási programokban való részvétel és oktatás),</w:t>
      </w:r>
    </w:p>
    <w:p w14:paraId="7BBC98C6" w14:textId="77777777" w:rsidR="00893D5B" w:rsidRPr="000250FA" w:rsidRDefault="00893D5B" w:rsidP="00F83E93">
      <w:pPr>
        <w:numPr>
          <w:ilvl w:val="0"/>
          <w:numId w:val="134"/>
        </w:numPr>
        <w:jc w:val="both"/>
        <w:rPr>
          <w:iCs/>
          <w:sz w:val="22"/>
          <w:szCs w:val="22"/>
        </w:rPr>
      </w:pPr>
      <w:r w:rsidRPr="000250FA">
        <w:rPr>
          <w:iCs/>
          <w:sz w:val="22"/>
          <w:szCs w:val="22"/>
        </w:rPr>
        <w:t>publikációs tevékenység, művészeti alkotás, valamint egyéb, szellemi tulajdon védelme alá eső eredmények, sporttevékenységgel, sportszervezéssel kapcsolatos eredmények,</w:t>
      </w:r>
    </w:p>
    <w:p w14:paraId="0D3DD620" w14:textId="77777777" w:rsidR="00893D5B" w:rsidRPr="000250FA" w:rsidRDefault="00893D5B" w:rsidP="00F83E93">
      <w:pPr>
        <w:numPr>
          <w:ilvl w:val="0"/>
          <w:numId w:val="134"/>
        </w:numPr>
        <w:jc w:val="both"/>
        <w:rPr>
          <w:iCs/>
          <w:sz w:val="22"/>
          <w:szCs w:val="22"/>
        </w:rPr>
      </w:pPr>
      <w:r w:rsidRPr="000250FA">
        <w:rPr>
          <w:iCs/>
          <w:sz w:val="22"/>
          <w:szCs w:val="22"/>
        </w:rPr>
        <w:t xml:space="preserve">intézményi közéleti tevékenység, </w:t>
      </w:r>
    </w:p>
    <w:p w14:paraId="184C3636" w14:textId="77777777" w:rsidR="00893D5B" w:rsidRPr="000250FA" w:rsidRDefault="00893D5B" w:rsidP="00F83E93">
      <w:pPr>
        <w:numPr>
          <w:ilvl w:val="0"/>
          <w:numId w:val="134"/>
        </w:numPr>
        <w:jc w:val="both"/>
        <w:rPr>
          <w:iCs/>
          <w:sz w:val="22"/>
          <w:szCs w:val="22"/>
        </w:rPr>
      </w:pPr>
      <w:r w:rsidRPr="000250FA">
        <w:rPr>
          <w:iCs/>
          <w:sz w:val="22"/>
          <w:szCs w:val="22"/>
        </w:rPr>
        <w:t xml:space="preserve">tudománynépszerűsítési feladatok, </w:t>
      </w:r>
      <w:proofErr w:type="gramStart"/>
      <w:r w:rsidRPr="000250FA">
        <w:rPr>
          <w:iCs/>
          <w:sz w:val="22"/>
          <w:szCs w:val="22"/>
        </w:rPr>
        <w:t>konferenciákon</w:t>
      </w:r>
      <w:proofErr w:type="gramEnd"/>
      <w:r w:rsidRPr="000250FA">
        <w:rPr>
          <w:iCs/>
          <w:sz w:val="22"/>
          <w:szCs w:val="22"/>
        </w:rPr>
        <w:t xml:space="preserve"> való részvétel terén nyújtott aktivitás,</w:t>
      </w:r>
    </w:p>
    <w:p w14:paraId="3EC86C04" w14:textId="77777777" w:rsidR="00893D5B" w:rsidRPr="000250FA" w:rsidRDefault="00893D5B" w:rsidP="00F83E93">
      <w:pPr>
        <w:numPr>
          <w:ilvl w:val="0"/>
          <w:numId w:val="134"/>
        </w:numPr>
        <w:jc w:val="both"/>
        <w:rPr>
          <w:iCs/>
          <w:sz w:val="22"/>
          <w:szCs w:val="22"/>
        </w:rPr>
      </w:pPr>
      <w:r w:rsidRPr="000250FA">
        <w:rPr>
          <w:iCs/>
          <w:sz w:val="22"/>
          <w:szCs w:val="22"/>
        </w:rPr>
        <w:t xml:space="preserve">pályázatokban való részvétel terén nyújtott </w:t>
      </w:r>
      <w:proofErr w:type="gramStart"/>
      <w:r w:rsidRPr="000250FA">
        <w:rPr>
          <w:iCs/>
          <w:sz w:val="22"/>
          <w:szCs w:val="22"/>
        </w:rPr>
        <w:t>aktivitás</w:t>
      </w:r>
      <w:proofErr w:type="gramEnd"/>
      <w:r w:rsidRPr="000250FA">
        <w:rPr>
          <w:iCs/>
          <w:sz w:val="22"/>
          <w:szCs w:val="22"/>
        </w:rPr>
        <w:t xml:space="preserve"> és az ehhez kapcsolódó forrásteremtő képesség,</w:t>
      </w:r>
    </w:p>
    <w:p w14:paraId="29E4AA59" w14:textId="77777777" w:rsidR="00893D5B" w:rsidRPr="000250FA" w:rsidRDefault="00893D5B" w:rsidP="00F83E93">
      <w:pPr>
        <w:numPr>
          <w:ilvl w:val="0"/>
          <w:numId w:val="134"/>
        </w:numPr>
        <w:jc w:val="both"/>
        <w:rPr>
          <w:iCs/>
          <w:sz w:val="22"/>
          <w:szCs w:val="22"/>
        </w:rPr>
      </w:pPr>
      <w:r w:rsidRPr="000250FA">
        <w:rPr>
          <w:iCs/>
          <w:sz w:val="22"/>
          <w:szCs w:val="22"/>
        </w:rPr>
        <w:t>tehetséggondozás, tudományos diákköri tevékenység,</w:t>
      </w:r>
      <w:r w:rsidRPr="000250FA">
        <w:rPr>
          <w:b/>
          <w:i/>
          <w:iCs/>
          <w:sz w:val="22"/>
          <w:szCs w:val="22"/>
        </w:rPr>
        <w:t xml:space="preserve"> </w:t>
      </w:r>
      <w:r w:rsidRPr="000250FA">
        <w:rPr>
          <w:iCs/>
          <w:sz w:val="22"/>
          <w:szCs w:val="22"/>
        </w:rPr>
        <w:t xml:space="preserve">felzárkóztató tevékenység terén nyújtott </w:t>
      </w:r>
      <w:proofErr w:type="gramStart"/>
      <w:r w:rsidRPr="000250FA">
        <w:rPr>
          <w:iCs/>
          <w:sz w:val="22"/>
          <w:szCs w:val="22"/>
        </w:rPr>
        <w:t>aktivitás</w:t>
      </w:r>
      <w:proofErr w:type="gramEnd"/>
      <w:r w:rsidRPr="000250FA">
        <w:rPr>
          <w:iCs/>
          <w:sz w:val="22"/>
          <w:szCs w:val="22"/>
        </w:rPr>
        <w:t>,</w:t>
      </w:r>
    </w:p>
    <w:p w14:paraId="4467EA74" w14:textId="77777777" w:rsidR="00893D5B" w:rsidRPr="000250FA" w:rsidRDefault="00893D5B" w:rsidP="00F83E93">
      <w:pPr>
        <w:numPr>
          <w:ilvl w:val="0"/>
          <w:numId w:val="134"/>
        </w:numPr>
        <w:jc w:val="both"/>
        <w:rPr>
          <w:iCs/>
          <w:sz w:val="22"/>
          <w:szCs w:val="22"/>
        </w:rPr>
      </w:pPr>
      <w:r w:rsidRPr="000250FA">
        <w:rPr>
          <w:iCs/>
          <w:sz w:val="22"/>
          <w:szCs w:val="22"/>
        </w:rPr>
        <w:t>doktori képzésben való tevékenység, tudományszervezési feladatokban való részvétel,</w:t>
      </w:r>
    </w:p>
    <w:p w14:paraId="619A40FA" w14:textId="77777777" w:rsidR="00893D5B" w:rsidRPr="000250FA" w:rsidRDefault="00893D5B" w:rsidP="00F83E93">
      <w:pPr>
        <w:numPr>
          <w:ilvl w:val="0"/>
          <w:numId w:val="134"/>
        </w:numPr>
        <w:jc w:val="both"/>
        <w:rPr>
          <w:iCs/>
          <w:sz w:val="22"/>
          <w:szCs w:val="22"/>
        </w:rPr>
      </w:pPr>
      <w:r w:rsidRPr="000250FA">
        <w:rPr>
          <w:iCs/>
          <w:sz w:val="22"/>
          <w:szCs w:val="22"/>
        </w:rPr>
        <w:t xml:space="preserve">az oktatói </w:t>
      </w:r>
      <w:proofErr w:type="gramStart"/>
      <w:r w:rsidRPr="000250FA">
        <w:rPr>
          <w:iCs/>
          <w:sz w:val="22"/>
          <w:szCs w:val="22"/>
        </w:rPr>
        <w:t>munka hallgatók</w:t>
      </w:r>
      <w:proofErr w:type="gramEnd"/>
      <w:r w:rsidRPr="000250FA">
        <w:rPr>
          <w:iCs/>
          <w:sz w:val="22"/>
          <w:szCs w:val="22"/>
        </w:rPr>
        <w:t xml:space="preserve"> általi véleményezése az oktatási tevékenység színvonalának általános megítélése,</w:t>
      </w:r>
    </w:p>
    <w:p w14:paraId="75BB92AE" w14:textId="77777777" w:rsidR="00893D5B" w:rsidRPr="000250FA" w:rsidRDefault="00893D5B" w:rsidP="00F83E93">
      <w:pPr>
        <w:numPr>
          <w:ilvl w:val="0"/>
          <w:numId w:val="134"/>
        </w:numPr>
        <w:jc w:val="both"/>
        <w:rPr>
          <w:iCs/>
          <w:sz w:val="22"/>
          <w:szCs w:val="22"/>
        </w:rPr>
      </w:pPr>
      <w:r w:rsidRPr="000250FA">
        <w:rPr>
          <w:iCs/>
          <w:sz w:val="22"/>
          <w:szCs w:val="22"/>
        </w:rPr>
        <w:t xml:space="preserve">az oktatói </w:t>
      </w:r>
      <w:proofErr w:type="gramStart"/>
      <w:r w:rsidRPr="000250FA">
        <w:rPr>
          <w:iCs/>
          <w:sz w:val="22"/>
          <w:szCs w:val="22"/>
        </w:rPr>
        <w:t>munka hallgatók</w:t>
      </w:r>
      <w:proofErr w:type="gramEnd"/>
      <w:r w:rsidRPr="000250FA">
        <w:rPr>
          <w:iCs/>
          <w:sz w:val="22"/>
          <w:szCs w:val="22"/>
        </w:rPr>
        <w:t xml:space="preserve"> általi véleményezése a hallgatók szakmai előmenetelét támogató tanári attitűd.</w:t>
      </w:r>
    </w:p>
    <w:p w14:paraId="37F71193" w14:textId="77777777" w:rsidR="00893D5B" w:rsidRPr="00306086" w:rsidRDefault="00893D5B" w:rsidP="00893D5B">
      <w:pPr>
        <w:tabs>
          <w:tab w:val="left" w:pos="9781"/>
        </w:tabs>
        <w:spacing w:line="259" w:lineRule="auto"/>
        <w:jc w:val="both"/>
        <w:rPr>
          <w:rFonts w:eastAsia="Calibri"/>
          <w:sz w:val="22"/>
          <w:szCs w:val="22"/>
          <w:lang w:eastAsia="en-US"/>
        </w:rPr>
      </w:pPr>
    </w:p>
    <w:p w14:paraId="1C6A11B1" w14:textId="77777777" w:rsidR="00893D5B" w:rsidRPr="00306086" w:rsidRDefault="00893D5B" w:rsidP="00893D5B">
      <w:pPr>
        <w:tabs>
          <w:tab w:val="left" w:pos="9781"/>
        </w:tabs>
        <w:spacing w:line="259" w:lineRule="auto"/>
        <w:jc w:val="both"/>
        <w:rPr>
          <w:rFonts w:eastAsia="Calibri"/>
          <w:b/>
          <w:i/>
          <w:sz w:val="22"/>
          <w:szCs w:val="22"/>
          <w:lang w:eastAsia="en-US"/>
        </w:rPr>
      </w:pPr>
      <w:r w:rsidRPr="00306086">
        <w:rPr>
          <w:rFonts w:eastAsia="Calibri"/>
          <w:iCs/>
          <w:sz w:val="22"/>
          <w:szCs w:val="22"/>
          <w:lang w:eastAsia="en-US"/>
        </w:rPr>
        <w:t>(2)</w:t>
      </w:r>
      <w:r w:rsidRPr="00306086">
        <w:rPr>
          <w:rStyle w:val="Lbjegyzet-hivatkozs"/>
          <w:rFonts w:eastAsia="Calibri"/>
          <w:iCs/>
          <w:sz w:val="22"/>
          <w:szCs w:val="22"/>
          <w:lang w:eastAsia="en-US"/>
        </w:rPr>
        <w:footnoteReference w:id="228"/>
      </w:r>
      <w:r w:rsidRPr="00306086">
        <w:rPr>
          <w:rFonts w:eastAsia="Calibri"/>
          <w:iCs/>
          <w:sz w:val="22"/>
          <w:szCs w:val="22"/>
          <w:lang w:eastAsia="en-US"/>
        </w:rPr>
        <w:t xml:space="preserve"> </w:t>
      </w:r>
      <w:r>
        <w:rPr>
          <w:rStyle w:val="Lbjegyzet-hivatkozs"/>
          <w:rFonts w:eastAsia="Calibri"/>
          <w:iCs/>
          <w:sz w:val="22"/>
          <w:szCs w:val="22"/>
          <w:lang w:eastAsia="en-US"/>
        </w:rPr>
        <w:footnoteReference w:id="229"/>
      </w:r>
      <w:r w:rsidRPr="00306086">
        <w:rPr>
          <w:rFonts w:eastAsia="Calibri"/>
          <w:sz w:val="22"/>
          <w:szCs w:val="22"/>
        </w:rPr>
        <w:t xml:space="preserve">A minősítés szempontjainak alapjául szolgáló értékelési rendet a kar szabályzatban határozza meg. A kari szabályzat </w:t>
      </w:r>
      <w:r w:rsidRPr="00893D5B">
        <w:rPr>
          <w:rFonts w:eastAsia="Calibri"/>
          <w:sz w:val="22"/>
          <w:szCs w:val="22"/>
        </w:rPr>
        <w:t xml:space="preserve">– ideértve az 51. § (13) bekezdésében meghatározott szabályzatot is – a PTE </w:t>
      </w:r>
      <w:r w:rsidRPr="00893D5B">
        <w:rPr>
          <w:rFonts w:eastAsia="Calibri"/>
          <w:sz w:val="22"/>
          <w:szCs w:val="22"/>
        </w:rPr>
        <w:lastRenderedPageBreak/>
        <w:t>Foglalkoztatási Követelményrendszerének mellékletét képezi. A kari szabályzat az (1) bekezdésben, valamint</w:t>
      </w:r>
      <w:r w:rsidRPr="00306086">
        <w:rPr>
          <w:rFonts w:eastAsia="Calibri"/>
          <w:sz w:val="22"/>
          <w:szCs w:val="22"/>
        </w:rPr>
        <w:t xml:space="preserve"> a (4)-(9) bekezdésben meghatározottakon túl a minősítési szempontok tekintetében értékelendő egyéb körülményeket is meghatározhat.</w:t>
      </w:r>
    </w:p>
    <w:p w14:paraId="2C356C3F" w14:textId="77777777" w:rsidR="00893D5B" w:rsidRPr="00306086" w:rsidRDefault="00893D5B" w:rsidP="00893D5B">
      <w:pPr>
        <w:tabs>
          <w:tab w:val="left" w:pos="9781"/>
        </w:tabs>
        <w:spacing w:line="259" w:lineRule="auto"/>
        <w:jc w:val="both"/>
        <w:rPr>
          <w:rFonts w:eastAsia="Calibri"/>
          <w:sz w:val="22"/>
          <w:szCs w:val="22"/>
          <w:lang w:eastAsia="en-US"/>
        </w:rPr>
      </w:pPr>
    </w:p>
    <w:p w14:paraId="18868887" w14:textId="77777777" w:rsidR="00893D5B" w:rsidRPr="002F1E5A" w:rsidRDefault="00893D5B" w:rsidP="00893D5B">
      <w:pPr>
        <w:tabs>
          <w:tab w:val="left" w:pos="9781"/>
        </w:tabs>
        <w:jc w:val="both"/>
        <w:rPr>
          <w:rFonts w:eastAsia="Calibri"/>
          <w:sz w:val="22"/>
          <w:szCs w:val="22"/>
        </w:rPr>
      </w:pPr>
      <w:r w:rsidRPr="002F1E5A">
        <w:rPr>
          <w:rFonts w:eastAsia="Calibri"/>
          <w:sz w:val="22"/>
          <w:szCs w:val="22"/>
          <w:lang w:eastAsia="en-US"/>
        </w:rPr>
        <w:t>(3)</w:t>
      </w:r>
      <w:r w:rsidRPr="002F1E5A">
        <w:rPr>
          <w:rStyle w:val="Lbjegyzet-hivatkozs"/>
          <w:rFonts w:eastAsia="Calibri"/>
          <w:sz w:val="22"/>
          <w:szCs w:val="22"/>
          <w:lang w:eastAsia="en-US"/>
        </w:rPr>
        <w:footnoteReference w:id="230"/>
      </w:r>
      <w:r w:rsidRPr="002F1E5A">
        <w:rPr>
          <w:rFonts w:eastAsia="Calibri"/>
          <w:sz w:val="22"/>
          <w:szCs w:val="22"/>
          <w:lang w:eastAsia="en-US"/>
        </w:rPr>
        <w:t xml:space="preserve"> </w:t>
      </w:r>
      <w:r>
        <w:rPr>
          <w:rStyle w:val="Lbjegyzet-hivatkozs"/>
          <w:rFonts w:eastAsia="Calibri"/>
          <w:sz w:val="22"/>
          <w:szCs w:val="22"/>
          <w:lang w:eastAsia="en-US"/>
        </w:rPr>
        <w:footnoteReference w:id="231"/>
      </w:r>
      <w:r>
        <w:rPr>
          <w:rFonts w:eastAsia="Calibri"/>
          <w:sz w:val="22"/>
          <w:szCs w:val="22"/>
          <w:lang w:eastAsia="en-US"/>
        </w:rPr>
        <w:t xml:space="preserve"> </w:t>
      </w:r>
      <w:r w:rsidRPr="00893D5B">
        <w:rPr>
          <w:rFonts w:eastAsia="Calibri"/>
          <w:sz w:val="22"/>
          <w:szCs w:val="22"/>
        </w:rPr>
        <w:t>A minősítést (teljesítményértékelést) tanévenként, az oktató vagy kutató által a tárgyi tanévben nyújtott teljesítmény alapján kell elvégezni legkésőbb a következő tanév első napjáig. A minősítés (teljesítményértékelést)</w:t>
      </w:r>
      <w:r w:rsidRPr="002F1E5A">
        <w:rPr>
          <w:rFonts w:eastAsia="Calibri"/>
          <w:b/>
          <w:i/>
          <w:sz w:val="22"/>
          <w:szCs w:val="22"/>
        </w:rPr>
        <w:t xml:space="preserve"> </w:t>
      </w:r>
      <w:r w:rsidRPr="002F1E5A">
        <w:rPr>
          <w:rFonts w:eastAsia="Calibri"/>
          <w:sz w:val="22"/>
          <w:szCs w:val="22"/>
        </w:rPr>
        <w:t>eredményét – az érintett oktatón vagy kutatón kívül – a dékán, valamint az érintett tanszék/intézet vezetője jogosult megismerni.</w:t>
      </w:r>
    </w:p>
    <w:p w14:paraId="7C305C23" w14:textId="77777777" w:rsidR="00893D5B" w:rsidRPr="002F1E5A" w:rsidRDefault="00893D5B" w:rsidP="00893D5B">
      <w:pPr>
        <w:tabs>
          <w:tab w:val="left" w:pos="9781"/>
        </w:tabs>
        <w:ind w:right="-144"/>
        <w:jc w:val="both"/>
        <w:rPr>
          <w:rFonts w:eastAsia="Calibri"/>
          <w:iCs/>
          <w:sz w:val="22"/>
          <w:szCs w:val="22"/>
          <w:lang w:eastAsia="en-US"/>
        </w:rPr>
      </w:pPr>
    </w:p>
    <w:p w14:paraId="664B9449"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(4)</w:t>
      </w:r>
      <w:r w:rsidRPr="000250FA">
        <w:rPr>
          <w:rStyle w:val="Lbjegyzet-hivatkozs"/>
          <w:rFonts w:eastAsia="Calibri"/>
          <w:iCs/>
          <w:sz w:val="22"/>
          <w:szCs w:val="22"/>
          <w:lang w:eastAsia="en-US"/>
        </w:rPr>
        <w:footnoteReference w:id="232"/>
      </w:r>
      <w:r w:rsidRPr="000250FA">
        <w:rPr>
          <w:rFonts w:eastAsia="Calibri"/>
          <w:iCs/>
          <w:sz w:val="22"/>
          <w:szCs w:val="22"/>
          <w:lang w:eastAsia="en-US"/>
        </w:rPr>
        <w:t xml:space="preserve"> Az (1) bekezdés a) - b) pontjaiban meghatározott szempontokat a 83. §-</w:t>
      </w:r>
      <w:proofErr w:type="spellStart"/>
      <w:r w:rsidRPr="000250FA">
        <w:rPr>
          <w:rFonts w:eastAsia="Calibri"/>
          <w:iCs/>
          <w:sz w:val="22"/>
          <w:szCs w:val="22"/>
          <w:lang w:eastAsia="en-US"/>
        </w:rPr>
        <w:t>ban</w:t>
      </w:r>
      <w:proofErr w:type="spellEnd"/>
      <w:r w:rsidRPr="000250FA">
        <w:rPr>
          <w:rFonts w:eastAsia="Calibri"/>
          <w:iCs/>
          <w:sz w:val="22"/>
          <w:szCs w:val="22"/>
          <w:lang w:eastAsia="en-US"/>
        </w:rPr>
        <w:t xml:space="preserve"> foglaltakra tekintettel kell figyelembe venni azzal, hogy az idegen nyelven folytatott tanítási tevékenységet elkülönülten kell értékelni.</w:t>
      </w:r>
    </w:p>
    <w:p w14:paraId="7C84B22C" w14:textId="77777777" w:rsidR="00893D5B" w:rsidRPr="000250FA" w:rsidRDefault="00893D5B" w:rsidP="00893D5B">
      <w:pPr>
        <w:spacing w:line="259" w:lineRule="auto"/>
        <w:jc w:val="both"/>
        <w:rPr>
          <w:rFonts w:eastAsia="Calibri"/>
          <w:b/>
          <w:i/>
          <w:iCs/>
          <w:sz w:val="22"/>
          <w:szCs w:val="22"/>
          <w:lang w:eastAsia="en-US"/>
        </w:rPr>
      </w:pPr>
    </w:p>
    <w:p w14:paraId="09B43348"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(5)</w:t>
      </w:r>
      <w:r w:rsidRPr="000250FA">
        <w:rPr>
          <w:rStyle w:val="Lbjegyzet-hivatkozs"/>
          <w:rFonts w:eastAsia="Calibri"/>
          <w:iCs/>
          <w:sz w:val="22"/>
          <w:szCs w:val="22"/>
          <w:lang w:eastAsia="en-US"/>
        </w:rPr>
        <w:footnoteReference w:id="233"/>
      </w:r>
      <w:r w:rsidRPr="000250FA">
        <w:rPr>
          <w:rFonts w:eastAsia="Calibri"/>
          <w:iCs/>
          <w:sz w:val="22"/>
          <w:szCs w:val="22"/>
          <w:lang w:eastAsia="en-US"/>
        </w:rPr>
        <w:t xml:space="preserve"> Az (1) bekezdés c) pontja szerinti szempontot a publikációs tevékenység tekintetében a Magyar Tudományos Akadémiáról szóló 1994. évi XL. törvény 3. § (1) bekezdés o) pontjában meghatározott nemzeti tudományos bibliográfiai adatbázisban szereplő adatokat kell figyelembe venni. Az értékelés során – a kar szabályzatának rendelkezése szerint – elkülönülten kell figyelembe venni az idegen nyelvű és a külföldön megjelent közleményeket, valamint a közleményekre való független hivatkozásokat.</w:t>
      </w:r>
    </w:p>
    <w:p w14:paraId="611FF6D8" w14:textId="77777777" w:rsidR="00893D5B" w:rsidRPr="000250FA" w:rsidRDefault="00893D5B" w:rsidP="00893D5B">
      <w:pPr>
        <w:spacing w:line="259" w:lineRule="auto"/>
        <w:jc w:val="both"/>
        <w:rPr>
          <w:rFonts w:eastAsia="Calibri"/>
          <w:iCs/>
          <w:sz w:val="22"/>
          <w:szCs w:val="22"/>
          <w:lang w:eastAsia="en-US"/>
        </w:rPr>
      </w:pPr>
    </w:p>
    <w:p w14:paraId="224DA452"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(6)</w:t>
      </w:r>
      <w:r w:rsidRPr="000250FA">
        <w:rPr>
          <w:rStyle w:val="Lbjegyzet-hivatkozs"/>
          <w:rFonts w:eastAsia="Calibri"/>
          <w:iCs/>
          <w:sz w:val="22"/>
          <w:szCs w:val="22"/>
          <w:lang w:eastAsia="en-US"/>
        </w:rPr>
        <w:footnoteReference w:id="234"/>
      </w:r>
      <w:r w:rsidRPr="000250FA">
        <w:rPr>
          <w:rFonts w:eastAsia="Calibri"/>
          <w:iCs/>
          <w:sz w:val="22"/>
          <w:szCs w:val="22"/>
          <w:lang w:eastAsia="en-US"/>
        </w:rPr>
        <w:t xml:space="preserve"> Az (1) bekezdés d) pontja szerinti szempont értékelése során figyelembe kell venni az egyetem és a </w:t>
      </w:r>
      <w:proofErr w:type="gramStart"/>
      <w:r w:rsidRPr="000250FA">
        <w:rPr>
          <w:rFonts w:eastAsia="Calibri"/>
          <w:iCs/>
          <w:sz w:val="22"/>
          <w:szCs w:val="22"/>
          <w:lang w:eastAsia="en-US"/>
        </w:rPr>
        <w:t>kar vezető</w:t>
      </w:r>
      <w:proofErr w:type="gramEnd"/>
      <w:r w:rsidRPr="000250FA">
        <w:rPr>
          <w:rFonts w:eastAsia="Calibri"/>
          <w:iCs/>
          <w:sz w:val="22"/>
          <w:szCs w:val="22"/>
          <w:lang w:eastAsia="en-US"/>
        </w:rPr>
        <w:t xml:space="preserve"> testületeiben, ezek bizottságaiban viselt tagságot, valamint az egyetemi vagy kari magasabb vezetői és vezetői tevékenységet. </w:t>
      </w:r>
    </w:p>
    <w:p w14:paraId="17A5AE31" w14:textId="77777777" w:rsidR="00893D5B" w:rsidRPr="000250FA" w:rsidRDefault="00893D5B" w:rsidP="00893D5B">
      <w:pPr>
        <w:spacing w:line="259" w:lineRule="auto"/>
        <w:jc w:val="both"/>
        <w:rPr>
          <w:rFonts w:eastAsia="Calibri"/>
          <w:iCs/>
          <w:sz w:val="22"/>
          <w:szCs w:val="22"/>
          <w:lang w:eastAsia="en-US"/>
        </w:rPr>
      </w:pPr>
    </w:p>
    <w:p w14:paraId="4A183D74"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 xml:space="preserve">(7) Az (1) bekezdés g) pontja szerinti szempont értékelésekor figyelembe kell venni az Országos Tudományos Diákköri Konferencia programjának körében végzett tevékenységet. </w:t>
      </w:r>
    </w:p>
    <w:p w14:paraId="1EFA7910" w14:textId="77777777" w:rsidR="00893D5B" w:rsidRPr="000250FA" w:rsidRDefault="00893D5B" w:rsidP="00893D5B">
      <w:pPr>
        <w:spacing w:line="259" w:lineRule="auto"/>
        <w:jc w:val="both"/>
        <w:rPr>
          <w:rFonts w:eastAsia="Calibri"/>
          <w:iCs/>
          <w:sz w:val="22"/>
          <w:szCs w:val="22"/>
          <w:lang w:eastAsia="en-US"/>
        </w:rPr>
      </w:pPr>
    </w:p>
    <w:p w14:paraId="0A032033"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(8) Az (1) bekezdés h) pontjában meghatározott szempontok értékelése során – a kar szabályzatának rendelkezése szerint – figyelembe kell venni a doktori témavezetői tevékenységet, a doktori fokozatot szerzett hallgatók számát, a doktori és habilitációs cselekményekben való részvételt, ideértve más felsőoktatási intézményekben folytatott tevékenységet is.</w:t>
      </w:r>
    </w:p>
    <w:p w14:paraId="34F6FFA6" w14:textId="77777777" w:rsidR="00893D5B" w:rsidRPr="000250FA" w:rsidRDefault="00893D5B" w:rsidP="00893D5B">
      <w:pPr>
        <w:spacing w:line="259" w:lineRule="auto"/>
        <w:jc w:val="both"/>
        <w:rPr>
          <w:rFonts w:eastAsia="Calibri"/>
          <w:iCs/>
          <w:sz w:val="22"/>
          <w:szCs w:val="22"/>
          <w:lang w:eastAsia="en-US"/>
        </w:rPr>
      </w:pPr>
    </w:p>
    <w:p w14:paraId="02BA42D9" w14:textId="77777777" w:rsidR="00893D5B" w:rsidRPr="000250FA" w:rsidRDefault="00893D5B" w:rsidP="00893D5B">
      <w:pPr>
        <w:spacing w:line="259" w:lineRule="auto"/>
        <w:jc w:val="both"/>
        <w:rPr>
          <w:rFonts w:eastAsia="Calibri"/>
          <w:iCs/>
          <w:sz w:val="22"/>
          <w:szCs w:val="22"/>
          <w:lang w:eastAsia="en-US"/>
        </w:rPr>
      </w:pPr>
      <w:r w:rsidRPr="000250FA">
        <w:rPr>
          <w:rFonts w:eastAsia="Calibri"/>
          <w:iCs/>
          <w:sz w:val="22"/>
          <w:szCs w:val="22"/>
          <w:lang w:eastAsia="en-US"/>
        </w:rPr>
        <w:t xml:space="preserve">(9) Az (1) bekezdés i) és j) pontja szerinti szempontokat az oktatói munka hallgatói véleményezésének a karon meghatározott rendje alapján kell figyelembe venni. </w:t>
      </w:r>
    </w:p>
    <w:p w14:paraId="3EA33382" w14:textId="77777777" w:rsidR="00893D5B" w:rsidRPr="000250FA" w:rsidRDefault="00893D5B" w:rsidP="00893D5B">
      <w:pPr>
        <w:spacing w:line="259" w:lineRule="auto"/>
        <w:jc w:val="both"/>
        <w:rPr>
          <w:rFonts w:eastAsia="Calibri"/>
          <w:iCs/>
          <w:sz w:val="22"/>
          <w:szCs w:val="22"/>
          <w:lang w:eastAsia="en-US"/>
        </w:rPr>
      </w:pPr>
    </w:p>
    <w:p w14:paraId="15FBD04F" w14:textId="77777777" w:rsidR="00893D5B" w:rsidRDefault="00893D5B" w:rsidP="00893D5B">
      <w:pPr>
        <w:jc w:val="both"/>
        <w:rPr>
          <w:rFonts w:eastAsia="Calibri"/>
          <w:sz w:val="22"/>
          <w:szCs w:val="22"/>
        </w:rPr>
      </w:pPr>
      <w:r w:rsidRPr="002F1E5A">
        <w:rPr>
          <w:rFonts w:eastAsia="Calibri"/>
          <w:iCs/>
          <w:sz w:val="22"/>
          <w:szCs w:val="22"/>
        </w:rPr>
        <w:t>(10)</w:t>
      </w:r>
      <w:r w:rsidRPr="002F1E5A">
        <w:rPr>
          <w:rStyle w:val="Lbjegyzet-hivatkozs"/>
          <w:rFonts w:eastAsia="Calibri"/>
          <w:iCs/>
          <w:sz w:val="20"/>
          <w:szCs w:val="22"/>
        </w:rPr>
        <w:footnoteReference w:id="235"/>
      </w:r>
      <w:r w:rsidRPr="002F1E5A">
        <w:rPr>
          <w:rFonts w:eastAsia="Calibri"/>
          <w:iCs/>
          <w:sz w:val="22"/>
          <w:szCs w:val="22"/>
        </w:rPr>
        <w:t>A</w:t>
      </w:r>
      <w:r w:rsidRPr="002F1E5A">
        <w:rPr>
          <w:rFonts w:eastAsia="Calibri"/>
          <w:sz w:val="22"/>
          <w:szCs w:val="22"/>
        </w:rPr>
        <w:t xml:space="preserve"> minősítés eredményeképpen az 51. §-</w:t>
      </w:r>
      <w:proofErr w:type="spellStart"/>
      <w:r w:rsidRPr="002F1E5A">
        <w:rPr>
          <w:rFonts w:eastAsia="Calibri"/>
          <w:sz w:val="22"/>
          <w:szCs w:val="22"/>
        </w:rPr>
        <w:t>ban</w:t>
      </w:r>
      <w:proofErr w:type="spellEnd"/>
      <w:r w:rsidRPr="002F1E5A">
        <w:rPr>
          <w:rFonts w:eastAsia="Calibri"/>
          <w:sz w:val="22"/>
          <w:szCs w:val="22"/>
        </w:rPr>
        <w:t xml:space="preserve"> meghatározott számítási rend alapján</w:t>
      </w:r>
    </w:p>
    <w:p w14:paraId="78731527" w14:textId="77777777" w:rsidR="00893D5B" w:rsidRPr="002F1E5A" w:rsidRDefault="00893D5B" w:rsidP="00893D5B">
      <w:pPr>
        <w:jc w:val="both"/>
        <w:rPr>
          <w:rFonts w:eastAsia="Calibri"/>
          <w:sz w:val="22"/>
          <w:szCs w:val="22"/>
        </w:rPr>
      </w:pPr>
    </w:p>
    <w:p w14:paraId="71FF6AAE" w14:textId="77777777" w:rsidR="00893D5B" w:rsidRPr="00893D5B" w:rsidRDefault="00893D5B" w:rsidP="00F83E93">
      <w:pPr>
        <w:numPr>
          <w:ilvl w:val="0"/>
          <w:numId w:val="137"/>
        </w:numPr>
        <w:jc w:val="both"/>
        <w:rPr>
          <w:rFonts w:eastAsia="Calibri"/>
          <w:sz w:val="22"/>
          <w:szCs w:val="22"/>
        </w:rPr>
      </w:pPr>
      <w:r w:rsidRPr="00893D5B">
        <w:rPr>
          <w:rFonts w:eastAsia="Calibri"/>
          <w:sz w:val="22"/>
          <w:szCs w:val="22"/>
        </w:rPr>
        <w:t>kiválóan alkalmas</w:t>
      </w:r>
    </w:p>
    <w:p w14:paraId="6EAC9C9B" w14:textId="77777777" w:rsidR="00893D5B" w:rsidRPr="00893D5B" w:rsidRDefault="00893D5B" w:rsidP="00F83E93">
      <w:pPr>
        <w:numPr>
          <w:ilvl w:val="0"/>
          <w:numId w:val="137"/>
        </w:numPr>
        <w:jc w:val="both"/>
        <w:rPr>
          <w:rFonts w:eastAsia="Calibri"/>
          <w:sz w:val="22"/>
          <w:szCs w:val="22"/>
        </w:rPr>
      </w:pPr>
      <w:r w:rsidRPr="00893D5B">
        <w:rPr>
          <w:rFonts w:eastAsia="Calibri"/>
          <w:sz w:val="22"/>
          <w:szCs w:val="22"/>
        </w:rPr>
        <w:t>alkalmas</w:t>
      </w:r>
    </w:p>
    <w:p w14:paraId="6F00C8D6" w14:textId="77777777" w:rsidR="00893D5B" w:rsidRPr="00893D5B" w:rsidRDefault="00893D5B" w:rsidP="00F83E93">
      <w:pPr>
        <w:numPr>
          <w:ilvl w:val="0"/>
          <w:numId w:val="137"/>
        </w:numPr>
        <w:jc w:val="both"/>
        <w:rPr>
          <w:rFonts w:eastAsia="Calibri"/>
          <w:sz w:val="22"/>
          <w:szCs w:val="22"/>
        </w:rPr>
      </w:pPr>
      <w:r w:rsidRPr="00893D5B">
        <w:rPr>
          <w:rFonts w:eastAsia="Calibri"/>
          <w:sz w:val="22"/>
          <w:szCs w:val="22"/>
        </w:rPr>
        <w:t>kevéssé alkalmas</w:t>
      </w:r>
    </w:p>
    <w:p w14:paraId="0C25B48E" w14:textId="77777777" w:rsidR="00893D5B" w:rsidRDefault="00893D5B" w:rsidP="00F83E93">
      <w:pPr>
        <w:numPr>
          <w:ilvl w:val="0"/>
          <w:numId w:val="137"/>
        </w:numPr>
        <w:jc w:val="both"/>
        <w:rPr>
          <w:rFonts w:eastAsia="Calibri"/>
          <w:sz w:val="22"/>
          <w:szCs w:val="22"/>
        </w:rPr>
      </w:pPr>
      <w:r w:rsidRPr="00893D5B">
        <w:rPr>
          <w:rFonts w:eastAsia="Calibri"/>
          <w:sz w:val="22"/>
          <w:szCs w:val="22"/>
        </w:rPr>
        <w:t>alkalmatlan</w:t>
      </w:r>
    </w:p>
    <w:p w14:paraId="1D8C53FA" w14:textId="77777777" w:rsidR="00893D5B" w:rsidRPr="00893D5B" w:rsidRDefault="00893D5B" w:rsidP="00385CF2">
      <w:pPr>
        <w:ind w:left="360"/>
        <w:jc w:val="both"/>
        <w:rPr>
          <w:rFonts w:eastAsia="Calibri"/>
          <w:sz w:val="22"/>
          <w:szCs w:val="22"/>
        </w:rPr>
      </w:pPr>
    </w:p>
    <w:p w14:paraId="2B7E4DA0" w14:textId="77777777" w:rsidR="00893D5B" w:rsidRPr="002F1E5A" w:rsidRDefault="00893D5B" w:rsidP="00893D5B">
      <w:pPr>
        <w:tabs>
          <w:tab w:val="left" w:pos="9781"/>
        </w:tabs>
        <w:jc w:val="both"/>
        <w:rPr>
          <w:rFonts w:eastAsia="Calibri"/>
          <w:sz w:val="22"/>
          <w:szCs w:val="22"/>
        </w:rPr>
      </w:pPr>
      <w:proofErr w:type="gramStart"/>
      <w:r w:rsidRPr="00893D5B">
        <w:rPr>
          <w:rFonts w:eastAsia="Calibri"/>
          <w:sz w:val="22"/>
          <w:szCs w:val="22"/>
        </w:rPr>
        <w:t>minősítés</w:t>
      </w:r>
      <w:proofErr w:type="gramEnd"/>
      <w:r w:rsidRPr="002F1E5A">
        <w:rPr>
          <w:rFonts w:eastAsia="Calibri"/>
          <w:b/>
          <w:i/>
          <w:sz w:val="22"/>
          <w:szCs w:val="22"/>
        </w:rPr>
        <w:t xml:space="preserve"> </w:t>
      </w:r>
      <w:r w:rsidRPr="002F1E5A">
        <w:rPr>
          <w:rFonts w:eastAsia="Calibri"/>
          <w:sz w:val="22"/>
          <w:szCs w:val="22"/>
        </w:rPr>
        <w:t>adható.</w:t>
      </w:r>
    </w:p>
    <w:p w14:paraId="2774C89F" w14:textId="77777777" w:rsidR="00893D5B" w:rsidRPr="002F1E5A" w:rsidRDefault="00893D5B" w:rsidP="00893D5B">
      <w:pPr>
        <w:tabs>
          <w:tab w:val="left" w:pos="9781"/>
        </w:tabs>
        <w:jc w:val="both"/>
        <w:rPr>
          <w:rFonts w:eastAsia="Calibri"/>
          <w:sz w:val="22"/>
          <w:szCs w:val="22"/>
        </w:rPr>
      </w:pPr>
    </w:p>
    <w:p w14:paraId="464138E7" w14:textId="77777777" w:rsidR="00893D5B" w:rsidRPr="002F1E5A" w:rsidRDefault="00893D5B" w:rsidP="00893D5B">
      <w:pPr>
        <w:tabs>
          <w:tab w:val="left" w:pos="9781"/>
        </w:tabs>
        <w:jc w:val="both"/>
        <w:rPr>
          <w:rFonts w:eastAsia="Calibri"/>
          <w:sz w:val="22"/>
          <w:szCs w:val="22"/>
        </w:rPr>
      </w:pPr>
      <w:r w:rsidRPr="002F1E5A">
        <w:rPr>
          <w:rFonts w:eastAsia="Calibri"/>
          <w:sz w:val="22"/>
          <w:szCs w:val="22"/>
        </w:rPr>
        <w:lastRenderedPageBreak/>
        <w:t>(11)</w:t>
      </w:r>
      <w:r w:rsidRPr="002F1E5A">
        <w:rPr>
          <w:rStyle w:val="Lbjegyzet-hivatkozs"/>
          <w:rFonts w:eastAsia="Calibri"/>
          <w:sz w:val="20"/>
          <w:szCs w:val="22"/>
        </w:rPr>
        <w:footnoteReference w:id="236"/>
      </w:r>
      <w:r w:rsidRPr="002F1E5A">
        <w:rPr>
          <w:rFonts w:eastAsia="Calibri"/>
          <w:sz w:val="22"/>
          <w:szCs w:val="22"/>
        </w:rPr>
        <w:t xml:space="preserve"> Felmentéssel szüntethető meg a közalkalmazotti jogviszony, ha a közalkalmazott értékelése három egymást követő tanévben </w:t>
      </w:r>
      <w:r w:rsidRPr="00893D5B">
        <w:rPr>
          <w:rFonts w:eastAsia="Calibri"/>
          <w:sz w:val="22"/>
          <w:szCs w:val="22"/>
        </w:rPr>
        <w:t>alkalmatlan</w:t>
      </w:r>
      <w:r w:rsidRPr="002F1E5A">
        <w:rPr>
          <w:rFonts w:eastAsia="Calibri"/>
          <w:sz w:val="22"/>
          <w:szCs w:val="22"/>
        </w:rPr>
        <w:t xml:space="preserve"> (/10/ bekezdés d/ pont).</w:t>
      </w:r>
    </w:p>
    <w:p w14:paraId="4F30D826" w14:textId="77777777" w:rsidR="00893D5B" w:rsidRPr="002F1E5A" w:rsidRDefault="00893D5B" w:rsidP="00893D5B">
      <w:pPr>
        <w:tabs>
          <w:tab w:val="left" w:pos="9781"/>
        </w:tabs>
        <w:jc w:val="both"/>
        <w:rPr>
          <w:rFonts w:eastAsia="Calibri"/>
          <w:sz w:val="22"/>
          <w:szCs w:val="22"/>
        </w:rPr>
      </w:pPr>
    </w:p>
    <w:p w14:paraId="1FE108AB" w14:textId="77777777" w:rsidR="00893D5B" w:rsidRPr="002F1E5A" w:rsidRDefault="00893D5B" w:rsidP="00893D5B">
      <w:pPr>
        <w:jc w:val="both"/>
        <w:rPr>
          <w:rFonts w:eastAsia="Calibri"/>
          <w:sz w:val="22"/>
          <w:szCs w:val="22"/>
        </w:rPr>
      </w:pPr>
      <w:r w:rsidRPr="002F1E5A">
        <w:rPr>
          <w:rFonts w:eastAsia="Calibri"/>
          <w:sz w:val="22"/>
          <w:szCs w:val="22"/>
        </w:rPr>
        <w:t>(12)</w:t>
      </w:r>
      <w:r w:rsidRPr="002F1E5A">
        <w:rPr>
          <w:rStyle w:val="Lbjegyzet-hivatkozs"/>
          <w:rFonts w:eastAsia="Calibri"/>
          <w:sz w:val="20"/>
          <w:szCs w:val="22"/>
          <w:lang w:eastAsia="en-US"/>
        </w:rPr>
        <w:footnoteReference w:id="237"/>
      </w:r>
      <w:r w:rsidRPr="002F1E5A">
        <w:rPr>
          <w:rFonts w:eastAsia="Calibri"/>
          <w:sz w:val="22"/>
          <w:szCs w:val="22"/>
        </w:rPr>
        <w:t xml:space="preserve"> </w:t>
      </w:r>
      <w:r w:rsidRPr="002F1E5A">
        <w:rPr>
          <w:rStyle w:val="Lbjegyzet-hivatkozs"/>
          <w:rFonts w:eastAsia="Calibri"/>
          <w:sz w:val="20"/>
          <w:szCs w:val="22"/>
        </w:rPr>
        <w:footnoteReference w:id="238"/>
      </w:r>
      <w:r>
        <w:rPr>
          <w:rFonts w:eastAsia="Calibri"/>
          <w:sz w:val="22"/>
          <w:szCs w:val="22"/>
        </w:rPr>
        <w:t xml:space="preserve"> </w:t>
      </w:r>
      <w:r w:rsidRPr="002F1E5A">
        <w:rPr>
          <w:rFonts w:eastAsia="Calibri"/>
          <w:sz w:val="22"/>
          <w:szCs w:val="22"/>
        </w:rPr>
        <w:t>Egyetemi adjunktussá, egyetemi docenssé, egyetemi tanárrá, tudományos m</w:t>
      </w:r>
      <w:r w:rsidRPr="002F1E5A">
        <w:rPr>
          <w:sz w:val="22"/>
          <w:szCs w:val="22"/>
        </w:rPr>
        <w:t xml:space="preserve">unkatárssá, tudományos főmunkatárssá, tudományos tanácsadóvá, kutatóprofesszorrá az a közalkalmazott nevezhető ki, akinek minősítése a kinevezést megelőző két egymást követő tanévben </w:t>
      </w:r>
      <w:r w:rsidRPr="00893D5B">
        <w:rPr>
          <w:sz w:val="22"/>
          <w:szCs w:val="22"/>
        </w:rPr>
        <w:t>kiválóan alkalmas, vagy alkalmas</w:t>
      </w:r>
      <w:r w:rsidRPr="002F1E5A">
        <w:rPr>
          <w:b/>
          <w:i/>
          <w:sz w:val="22"/>
          <w:szCs w:val="22"/>
        </w:rPr>
        <w:t xml:space="preserve"> </w:t>
      </w:r>
      <w:r w:rsidRPr="002F1E5A">
        <w:rPr>
          <w:sz w:val="22"/>
          <w:szCs w:val="22"/>
        </w:rPr>
        <w:t>volt.</w:t>
      </w:r>
    </w:p>
    <w:p w14:paraId="171639F4" w14:textId="77777777" w:rsidR="00893D5B" w:rsidRPr="000250FA" w:rsidRDefault="00893D5B" w:rsidP="00893D5B">
      <w:pPr>
        <w:tabs>
          <w:tab w:val="left" w:pos="9781"/>
        </w:tabs>
        <w:spacing w:line="259" w:lineRule="auto"/>
        <w:jc w:val="both"/>
        <w:rPr>
          <w:rFonts w:eastAsia="Calibri"/>
          <w:sz w:val="22"/>
          <w:szCs w:val="22"/>
          <w:lang w:eastAsia="en-US"/>
        </w:rPr>
      </w:pPr>
    </w:p>
    <w:p w14:paraId="4AB9F119" w14:textId="77777777" w:rsidR="00893D5B" w:rsidRPr="000250FA" w:rsidRDefault="00893D5B" w:rsidP="00893D5B">
      <w:pPr>
        <w:pStyle w:val="Cmsor4"/>
        <w:rPr>
          <w:strike/>
        </w:rPr>
      </w:pPr>
      <w:bookmarkStart w:id="151" w:name="_Toc432753561"/>
      <w:r w:rsidRPr="000250FA">
        <w:t>A vezetők, magasabb vezetők minősítése</w:t>
      </w:r>
      <w:bookmarkStart w:id="152" w:name="_Toc138068901"/>
      <w:bookmarkEnd w:id="151"/>
      <w:bookmarkEnd w:id="152"/>
    </w:p>
    <w:p w14:paraId="5A633368" w14:textId="77777777" w:rsidR="00893D5B" w:rsidRPr="000250FA" w:rsidRDefault="00893D5B" w:rsidP="00893D5B">
      <w:pPr>
        <w:tabs>
          <w:tab w:val="left" w:pos="9781"/>
        </w:tabs>
        <w:ind w:left="-540" w:right="-144"/>
        <w:jc w:val="both"/>
        <w:rPr>
          <w:sz w:val="22"/>
          <w:szCs w:val="22"/>
        </w:rPr>
      </w:pPr>
    </w:p>
    <w:p w14:paraId="2AB80921" w14:textId="77777777" w:rsidR="00893D5B" w:rsidRPr="000250FA" w:rsidRDefault="00893D5B" w:rsidP="00893D5B">
      <w:pPr>
        <w:tabs>
          <w:tab w:val="left" w:pos="9781"/>
        </w:tabs>
        <w:ind w:right="-144"/>
        <w:jc w:val="both"/>
        <w:rPr>
          <w:sz w:val="22"/>
          <w:szCs w:val="22"/>
        </w:rPr>
      </w:pPr>
      <w:r w:rsidRPr="000250FA">
        <w:rPr>
          <w:b/>
          <w:sz w:val="22"/>
          <w:szCs w:val="22"/>
        </w:rPr>
        <w:t>53. §</w:t>
      </w:r>
      <w:r w:rsidRPr="000250FA">
        <w:rPr>
          <w:sz w:val="22"/>
          <w:szCs w:val="22"/>
        </w:rPr>
        <w:t xml:space="preserve"> (1)</w:t>
      </w:r>
      <w:r w:rsidRPr="000250FA">
        <w:rPr>
          <w:rStyle w:val="Lbjegyzet-hivatkozs"/>
          <w:sz w:val="22"/>
          <w:szCs w:val="22"/>
        </w:rPr>
        <w:footnoteReference w:id="239"/>
      </w:r>
      <w:r w:rsidRPr="000250FA">
        <w:rPr>
          <w:sz w:val="22"/>
          <w:szCs w:val="22"/>
        </w:rPr>
        <w:t xml:space="preserve"> </w:t>
      </w:r>
      <w:r w:rsidRPr="000250FA">
        <w:rPr>
          <w:rStyle w:val="Lbjegyzet-hivatkozs"/>
          <w:sz w:val="22"/>
          <w:szCs w:val="22"/>
        </w:rPr>
        <w:footnoteReference w:id="240"/>
      </w:r>
      <w:r w:rsidRPr="000250FA">
        <w:rPr>
          <w:sz w:val="22"/>
          <w:szCs w:val="22"/>
        </w:rPr>
        <w:t xml:space="preserve"> A vezetők, magasabb vezetők teljesítményét a vezetői megbízást követő második év elteltével, valamint a határozott idejű magasabb vezetői vagy vezetői megbízás lejárta előtt legalább három hónappal minősíteni kell.</w:t>
      </w:r>
    </w:p>
    <w:p w14:paraId="7143037D" w14:textId="77777777" w:rsidR="00893D5B" w:rsidRPr="000250FA" w:rsidRDefault="00893D5B" w:rsidP="00893D5B">
      <w:pPr>
        <w:tabs>
          <w:tab w:val="left" w:pos="9781"/>
        </w:tabs>
        <w:ind w:right="-144"/>
        <w:jc w:val="both"/>
        <w:rPr>
          <w:sz w:val="22"/>
          <w:szCs w:val="22"/>
        </w:rPr>
      </w:pPr>
    </w:p>
    <w:p w14:paraId="32E9BDB5" w14:textId="77777777" w:rsidR="00893D5B" w:rsidRPr="000250FA" w:rsidRDefault="00893D5B" w:rsidP="00893D5B">
      <w:pPr>
        <w:tabs>
          <w:tab w:val="left" w:pos="9781"/>
        </w:tabs>
        <w:ind w:right="-144"/>
        <w:jc w:val="both"/>
        <w:rPr>
          <w:sz w:val="22"/>
          <w:szCs w:val="22"/>
        </w:rPr>
      </w:pPr>
      <w:r w:rsidRPr="000250FA">
        <w:rPr>
          <w:sz w:val="22"/>
          <w:szCs w:val="22"/>
        </w:rPr>
        <w:t>(2) A vezetők és magasabb vezetők minősítését az alábbi szempontok szerint kell elvégezni:</w:t>
      </w:r>
    </w:p>
    <w:p w14:paraId="4C1FA6CA" w14:textId="77777777" w:rsidR="00893D5B" w:rsidRPr="000250FA" w:rsidRDefault="00893D5B" w:rsidP="00893D5B">
      <w:pPr>
        <w:tabs>
          <w:tab w:val="left" w:pos="9781"/>
        </w:tabs>
        <w:ind w:left="540" w:right="-144"/>
        <w:jc w:val="both"/>
        <w:rPr>
          <w:sz w:val="22"/>
          <w:szCs w:val="22"/>
        </w:rPr>
      </w:pPr>
    </w:p>
    <w:p w14:paraId="754E6BA5" w14:textId="77777777" w:rsidR="00893D5B" w:rsidRPr="000250FA" w:rsidRDefault="00893D5B" w:rsidP="00912564">
      <w:pPr>
        <w:numPr>
          <w:ilvl w:val="0"/>
          <w:numId w:val="64"/>
        </w:numPr>
        <w:jc w:val="both"/>
        <w:rPr>
          <w:sz w:val="22"/>
          <w:szCs w:val="22"/>
        </w:rPr>
      </w:pPr>
      <w:r w:rsidRPr="000250FA">
        <w:rPr>
          <w:sz w:val="22"/>
          <w:szCs w:val="22"/>
        </w:rPr>
        <w:t>a vezető által irányított szervezeti egység munkájának színvonala,</w:t>
      </w:r>
    </w:p>
    <w:p w14:paraId="5C849818" w14:textId="77777777" w:rsidR="00893D5B" w:rsidRPr="000250FA" w:rsidRDefault="00893D5B" w:rsidP="00912564">
      <w:pPr>
        <w:numPr>
          <w:ilvl w:val="0"/>
          <w:numId w:val="64"/>
        </w:numPr>
        <w:jc w:val="both"/>
        <w:rPr>
          <w:sz w:val="22"/>
          <w:szCs w:val="22"/>
        </w:rPr>
      </w:pPr>
      <w:r w:rsidRPr="000250FA">
        <w:rPr>
          <w:sz w:val="22"/>
          <w:szCs w:val="22"/>
        </w:rPr>
        <w:t>a vezető által irányított szervezeti egység munkavégzésének szervezése.</w:t>
      </w:r>
    </w:p>
    <w:p w14:paraId="65CBB3FF" w14:textId="77777777" w:rsidR="00893D5B" w:rsidRPr="000250FA" w:rsidRDefault="00893D5B" w:rsidP="00893D5B">
      <w:pPr>
        <w:tabs>
          <w:tab w:val="left" w:pos="9781"/>
        </w:tabs>
        <w:ind w:left="540" w:right="-144"/>
        <w:jc w:val="both"/>
        <w:rPr>
          <w:sz w:val="22"/>
          <w:szCs w:val="22"/>
        </w:rPr>
      </w:pPr>
    </w:p>
    <w:p w14:paraId="52C53153" w14:textId="77777777" w:rsidR="00893D5B" w:rsidRPr="00893D5B" w:rsidRDefault="00893D5B" w:rsidP="00893D5B">
      <w:pPr>
        <w:tabs>
          <w:tab w:val="left" w:pos="9781"/>
        </w:tabs>
        <w:ind w:right="-144"/>
        <w:jc w:val="both"/>
        <w:rPr>
          <w:sz w:val="22"/>
        </w:rPr>
      </w:pPr>
      <w:r w:rsidRPr="000250FA">
        <w:rPr>
          <w:sz w:val="22"/>
          <w:szCs w:val="22"/>
        </w:rPr>
        <w:t>(3)</w:t>
      </w:r>
      <w:r>
        <w:rPr>
          <w:rStyle w:val="Lbjegyzet-hivatkozs"/>
          <w:sz w:val="22"/>
          <w:szCs w:val="22"/>
        </w:rPr>
        <w:footnoteReference w:id="241"/>
      </w:r>
      <w:r w:rsidRPr="000250FA">
        <w:rPr>
          <w:sz w:val="22"/>
          <w:szCs w:val="22"/>
        </w:rPr>
        <w:t xml:space="preserve"> </w:t>
      </w:r>
      <w:r w:rsidRPr="002F1E5A">
        <w:rPr>
          <w:sz w:val="22"/>
        </w:rPr>
        <w:t>A vezetők és magasabb vezetők esetében a minősítés eredményeképpen az 51. §-</w:t>
      </w:r>
      <w:proofErr w:type="spellStart"/>
      <w:r w:rsidRPr="002F1E5A">
        <w:rPr>
          <w:sz w:val="22"/>
        </w:rPr>
        <w:t>ban</w:t>
      </w:r>
      <w:proofErr w:type="spellEnd"/>
      <w:r w:rsidRPr="002F1E5A">
        <w:rPr>
          <w:sz w:val="22"/>
        </w:rPr>
        <w:t xml:space="preserve"> meghatározott </w:t>
      </w:r>
      <w:r w:rsidRPr="00893D5B">
        <w:rPr>
          <w:sz w:val="22"/>
        </w:rPr>
        <w:t>számítási rend alapján</w:t>
      </w:r>
    </w:p>
    <w:p w14:paraId="7202285F" w14:textId="77777777" w:rsidR="00893D5B" w:rsidRPr="00893D5B" w:rsidRDefault="00893D5B" w:rsidP="00893D5B">
      <w:pPr>
        <w:tabs>
          <w:tab w:val="left" w:pos="9781"/>
        </w:tabs>
        <w:ind w:right="-144"/>
        <w:jc w:val="both"/>
        <w:rPr>
          <w:sz w:val="22"/>
        </w:rPr>
      </w:pPr>
    </w:p>
    <w:p w14:paraId="57D3C1F1" w14:textId="77777777" w:rsidR="00893D5B" w:rsidRPr="00893D5B" w:rsidRDefault="00893D5B" w:rsidP="00F83E93">
      <w:pPr>
        <w:numPr>
          <w:ilvl w:val="0"/>
          <w:numId w:val="138"/>
        </w:numPr>
        <w:jc w:val="both"/>
        <w:rPr>
          <w:rFonts w:eastAsia="Calibri"/>
          <w:sz w:val="22"/>
        </w:rPr>
      </w:pPr>
      <w:r w:rsidRPr="00893D5B">
        <w:rPr>
          <w:rFonts w:eastAsia="Calibri"/>
          <w:sz w:val="22"/>
        </w:rPr>
        <w:t>kiválóan alkalmas</w:t>
      </w:r>
    </w:p>
    <w:p w14:paraId="71C41716" w14:textId="77777777" w:rsidR="00893D5B" w:rsidRPr="00893D5B" w:rsidRDefault="00893D5B" w:rsidP="00F83E93">
      <w:pPr>
        <w:numPr>
          <w:ilvl w:val="0"/>
          <w:numId w:val="138"/>
        </w:numPr>
        <w:jc w:val="both"/>
        <w:rPr>
          <w:rFonts w:eastAsia="Calibri"/>
          <w:sz w:val="22"/>
        </w:rPr>
      </w:pPr>
      <w:r w:rsidRPr="00893D5B">
        <w:rPr>
          <w:rFonts w:eastAsia="Calibri"/>
          <w:sz w:val="22"/>
        </w:rPr>
        <w:t>alkalmas</w:t>
      </w:r>
    </w:p>
    <w:p w14:paraId="0AB68D59" w14:textId="77777777" w:rsidR="00893D5B" w:rsidRPr="00893D5B" w:rsidRDefault="00893D5B" w:rsidP="00F83E93">
      <w:pPr>
        <w:numPr>
          <w:ilvl w:val="0"/>
          <w:numId w:val="138"/>
        </w:numPr>
        <w:jc w:val="both"/>
        <w:rPr>
          <w:rFonts w:eastAsia="Calibri"/>
          <w:sz w:val="22"/>
        </w:rPr>
      </w:pPr>
      <w:r w:rsidRPr="00893D5B">
        <w:rPr>
          <w:rFonts w:eastAsia="Calibri"/>
          <w:sz w:val="22"/>
        </w:rPr>
        <w:t>kevéssé alkalmas</w:t>
      </w:r>
    </w:p>
    <w:p w14:paraId="1859479B" w14:textId="77777777" w:rsidR="00893D5B" w:rsidRPr="00893D5B" w:rsidRDefault="00893D5B" w:rsidP="00F83E93">
      <w:pPr>
        <w:numPr>
          <w:ilvl w:val="0"/>
          <w:numId w:val="138"/>
        </w:numPr>
        <w:jc w:val="both"/>
        <w:rPr>
          <w:rFonts w:eastAsia="Calibri"/>
          <w:sz w:val="22"/>
        </w:rPr>
      </w:pPr>
      <w:r w:rsidRPr="00893D5B">
        <w:rPr>
          <w:rFonts w:eastAsia="Calibri"/>
          <w:sz w:val="22"/>
        </w:rPr>
        <w:t>alkalmatlan</w:t>
      </w:r>
    </w:p>
    <w:p w14:paraId="341CC898" w14:textId="77777777" w:rsidR="00893D5B" w:rsidRPr="00893D5B" w:rsidRDefault="00893D5B" w:rsidP="00893D5B">
      <w:pPr>
        <w:ind w:left="720"/>
        <w:jc w:val="both"/>
        <w:rPr>
          <w:rFonts w:eastAsia="Calibri"/>
          <w:sz w:val="22"/>
        </w:rPr>
      </w:pPr>
    </w:p>
    <w:p w14:paraId="4F484D67" w14:textId="77777777" w:rsidR="00893D5B" w:rsidRPr="002F1E5A" w:rsidRDefault="00893D5B" w:rsidP="00893D5B">
      <w:pPr>
        <w:tabs>
          <w:tab w:val="left" w:pos="9781"/>
        </w:tabs>
        <w:ind w:right="-144"/>
        <w:jc w:val="both"/>
        <w:rPr>
          <w:sz w:val="22"/>
        </w:rPr>
      </w:pPr>
      <w:proofErr w:type="gramStart"/>
      <w:r w:rsidRPr="002F1E5A">
        <w:rPr>
          <w:sz w:val="22"/>
        </w:rPr>
        <w:t>minősítés</w:t>
      </w:r>
      <w:proofErr w:type="gramEnd"/>
      <w:r w:rsidRPr="002F1E5A">
        <w:rPr>
          <w:sz w:val="22"/>
        </w:rPr>
        <w:t xml:space="preserve"> adható.</w:t>
      </w:r>
    </w:p>
    <w:p w14:paraId="23CE4E9F" w14:textId="77777777" w:rsidR="00893D5B" w:rsidRPr="000250FA" w:rsidRDefault="00893D5B" w:rsidP="00893D5B">
      <w:pPr>
        <w:tabs>
          <w:tab w:val="left" w:pos="9781"/>
        </w:tabs>
        <w:ind w:right="-144"/>
        <w:jc w:val="both"/>
        <w:rPr>
          <w:sz w:val="22"/>
          <w:szCs w:val="22"/>
        </w:rPr>
      </w:pPr>
    </w:p>
    <w:p w14:paraId="3CAAFA4F" w14:textId="77777777" w:rsidR="00893D5B" w:rsidRPr="000250FA" w:rsidRDefault="00893D5B" w:rsidP="00893D5B">
      <w:pPr>
        <w:pStyle w:val="Cmsor4"/>
        <w:rPr>
          <w:lang w:val="hu-HU"/>
        </w:rPr>
      </w:pPr>
      <w:r w:rsidRPr="000250FA">
        <w:t xml:space="preserve">A </w:t>
      </w:r>
      <w:r w:rsidRPr="000250FA">
        <w:rPr>
          <w:lang w:val="hu-HU"/>
        </w:rPr>
        <w:t>rektor</w:t>
      </w:r>
      <w:r w:rsidRPr="000250FA">
        <w:t xml:space="preserve"> minősítése</w:t>
      </w:r>
    </w:p>
    <w:p w14:paraId="06518CA8" w14:textId="77777777" w:rsidR="00893D5B" w:rsidRPr="000250FA" w:rsidRDefault="00893D5B" w:rsidP="00893D5B">
      <w:pPr>
        <w:rPr>
          <w:b/>
          <w:lang w:val="x-none" w:eastAsia="x-none"/>
        </w:rPr>
      </w:pPr>
    </w:p>
    <w:p w14:paraId="018DC85A" w14:textId="77777777" w:rsidR="00893D5B" w:rsidRPr="000250FA" w:rsidRDefault="00893D5B" w:rsidP="00893D5B">
      <w:pPr>
        <w:jc w:val="both"/>
        <w:rPr>
          <w:b/>
          <w:strike/>
          <w:sz w:val="22"/>
          <w:szCs w:val="22"/>
          <w:lang w:val="x-none"/>
        </w:rPr>
      </w:pPr>
      <w:r w:rsidRPr="000250FA">
        <w:rPr>
          <w:b/>
          <w:sz w:val="22"/>
          <w:szCs w:val="22"/>
        </w:rPr>
        <w:t>53/A.§</w:t>
      </w:r>
      <w:r w:rsidRPr="000250FA">
        <w:rPr>
          <w:rStyle w:val="Lbjegyzet-hivatkozs"/>
          <w:sz w:val="22"/>
          <w:szCs w:val="22"/>
        </w:rPr>
        <w:footnoteReference w:id="242"/>
      </w:r>
      <w:proofErr w:type="gramStart"/>
      <w:r w:rsidRPr="000250FA">
        <w:rPr>
          <w:sz w:val="22"/>
          <w:szCs w:val="22"/>
        </w:rPr>
        <w:t>A</w:t>
      </w:r>
      <w:proofErr w:type="gramEnd"/>
      <w:r w:rsidRPr="000250FA">
        <w:rPr>
          <w:sz w:val="22"/>
          <w:szCs w:val="22"/>
        </w:rPr>
        <w:t xml:space="preserve"> rektor minősítésére a vonatkozó jogszabályban meghatározott szempontrendszer alapulvételével az oktatásért felelős miniszter jogosult.</w:t>
      </w:r>
      <w:r w:rsidRPr="000250FA">
        <w:t xml:space="preserve"> </w:t>
      </w:r>
    </w:p>
    <w:p w14:paraId="374BC477" w14:textId="77777777" w:rsidR="00893D5B" w:rsidRPr="000250FA" w:rsidRDefault="00893D5B" w:rsidP="00893D5B">
      <w:pPr>
        <w:tabs>
          <w:tab w:val="left" w:pos="9781"/>
        </w:tabs>
        <w:ind w:right="-144"/>
        <w:jc w:val="both"/>
        <w:rPr>
          <w:b/>
          <w:i/>
          <w:sz w:val="22"/>
          <w:szCs w:val="22"/>
        </w:rPr>
      </w:pPr>
    </w:p>
    <w:p w14:paraId="70BCE3AB" w14:textId="77777777" w:rsidR="00893D5B" w:rsidRPr="000250FA" w:rsidRDefault="00893D5B" w:rsidP="00893D5B">
      <w:pPr>
        <w:pStyle w:val="Cmsor4"/>
      </w:pPr>
      <w:r w:rsidRPr="000250FA">
        <w:rPr>
          <w:i/>
        </w:rPr>
        <w:t xml:space="preserve"> </w:t>
      </w:r>
      <w:r w:rsidRPr="000250FA">
        <w:t xml:space="preserve">A </w:t>
      </w:r>
      <w:r w:rsidRPr="000250FA">
        <w:rPr>
          <w:lang w:val="hu-HU"/>
        </w:rPr>
        <w:t xml:space="preserve">kancellár </w:t>
      </w:r>
      <w:r w:rsidRPr="000250FA">
        <w:t>minősítése</w:t>
      </w:r>
    </w:p>
    <w:p w14:paraId="197705A5" w14:textId="77777777" w:rsidR="00893D5B" w:rsidRPr="000250FA" w:rsidRDefault="00893D5B" w:rsidP="00893D5B">
      <w:pPr>
        <w:tabs>
          <w:tab w:val="left" w:pos="9781"/>
        </w:tabs>
        <w:ind w:right="-144"/>
        <w:jc w:val="both"/>
        <w:rPr>
          <w:b/>
          <w:sz w:val="22"/>
          <w:szCs w:val="22"/>
        </w:rPr>
      </w:pPr>
    </w:p>
    <w:p w14:paraId="06203B6D" w14:textId="77777777" w:rsidR="00893D5B" w:rsidRPr="000250FA" w:rsidRDefault="00893D5B" w:rsidP="00893D5B">
      <w:pPr>
        <w:jc w:val="both"/>
        <w:rPr>
          <w:b/>
          <w:strike/>
          <w:sz w:val="22"/>
          <w:szCs w:val="22"/>
          <w:lang w:val="x-none"/>
        </w:rPr>
      </w:pPr>
      <w:r w:rsidRPr="000250FA">
        <w:rPr>
          <w:b/>
          <w:sz w:val="22"/>
          <w:szCs w:val="22"/>
        </w:rPr>
        <w:t>53/B.§</w:t>
      </w:r>
      <w:r w:rsidRPr="000250FA">
        <w:rPr>
          <w:rStyle w:val="Lbjegyzet-hivatkozs"/>
          <w:sz w:val="22"/>
          <w:szCs w:val="22"/>
        </w:rPr>
        <w:footnoteReference w:id="243"/>
      </w:r>
      <w:r w:rsidRPr="000250FA">
        <w:rPr>
          <w:sz w:val="22"/>
          <w:szCs w:val="22"/>
        </w:rPr>
        <w:t xml:space="preserve"> </w:t>
      </w:r>
      <w:proofErr w:type="gramStart"/>
      <w:r w:rsidRPr="000250FA">
        <w:rPr>
          <w:sz w:val="22"/>
          <w:szCs w:val="22"/>
        </w:rPr>
        <w:t>A</w:t>
      </w:r>
      <w:proofErr w:type="gramEnd"/>
      <w:r w:rsidRPr="000250FA">
        <w:rPr>
          <w:sz w:val="22"/>
          <w:szCs w:val="22"/>
        </w:rPr>
        <w:t xml:space="preserve"> kancellár minősítésére a vonatkozó jogszabályban meghatározott szempontrendszer alapulvételével az oktatásért felelős miniszter jogosult.</w:t>
      </w:r>
      <w:r w:rsidRPr="000250FA">
        <w:t xml:space="preserve"> </w:t>
      </w:r>
    </w:p>
    <w:p w14:paraId="1D9465B8" w14:textId="77777777" w:rsidR="00893D5B" w:rsidRPr="000250FA" w:rsidRDefault="00893D5B" w:rsidP="00893D5B">
      <w:pPr>
        <w:tabs>
          <w:tab w:val="left" w:pos="9781"/>
        </w:tabs>
        <w:ind w:right="-144"/>
        <w:jc w:val="both"/>
        <w:rPr>
          <w:sz w:val="22"/>
          <w:szCs w:val="22"/>
        </w:rPr>
      </w:pPr>
    </w:p>
    <w:p w14:paraId="610F0242" w14:textId="77777777" w:rsidR="00385CF2" w:rsidRDefault="00385CF2">
      <w:pPr>
        <w:spacing w:after="160" w:line="259" w:lineRule="auto"/>
        <w:rPr>
          <w:b/>
          <w:sz w:val="22"/>
          <w:szCs w:val="22"/>
        </w:rPr>
      </w:pPr>
      <w:r>
        <w:rPr>
          <w:b/>
          <w:sz w:val="22"/>
          <w:szCs w:val="22"/>
        </w:rPr>
        <w:br w:type="page"/>
      </w:r>
    </w:p>
    <w:p w14:paraId="17D68395" w14:textId="77777777" w:rsidR="00893D5B" w:rsidRPr="000250FA" w:rsidRDefault="00893D5B" w:rsidP="00893D5B">
      <w:pPr>
        <w:pStyle w:val="Cmsor3"/>
      </w:pPr>
      <w:bookmarkStart w:id="153" w:name="_Toc432753562"/>
      <w:bookmarkStart w:id="154" w:name="_Toc444603556"/>
      <w:bookmarkStart w:id="155" w:name="_Toc445200816"/>
      <w:bookmarkStart w:id="156" w:name="_Toc58569538"/>
      <w:r w:rsidRPr="000250FA">
        <w:lastRenderedPageBreak/>
        <w:t>VII. fejezet - A jogorvoslat rendje</w:t>
      </w:r>
      <w:bookmarkEnd w:id="153"/>
      <w:bookmarkEnd w:id="154"/>
      <w:bookmarkEnd w:id="155"/>
      <w:bookmarkEnd w:id="156"/>
    </w:p>
    <w:p w14:paraId="1B82AA4C" w14:textId="77777777" w:rsidR="00893D5B" w:rsidRPr="000250FA" w:rsidRDefault="00893D5B" w:rsidP="00893D5B">
      <w:pPr>
        <w:tabs>
          <w:tab w:val="left" w:pos="9781"/>
        </w:tabs>
        <w:ind w:right="-144"/>
        <w:jc w:val="both"/>
        <w:rPr>
          <w:sz w:val="22"/>
          <w:szCs w:val="22"/>
        </w:rPr>
      </w:pPr>
    </w:p>
    <w:p w14:paraId="7ECBDDCD" w14:textId="77777777" w:rsidR="00893D5B" w:rsidRPr="000250FA" w:rsidRDefault="00893D5B" w:rsidP="00893D5B">
      <w:pPr>
        <w:jc w:val="both"/>
        <w:rPr>
          <w:sz w:val="22"/>
          <w:szCs w:val="22"/>
        </w:rPr>
      </w:pPr>
      <w:bookmarkStart w:id="157" w:name="pr631"/>
      <w:r w:rsidRPr="000250FA">
        <w:rPr>
          <w:b/>
          <w:sz w:val="22"/>
          <w:szCs w:val="22"/>
        </w:rPr>
        <w:t>54. §</w:t>
      </w:r>
      <w:r w:rsidRPr="000250FA">
        <w:rPr>
          <w:sz w:val="22"/>
          <w:szCs w:val="22"/>
        </w:rPr>
        <w:t xml:space="preserve"> (1) A szabályzat hatálya alá tartozó személyek valamely döntéshozatalra jogosult személy, vagy valamely testület foglalkoztatási jogviszonyával összefüggésben hozott döntése vagy intézkedése, illetve intézkedésének elmulasztása ellen – a közléstől, ennek hiányában a tudomására jutásától számított tizenöt napon belül – jogorvoslattal élhet, ha a döntés, intézkedés, vagy ezek elmulasztása ellentétes e szabályzatban foglaltakkal</w:t>
      </w:r>
      <w:bookmarkEnd w:id="157"/>
      <w:r w:rsidRPr="000250FA">
        <w:rPr>
          <w:sz w:val="22"/>
          <w:szCs w:val="22"/>
        </w:rPr>
        <w:t>, vagy jogszabályba ütközik.</w:t>
      </w:r>
    </w:p>
    <w:p w14:paraId="6E090A84" w14:textId="77777777" w:rsidR="00893D5B" w:rsidRPr="000250FA" w:rsidRDefault="00893D5B" w:rsidP="00893D5B">
      <w:pPr>
        <w:jc w:val="both"/>
        <w:rPr>
          <w:sz w:val="22"/>
          <w:szCs w:val="22"/>
        </w:rPr>
      </w:pPr>
    </w:p>
    <w:p w14:paraId="6BE54C55" w14:textId="77777777" w:rsidR="00893D5B" w:rsidRPr="000250FA" w:rsidRDefault="00893D5B" w:rsidP="00893D5B">
      <w:pPr>
        <w:jc w:val="both"/>
        <w:rPr>
          <w:sz w:val="22"/>
          <w:szCs w:val="22"/>
        </w:rPr>
      </w:pPr>
      <w:r w:rsidRPr="000250FA">
        <w:rPr>
          <w:sz w:val="22"/>
          <w:szCs w:val="22"/>
        </w:rPr>
        <w:t>(2)</w:t>
      </w:r>
      <w:r w:rsidRPr="0037430A">
        <w:rPr>
          <w:sz w:val="22"/>
          <w:szCs w:val="22"/>
          <w:vertAlign w:val="superscript"/>
        </w:rPr>
        <w:footnoteReference w:id="244"/>
      </w:r>
      <w:r w:rsidR="0037430A">
        <w:rPr>
          <w:sz w:val="22"/>
          <w:szCs w:val="22"/>
        </w:rPr>
        <w:t xml:space="preserve"> </w:t>
      </w:r>
      <w:r w:rsidRPr="000250FA">
        <w:rPr>
          <w:sz w:val="22"/>
          <w:szCs w:val="22"/>
        </w:rPr>
        <w:t xml:space="preserve">A jogorvoslati kérelmet a rektorhoz, a Kancellária területén a kancellárhoz kell benyújtani, aki azt harminc napon belül elbírálja és annak alapossága esetén – a rektor, illetve kancellár kivételével – a </w:t>
      </w:r>
      <w:proofErr w:type="spellStart"/>
      <w:r w:rsidRPr="000250FA">
        <w:rPr>
          <w:sz w:val="22"/>
          <w:szCs w:val="22"/>
        </w:rPr>
        <w:t>panaszolt</w:t>
      </w:r>
      <w:proofErr w:type="spellEnd"/>
      <w:r w:rsidRPr="000250FA">
        <w:rPr>
          <w:sz w:val="22"/>
          <w:szCs w:val="22"/>
        </w:rPr>
        <w:t xml:space="preserve"> személy vagy – a Szenátus kivételével – testület döntését, intézkedését – szükség esetén új eljárás lefolytatására és határozat meghozatalára utasítás mellett – megsemmisítheti, illetve a mulasztót döntés meghozatalára, intézkedés megtételére utasíthatja.</w:t>
      </w:r>
    </w:p>
    <w:p w14:paraId="56AE45C0" w14:textId="77777777" w:rsidR="00893D5B" w:rsidRPr="000250FA" w:rsidRDefault="00893D5B" w:rsidP="00893D5B">
      <w:pPr>
        <w:jc w:val="both"/>
        <w:rPr>
          <w:sz w:val="22"/>
          <w:szCs w:val="22"/>
        </w:rPr>
      </w:pPr>
    </w:p>
    <w:p w14:paraId="76B6ADBD" w14:textId="77777777" w:rsidR="00893D5B" w:rsidRPr="000250FA" w:rsidRDefault="00893D5B" w:rsidP="00893D5B">
      <w:pPr>
        <w:jc w:val="both"/>
        <w:rPr>
          <w:sz w:val="22"/>
          <w:szCs w:val="22"/>
        </w:rPr>
      </w:pPr>
      <w:r w:rsidRPr="000250FA">
        <w:rPr>
          <w:sz w:val="22"/>
          <w:szCs w:val="22"/>
        </w:rPr>
        <w:t>(3)</w:t>
      </w:r>
      <w:r w:rsidRPr="0037430A">
        <w:rPr>
          <w:sz w:val="22"/>
          <w:szCs w:val="22"/>
          <w:vertAlign w:val="superscript"/>
        </w:rPr>
        <w:footnoteReference w:id="245"/>
      </w:r>
      <w:r w:rsidR="0037430A">
        <w:rPr>
          <w:sz w:val="22"/>
          <w:szCs w:val="22"/>
        </w:rPr>
        <w:t xml:space="preserve"> </w:t>
      </w:r>
      <w:r w:rsidRPr="000250FA">
        <w:rPr>
          <w:sz w:val="22"/>
          <w:szCs w:val="22"/>
        </w:rPr>
        <w:t>A rektor a kancellár, illetve a Szenátus döntése, intézkedése, illetve mulasztása esetén a rektor, illetve a kancellár a szükséges döntést, intézkedést harminc napon belül meghozhatja, illetve ugyanezen határidőn belül kezdeményezheti a Szenátus,</w:t>
      </w:r>
      <w:r w:rsidRPr="000250FA">
        <w:rPr>
          <w:b/>
          <w:i/>
          <w:sz w:val="22"/>
          <w:szCs w:val="22"/>
        </w:rPr>
        <w:t xml:space="preserve"> </w:t>
      </w:r>
      <w:r w:rsidRPr="000250FA">
        <w:rPr>
          <w:sz w:val="22"/>
          <w:szCs w:val="22"/>
        </w:rPr>
        <w:t>eljárását.</w:t>
      </w:r>
    </w:p>
    <w:p w14:paraId="59342771" w14:textId="77777777" w:rsidR="00893D5B" w:rsidRPr="000250FA" w:rsidRDefault="00893D5B" w:rsidP="00893D5B">
      <w:pPr>
        <w:jc w:val="both"/>
        <w:rPr>
          <w:sz w:val="22"/>
          <w:szCs w:val="22"/>
        </w:rPr>
      </w:pPr>
    </w:p>
    <w:p w14:paraId="40D9F696" w14:textId="77777777" w:rsidR="00893D5B" w:rsidRPr="000250FA" w:rsidRDefault="00893D5B" w:rsidP="00893D5B">
      <w:pPr>
        <w:jc w:val="both"/>
        <w:rPr>
          <w:sz w:val="22"/>
          <w:szCs w:val="22"/>
        </w:rPr>
      </w:pPr>
      <w:r w:rsidRPr="000250FA">
        <w:rPr>
          <w:sz w:val="22"/>
          <w:szCs w:val="22"/>
        </w:rPr>
        <w:t>(4)</w:t>
      </w:r>
      <w:r w:rsidRPr="0037430A">
        <w:rPr>
          <w:sz w:val="22"/>
          <w:szCs w:val="22"/>
          <w:vertAlign w:val="superscript"/>
        </w:rPr>
        <w:footnoteReference w:id="246"/>
      </w:r>
      <w:r w:rsidR="0037430A">
        <w:rPr>
          <w:sz w:val="22"/>
          <w:szCs w:val="22"/>
        </w:rPr>
        <w:t xml:space="preserve"> </w:t>
      </w:r>
      <w:r w:rsidRPr="000250FA">
        <w:rPr>
          <w:sz w:val="22"/>
          <w:szCs w:val="22"/>
        </w:rPr>
        <w:t>Amennyiben a rektor, illetve a kancellár a saját maga, illetve a Szenátus döntése, intézkedése, illetve mulasztása miatti eljárás lefolytatását megtagadja, az Egyetemen belül további jogorvoslatnak nincs helye.</w:t>
      </w:r>
    </w:p>
    <w:p w14:paraId="04D5BED9" w14:textId="77777777" w:rsidR="00893D5B" w:rsidRPr="000250FA" w:rsidRDefault="00893D5B" w:rsidP="00893D5B">
      <w:pPr>
        <w:tabs>
          <w:tab w:val="left" w:pos="9781"/>
        </w:tabs>
        <w:ind w:right="-144"/>
        <w:jc w:val="both"/>
        <w:rPr>
          <w:sz w:val="22"/>
          <w:szCs w:val="22"/>
        </w:rPr>
      </w:pPr>
    </w:p>
    <w:p w14:paraId="170742F5" w14:textId="77777777" w:rsidR="00893D5B" w:rsidRPr="000250FA" w:rsidRDefault="00893D5B" w:rsidP="00893D5B">
      <w:pPr>
        <w:tabs>
          <w:tab w:val="left" w:pos="9781"/>
        </w:tabs>
        <w:ind w:right="-144"/>
        <w:jc w:val="both"/>
        <w:rPr>
          <w:sz w:val="22"/>
          <w:szCs w:val="22"/>
        </w:rPr>
      </w:pPr>
      <w:r w:rsidRPr="000250FA">
        <w:rPr>
          <w:b/>
          <w:sz w:val="22"/>
          <w:szCs w:val="22"/>
        </w:rPr>
        <w:t>55. §</w:t>
      </w:r>
      <w:r w:rsidRPr="000250FA">
        <w:rPr>
          <w:sz w:val="22"/>
          <w:szCs w:val="22"/>
        </w:rPr>
        <w:t xml:space="preserve"> A közalkalmazott jogszabályban meghatározott esetekben a munkáltató közalkalmazotti jogviszonyra vonatkozó szabályt sértő intézkedése (mulasztása) ellen, valamint a közalkalmazotti jogviszonyból származó igények érvényesítése érdekében munkaügyi vitát kezdeményezhet. A munkaügyi jogvitában bíróság jár le.</w:t>
      </w:r>
    </w:p>
    <w:p w14:paraId="0CA0665B" w14:textId="77777777" w:rsidR="00893D5B" w:rsidRPr="000250FA" w:rsidRDefault="00893D5B" w:rsidP="00893D5B">
      <w:pPr>
        <w:tabs>
          <w:tab w:val="left" w:pos="9781"/>
        </w:tabs>
        <w:ind w:right="-144"/>
        <w:rPr>
          <w:b/>
          <w:sz w:val="22"/>
          <w:szCs w:val="22"/>
        </w:rPr>
      </w:pPr>
    </w:p>
    <w:p w14:paraId="00837120" w14:textId="77777777" w:rsidR="00893D5B" w:rsidRPr="000250FA" w:rsidRDefault="00893D5B" w:rsidP="00893D5B">
      <w:pPr>
        <w:pStyle w:val="Cmsor1"/>
      </w:pPr>
      <w:bookmarkStart w:id="158" w:name="_Toc432753563"/>
      <w:bookmarkStart w:id="159" w:name="_Toc444603557"/>
      <w:bookmarkStart w:id="160" w:name="_Toc445200817"/>
      <w:bookmarkStart w:id="161" w:name="_Toc58569539"/>
      <w:r w:rsidRPr="000250FA">
        <w:t>HARMADIK RÉSZ</w:t>
      </w:r>
      <w:bookmarkEnd w:id="158"/>
      <w:bookmarkEnd w:id="159"/>
      <w:bookmarkEnd w:id="160"/>
      <w:bookmarkEnd w:id="161"/>
    </w:p>
    <w:p w14:paraId="4D9797B7" w14:textId="77777777" w:rsidR="00893D5B" w:rsidRPr="000250FA" w:rsidRDefault="00893D5B" w:rsidP="00893D5B">
      <w:pPr>
        <w:tabs>
          <w:tab w:val="left" w:pos="9781"/>
        </w:tabs>
        <w:ind w:right="-144"/>
        <w:jc w:val="center"/>
        <w:rPr>
          <w:b/>
          <w:sz w:val="22"/>
          <w:szCs w:val="22"/>
        </w:rPr>
      </w:pPr>
    </w:p>
    <w:p w14:paraId="4BA41F13" w14:textId="77777777" w:rsidR="00893D5B" w:rsidRPr="000250FA" w:rsidRDefault="00893D5B" w:rsidP="00893D5B">
      <w:pPr>
        <w:pStyle w:val="Cmsor2"/>
      </w:pPr>
      <w:bookmarkStart w:id="162" w:name="_Toc432753564"/>
      <w:bookmarkStart w:id="163" w:name="_Toc444603558"/>
      <w:bookmarkStart w:id="164" w:name="_Toc445200818"/>
      <w:bookmarkStart w:id="165" w:name="_Toc58569540"/>
      <w:r w:rsidRPr="000250FA">
        <w:t>Az oktatókra, kutatókra és tanárokra vonatkozó különös szabályok</w:t>
      </w:r>
      <w:bookmarkEnd w:id="162"/>
      <w:bookmarkEnd w:id="163"/>
      <w:bookmarkEnd w:id="164"/>
      <w:bookmarkEnd w:id="165"/>
    </w:p>
    <w:p w14:paraId="7248E7CD" w14:textId="77777777" w:rsidR="00893D5B" w:rsidRPr="000250FA" w:rsidRDefault="00893D5B" w:rsidP="00893D5B">
      <w:pPr>
        <w:tabs>
          <w:tab w:val="left" w:pos="9781"/>
        </w:tabs>
        <w:ind w:right="-144"/>
        <w:jc w:val="both"/>
        <w:rPr>
          <w:sz w:val="22"/>
          <w:szCs w:val="22"/>
        </w:rPr>
      </w:pPr>
    </w:p>
    <w:p w14:paraId="71F1A3BF" w14:textId="77777777" w:rsidR="00893D5B" w:rsidRPr="000250FA" w:rsidRDefault="00893D5B" w:rsidP="00893D5B">
      <w:pPr>
        <w:pStyle w:val="Cmsor3"/>
      </w:pPr>
      <w:bookmarkStart w:id="166" w:name="_Toc432753565"/>
      <w:bookmarkStart w:id="167" w:name="_Toc444603559"/>
      <w:bookmarkStart w:id="168" w:name="_Toc445200819"/>
      <w:bookmarkStart w:id="169" w:name="_Toc58569541"/>
      <w:r w:rsidRPr="000250FA">
        <w:t>I. fejezet - Az oktatói munkakör létesítése</w:t>
      </w:r>
      <w:bookmarkEnd w:id="166"/>
      <w:bookmarkEnd w:id="167"/>
      <w:bookmarkEnd w:id="168"/>
      <w:bookmarkEnd w:id="169"/>
    </w:p>
    <w:p w14:paraId="5E23D563" w14:textId="77777777" w:rsidR="00893D5B" w:rsidRPr="000250FA" w:rsidRDefault="00893D5B" w:rsidP="00893D5B">
      <w:pPr>
        <w:tabs>
          <w:tab w:val="left" w:pos="9781"/>
        </w:tabs>
        <w:ind w:right="-144"/>
        <w:rPr>
          <w:b/>
          <w:sz w:val="22"/>
          <w:szCs w:val="22"/>
        </w:rPr>
      </w:pPr>
    </w:p>
    <w:p w14:paraId="1FBE32AC" w14:textId="77777777" w:rsidR="00893D5B" w:rsidRPr="000250FA" w:rsidRDefault="00893D5B" w:rsidP="00893D5B">
      <w:pPr>
        <w:pStyle w:val="Cmsor4"/>
      </w:pPr>
      <w:bookmarkStart w:id="170" w:name="_Toc432753566"/>
      <w:r w:rsidRPr="000250FA">
        <w:t>Általános szabályok</w:t>
      </w:r>
      <w:bookmarkEnd w:id="170"/>
    </w:p>
    <w:p w14:paraId="5EAAC60D" w14:textId="77777777" w:rsidR="00893D5B" w:rsidRPr="000250FA" w:rsidRDefault="00893D5B" w:rsidP="00893D5B">
      <w:pPr>
        <w:tabs>
          <w:tab w:val="left" w:pos="9781"/>
        </w:tabs>
        <w:ind w:right="-144"/>
        <w:jc w:val="center"/>
        <w:rPr>
          <w:b/>
          <w:sz w:val="22"/>
          <w:szCs w:val="22"/>
        </w:rPr>
      </w:pPr>
    </w:p>
    <w:p w14:paraId="587CCB32" w14:textId="77777777" w:rsidR="00893D5B" w:rsidRPr="000250FA" w:rsidRDefault="00893D5B" w:rsidP="00893D5B">
      <w:pPr>
        <w:jc w:val="both"/>
        <w:rPr>
          <w:bCs/>
          <w:sz w:val="22"/>
          <w:szCs w:val="22"/>
        </w:rPr>
      </w:pPr>
      <w:r w:rsidRPr="000250FA">
        <w:rPr>
          <w:b/>
          <w:sz w:val="22"/>
          <w:szCs w:val="22"/>
        </w:rPr>
        <w:t>56. §</w:t>
      </w:r>
      <w:r w:rsidRPr="000250FA">
        <w:rPr>
          <w:sz w:val="22"/>
          <w:szCs w:val="22"/>
        </w:rPr>
        <w:t xml:space="preserve"> </w:t>
      </w:r>
      <w:r w:rsidRPr="000250FA">
        <w:rPr>
          <w:bCs/>
          <w:sz w:val="22"/>
          <w:szCs w:val="22"/>
        </w:rPr>
        <w:t xml:space="preserve">(1) Az Egyetemen oktatói feladat </w:t>
      </w:r>
      <w:r w:rsidRPr="000250FA">
        <w:rPr>
          <w:sz w:val="22"/>
          <w:szCs w:val="22"/>
        </w:rPr>
        <w:t>–</w:t>
      </w:r>
      <w:r w:rsidRPr="000250FA">
        <w:rPr>
          <w:bCs/>
          <w:sz w:val="22"/>
          <w:szCs w:val="22"/>
        </w:rPr>
        <w:t xml:space="preserve"> a (3) bekezdésben meghatározott kivétellel </w:t>
      </w:r>
      <w:r w:rsidRPr="000250FA">
        <w:rPr>
          <w:sz w:val="22"/>
          <w:szCs w:val="22"/>
        </w:rPr>
        <w:t>–</w:t>
      </w:r>
      <w:r w:rsidRPr="000250FA">
        <w:rPr>
          <w:bCs/>
          <w:sz w:val="22"/>
          <w:szCs w:val="22"/>
        </w:rPr>
        <w:t xml:space="preserve"> oktatói munkakörben az oktatói munkakörre létesített közalkalmazotti jogviszonyban látható el. </w:t>
      </w:r>
    </w:p>
    <w:p w14:paraId="468C1B46" w14:textId="77777777" w:rsidR="00893D5B" w:rsidRPr="000250FA" w:rsidRDefault="00893D5B" w:rsidP="00893D5B">
      <w:pPr>
        <w:jc w:val="both"/>
        <w:rPr>
          <w:bCs/>
          <w:sz w:val="22"/>
          <w:szCs w:val="22"/>
        </w:rPr>
      </w:pPr>
    </w:p>
    <w:p w14:paraId="07FF2BAB" w14:textId="77777777" w:rsidR="00893D5B" w:rsidRPr="000250FA" w:rsidRDefault="00893D5B" w:rsidP="00893D5B">
      <w:pPr>
        <w:jc w:val="both"/>
        <w:rPr>
          <w:bCs/>
          <w:sz w:val="22"/>
          <w:szCs w:val="22"/>
        </w:rPr>
      </w:pPr>
      <w:r w:rsidRPr="000250FA">
        <w:rPr>
          <w:bCs/>
          <w:sz w:val="22"/>
          <w:szCs w:val="22"/>
        </w:rPr>
        <w:t>(2) Oktatói munkakörben nem magyar állampolgár is alkalmazható. Az e szabályzatban meghatározott követelményeket a nem magyar állampolgárokra is megfelelően alkalmazni kell.</w:t>
      </w:r>
    </w:p>
    <w:p w14:paraId="633AED6D" w14:textId="77777777" w:rsidR="00893D5B" w:rsidRPr="000250FA" w:rsidRDefault="00893D5B" w:rsidP="00893D5B">
      <w:pPr>
        <w:jc w:val="both"/>
        <w:rPr>
          <w:sz w:val="22"/>
          <w:szCs w:val="22"/>
        </w:rPr>
      </w:pPr>
    </w:p>
    <w:p w14:paraId="66B3522D" w14:textId="77777777" w:rsidR="00893D5B" w:rsidRPr="000250FA" w:rsidRDefault="00893D5B" w:rsidP="00893D5B">
      <w:pPr>
        <w:jc w:val="both"/>
        <w:rPr>
          <w:bCs/>
          <w:i/>
          <w:sz w:val="22"/>
          <w:szCs w:val="22"/>
        </w:rPr>
      </w:pPr>
      <w:r w:rsidRPr="000250FA">
        <w:rPr>
          <w:bCs/>
          <w:sz w:val="22"/>
          <w:szCs w:val="22"/>
        </w:rPr>
        <w:t>(3)</w:t>
      </w:r>
      <w:r w:rsidRPr="000250FA">
        <w:rPr>
          <w:rStyle w:val="Lbjegyzet-hivatkozs"/>
          <w:bCs/>
          <w:sz w:val="22"/>
          <w:szCs w:val="22"/>
        </w:rPr>
        <w:footnoteReference w:id="247"/>
      </w:r>
      <w:r w:rsidRPr="000250FA">
        <w:rPr>
          <w:bCs/>
          <w:sz w:val="22"/>
          <w:szCs w:val="22"/>
        </w:rPr>
        <w:t xml:space="preserve"> Megbízási jogviszony keretében az oktatói feladat akkor látható el, ha az oktató által ellátott tevékenység jellege ezt megengedi, továbbá a végzett munkára fordított idő nem haladja meg a teljes munkaidő hatvan százalékát (a továbbiakban: óraadó oktató). Megbízási jogviszony létesíthető az eseti, nem rendszeres oktatói feladatokra is.</w:t>
      </w:r>
      <w:r w:rsidRPr="000250FA">
        <w:rPr>
          <w:bCs/>
          <w:i/>
          <w:sz w:val="22"/>
          <w:szCs w:val="22"/>
        </w:rPr>
        <w:t xml:space="preserve"> </w:t>
      </w:r>
      <w:r w:rsidRPr="000250FA">
        <w:rPr>
          <w:bCs/>
          <w:sz w:val="22"/>
          <w:szCs w:val="22"/>
        </w:rPr>
        <w:t xml:space="preserve">Az óraadó oktatóra vonatkozó további szabályokat e szabályzat 94. §-a tartalmazza. </w:t>
      </w:r>
    </w:p>
    <w:p w14:paraId="0864718D" w14:textId="77777777" w:rsidR="00893D5B" w:rsidRPr="000250FA" w:rsidRDefault="00893D5B" w:rsidP="00893D5B">
      <w:pPr>
        <w:tabs>
          <w:tab w:val="left" w:pos="9781"/>
        </w:tabs>
        <w:autoSpaceDE w:val="0"/>
        <w:autoSpaceDN w:val="0"/>
        <w:adjustRightInd w:val="0"/>
        <w:ind w:right="-144"/>
        <w:jc w:val="both"/>
        <w:rPr>
          <w:sz w:val="22"/>
          <w:szCs w:val="22"/>
        </w:rPr>
      </w:pPr>
    </w:p>
    <w:p w14:paraId="1064E29A" w14:textId="77777777" w:rsidR="00893D5B" w:rsidRPr="000250FA" w:rsidRDefault="00893D5B" w:rsidP="00893D5B">
      <w:pPr>
        <w:jc w:val="both"/>
        <w:rPr>
          <w:bCs/>
          <w:sz w:val="22"/>
          <w:szCs w:val="22"/>
        </w:rPr>
      </w:pPr>
      <w:r w:rsidRPr="000250FA">
        <w:rPr>
          <w:bCs/>
          <w:sz w:val="22"/>
          <w:szCs w:val="22"/>
        </w:rPr>
        <w:lastRenderedPageBreak/>
        <w:t xml:space="preserve">(4) Az oktatói feladatok és a tudományos kutatói feladatok egy munkakörben is elláthatók, ebben az esetben a munkaszerződésben, közalkalmazotti kinevezésben kell meghatározni, hogy az egyes feladatokat a foglalkoztatás </w:t>
      </w:r>
      <w:r w:rsidRPr="000250FA">
        <w:rPr>
          <w:sz w:val="22"/>
          <w:szCs w:val="22"/>
        </w:rPr>
        <w:t xml:space="preserve">– </w:t>
      </w:r>
      <w:r w:rsidRPr="000250FA">
        <w:rPr>
          <w:bCs/>
          <w:sz w:val="22"/>
          <w:szCs w:val="22"/>
        </w:rPr>
        <w:t xml:space="preserve">teljes vagy rész </w:t>
      </w:r>
      <w:r w:rsidRPr="000250FA">
        <w:rPr>
          <w:sz w:val="22"/>
          <w:szCs w:val="22"/>
        </w:rPr>
        <w:t>–</w:t>
      </w:r>
      <w:r w:rsidRPr="000250FA">
        <w:rPr>
          <w:bCs/>
          <w:sz w:val="22"/>
          <w:szCs w:val="22"/>
        </w:rPr>
        <w:t xml:space="preserve"> </w:t>
      </w:r>
      <w:proofErr w:type="spellStart"/>
      <w:r w:rsidRPr="000250FA">
        <w:rPr>
          <w:bCs/>
          <w:sz w:val="22"/>
          <w:szCs w:val="22"/>
        </w:rPr>
        <w:t>munkaidejének</w:t>
      </w:r>
      <w:proofErr w:type="spellEnd"/>
      <w:r w:rsidRPr="000250FA">
        <w:rPr>
          <w:bCs/>
          <w:sz w:val="22"/>
          <w:szCs w:val="22"/>
        </w:rPr>
        <w:t xml:space="preserve"> milyen hányadában kell ellátni.</w:t>
      </w:r>
    </w:p>
    <w:p w14:paraId="0955E027" w14:textId="77777777" w:rsidR="00893D5B" w:rsidRPr="000250FA" w:rsidRDefault="00893D5B" w:rsidP="00893D5B">
      <w:pPr>
        <w:jc w:val="both"/>
        <w:rPr>
          <w:b/>
          <w:bCs/>
          <w:i/>
          <w:sz w:val="22"/>
          <w:szCs w:val="22"/>
        </w:rPr>
      </w:pPr>
    </w:p>
    <w:p w14:paraId="3E84E01B" w14:textId="77777777" w:rsidR="00893D5B" w:rsidRPr="000250FA" w:rsidRDefault="00893D5B" w:rsidP="00893D5B">
      <w:pPr>
        <w:jc w:val="both"/>
        <w:rPr>
          <w:bCs/>
          <w:sz w:val="22"/>
          <w:szCs w:val="22"/>
        </w:rPr>
      </w:pPr>
      <w:r w:rsidRPr="000250FA">
        <w:rPr>
          <w:b/>
          <w:bCs/>
          <w:sz w:val="22"/>
          <w:szCs w:val="22"/>
        </w:rPr>
        <w:t>56/</w:t>
      </w:r>
      <w:proofErr w:type="gramStart"/>
      <w:r w:rsidRPr="000250FA">
        <w:rPr>
          <w:b/>
          <w:bCs/>
          <w:sz w:val="22"/>
          <w:szCs w:val="22"/>
        </w:rPr>
        <w:t>A.</w:t>
      </w:r>
      <w:proofErr w:type="gramEnd"/>
      <w:r w:rsidRPr="000250FA">
        <w:rPr>
          <w:b/>
          <w:bCs/>
          <w:sz w:val="22"/>
          <w:szCs w:val="22"/>
        </w:rPr>
        <w:t xml:space="preserve"> §</w:t>
      </w:r>
      <w:r w:rsidRPr="000250FA">
        <w:rPr>
          <w:rStyle w:val="Lbjegyzet-hivatkozs"/>
          <w:b/>
          <w:bCs/>
          <w:sz w:val="22"/>
          <w:szCs w:val="22"/>
        </w:rPr>
        <w:footnoteReference w:id="248"/>
      </w:r>
      <w:r w:rsidRPr="000250FA">
        <w:rPr>
          <w:b/>
          <w:bCs/>
          <w:sz w:val="22"/>
          <w:szCs w:val="22"/>
        </w:rPr>
        <w:t xml:space="preserve"> </w:t>
      </w:r>
      <w:r w:rsidRPr="000250FA">
        <w:rPr>
          <w:bCs/>
          <w:sz w:val="22"/>
          <w:szCs w:val="22"/>
        </w:rPr>
        <w:t>(1) A külföldi bizonyítványok és oklevelek elismeréséről szóló 2001. évi. C. törvény (a továbbiakban: Elismerési törvény) 4. §-</w:t>
      </w:r>
      <w:proofErr w:type="gramStart"/>
      <w:r w:rsidRPr="000250FA">
        <w:rPr>
          <w:bCs/>
          <w:sz w:val="22"/>
          <w:szCs w:val="22"/>
        </w:rPr>
        <w:t>a</w:t>
      </w:r>
      <w:proofErr w:type="gramEnd"/>
      <w:r w:rsidRPr="000250FA">
        <w:rPr>
          <w:bCs/>
          <w:sz w:val="22"/>
          <w:szCs w:val="22"/>
        </w:rPr>
        <w:t xml:space="preserve"> alapján a külföldön, felsőoktatásban szerzett oklevéllel vagy tudományos fokozattal rendelkező személy a jelen szabályzat rendelkezései alapján közalkalmazotti jogviszony keretében kizárólag oktatói vagy tudományos kutatói munkakörben való foglalkoztatásához </w:t>
      </w:r>
    </w:p>
    <w:p w14:paraId="0A963E88" w14:textId="77777777" w:rsidR="00893D5B" w:rsidRPr="000250FA" w:rsidRDefault="00893D5B" w:rsidP="00F83E93">
      <w:pPr>
        <w:numPr>
          <w:ilvl w:val="0"/>
          <w:numId w:val="136"/>
        </w:numPr>
        <w:jc w:val="both"/>
        <w:rPr>
          <w:bCs/>
          <w:sz w:val="22"/>
          <w:szCs w:val="22"/>
        </w:rPr>
      </w:pPr>
      <w:r w:rsidRPr="000250FA">
        <w:rPr>
          <w:bCs/>
          <w:sz w:val="22"/>
          <w:szCs w:val="22"/>
        </w:rPr>
        <w:t xml:space="preserve">a külföldi oklevelek által tanúsított tudományos fokozat Elismerési törvény III. Fejezete szerinti honosítása, amennyiben az </w:t>
      </w:r>
      <w:proofErr w:type="spellStart"/>
      <w:r w:rsidRPr="000250FA">
        <w:rPr>
          <w:bCs/>
          <w:sz w:val="22"/>
          <w:szCs w:val="22"/>
        </w:rPr>
        <w:t>Nftv</w:t>
      </w:r>
      <w:proofErr w:type="spellEnd"/>
      <w:r w:rsidRPr="000250FA">
        <w:rPr>
          <w:bCs/>
          <w:sz w:val="22"/>
          <w:szCs w:val="22"/>
        </w:rPr>
        <w:t>. szerint a külföldi oklevélnek megfelelő tudományágban vagy művészeti ágban doktori fokozat odaítélésére jogosult,</w:t>
      </w:r>
    </w:p>
    <w:p w14:paraId="40E9AF43" w14:textId="77777777" w:rsidR="00893D5B" w:rsidRPr="000250FA" w:rsidRDefault="00893D5B" w:rsidP="00F83E93">
      <w:pPr>
        <w:numPr>
          <w:ilvl w:val="0"/>
          <w:numId w:val="136"/>
        </w:numPr>
        <w:jc w:val="both"/>
        <w:rPr>
          <w:bCs/>
          <w:sz w:val="22"/>
          <w:szCs w:val="22"/>
        </w:rPr>
      </w:pPr>
      <w:r w:rsidRPr="000250FA">
        <w:rPr>
          <w:bCs/>
          <w:sz w:val="22"/>
          <w:szCs w:val="22"/>
        </w:rPr>
        <w:t xml:space="preserve">külföldi képzés sikeres elvégzését tanúsító </w:t>
      </w:r>
      <w:proofErr w:type="gramStart"/>
      <w:r w:rsidRPr="000250FA">
        <w:rPr>
          <w:bCs/>
          <w:sz w:val="22"/>
          <w:szCs w:val="22"/>
        </w:rPr>
        <w:t>okirat oktató</w:t>
      </w:r>
      <w:proofErr w:type="gramEnd"/>
      <w:r w:rsidRPr="000250FA">
        <w:rPr>
          <w:bCs/>
          <w:sz w:val="22"/>
          <w:szCs w:val="22"/>
        </w:rPr>
        <w:t xml:space="preserve"> vagy tudományos kutató képesítésként történő elismerése,</w:t>
      </w:r>
    </w:p>
    <w:p w14:paraId="5FF57E98" w14:textId="77777777" w:rsidR="00893D5B" w:rsidRPr="000250FA" w:rsidRDefault="00893D5B" w:rsidP="00F83E93">
      <w:pPr>
        <w:numPr>
          <w:ilvl w:val="0"/>
          <w:numId w:val="136"/>
        </w:numPr>
        <w:jc w:val="both"/>
        <w:rPr>
          <w:bCs/>
          <w:sz w:val="22"/>
          <w:szCs w:val="22"/>
        </w:rPr>
      </w:pPr>
      <w:r w:rsidRPr="000250FA">
        <w:rPr>
          <w:bCs/>
          <w:sz w:val="22"/>
          <w:szCs w:val="22"/>
        </w:rPr>
        <w:t>külföldi oklevélnek az Elismerési törvény 14/</w:t>
      </w:r>
      <w:proofErr w:type="gramStart"/>
      <w:r w:rsidRPr="000250FA">
        <w:rPr>
          <w:bCs/>
          <w:sz w:val="22"/>
          <w:szCs w:val="22"/>
        </w:rPr>
        <w:t>A</w:t>
      </w:r>
      <w:proofErr w:type="gramEnd"/>
      <w:r w:rsidRPr="000250FA">
        <w:rPr>
          <w:bCs/>
          <w:sz w:val="22"/>
          <w:szCs w:val="22"/>
        </w:rPr>
        <w:t xml:space="preserve">. § (2) bekezdése szerint hazai mesterfokozatként történő elismerése </w:t>
      </w:r>
    </w:p>
    <w:p w14:paraId="68068494" w14:textId="77777777" w:rsidR="00893D5B" w:rsidRPr="000250FA" w:rsidRDefault="00893D5B" w:rsidP="00893D5B">
      <w:pPr>
        <w:jc w:val="both"/>
        <w:rPr>
          <w:bCs/>
          <w:sz w:val="22"/>
          <w:szCs w:val="22"/>
        </w:rPr>
      </w:pPr>
      <w:proofErr w:type="gramStart"/>
      <w:r w:rsidRPr="000250FA">
        <w:rPr>
          <w:bCs/>
          <w:sz w:val="22"/>
          <w:szCs w:val="22"/>
        </w:rPr>
        <w:t>az</w:t>
      </w:r>
      <w:proofErr w:type="gramEnd"/>
      <w:r w:rsidRPr="000250FA">
        <w:rPr>
          <w:bCs/>
          <w:sz w:val="22"/>
          <w:szCs w:val="22"/>
        </w:rPr>
        <w:t xml:space="preserve"> Egyetem feladata.</w:t>
      </w:r>
    </w:p>
    <w:p w14:paraId="5D19092A" w14:textId="77777777" w:rsidR="00893D5B" w:rsidRPr="000250FA" w:rsidRDefault="00893D5B" w:rsidP="00893D5B">
      <w:pPr>
        <w:jc w:val="both"/>
        <w:rPr>
          <w:bCs/>
          <w:sz w:val="22"/>
          <w:szCs w:val="22"/>
        </w:rPr>
      </w:pPr>
    </w:p>
    <w:p w14:paraId="24818393" w14:textId="77777777" w:rsidR="00893D5B" w:rsidRPr="000250FA" w:rsidRDefault="00893D5B" w:rsidP="00893D5B">
      <w:pPr>
        <w:jc w:val="both"/>
        <w:rPr>
          <w:bCs/>
          <w:sz w:val="22"/>
          <w:szCs w:val="22"/>
        </w:rPr>
      </w:pPr>
      <w:r w:rsidRPr="000250FA">
        <w:rPr>
          <w:bCs/>
          <w:sz w:val="22"/>
          <w:szCs w:val="22"/>
        </w:rPr>
        <w:t>(2) Az (1) bekezdésben foglaltakon felül az Egyetem nem rendelkezik elismerési és honosítási jogosultsággal.</w:t>
      </w:r>
    </w:p>
    <w:p w14:paraId="17A166C9" w14:textId="77777777" w:rsidR="00893D5B" w:rsidRPr="000250FA" w:rsidRDefault="00893D5B" w:rsidP="00893D5B">
      <w:pPr>
        <w:jc w:val="both"/>
        <w:rPr>
          <w:bCs/>
          <w:sz w:val="22"/>
          <w:szCs w:val="22"/>
        </w:rPr>
      </w:pPr>
    </w:p>
    <w:p w14:paraId="25F0F255" w14:textId="77777777" w:rsidR="00893D5B" w:rsidRPr="000250FA" w:rsidRDefault="00893D5B" w:rsidP="00893D5B">
      <w:pPr>
        <w:jc w:val="both"/>
        <w:rPr>
          <w:bCs/>
          <w:sz w:val="22"/>
          <w:szCs w:val="22"/>
        </w:rPr>
      </w:pPr>
      <w:r w:rsidRPr="000250FA">
        <w:rPr>
          <w:bCs/>
          <w:sz w:val="22"/>
          <w:szCs w:val="22"/>
        </w:rPr>
        <w:t>(3) Az (1) bekezdésben foglalt - elismerésre és honosításra vonatkozó – egyetemi eljárási szabályokról rektori és kancellári együttes utasítás rendelkezik.</w:t>
      </w:r>
    </w:p>
    <w:p w14:paraId="278D5B08" w14:textId="77777777" w:rsidR="00893D5B" w:rsidRPr="000250FA" w:rsidRDefault="00893D5B" w:rsidP="00893D5B">
      <w:pPr>
        <w:tabs>
          <w:tab w:val="left" w:pos="9781"/>
        </w:tabs>
        <w:ind w:right="-144"/>
        <w:jc w:val="both"/>
        <w:rPr>
          <w:sz w:val="22"/>
          <w:szCs w:val="22"/>
        </w:rPr>
      </w:pPr>
    </w:p>
    <w:p w14:paraId="74EA0590" w14:textId="77777777" w:rsidR="00893D5B" w:rsidRPr="000250FA" w:rsidRDefault="00893D5B" w:rsidP="00893D5B">
      <w:pPr>
        <w:tabs>
          <w:tab w:val="left" w:pos="9781"/>
        </w:tabs>
        <w:ind w:right="-144"/>
        <w:jc w:val="both"/>
        <w:rPr>
          <w:sz w:val="22"/>
          <w:szCs w:val="22"/>
        </w:rPr>
      </w:pPr>
      <w:r w:rsidRPr="000250FA">
        <w:rPr>
          <w:b/>
          <w:sz w:val="22"/>
          <w:szCs w:val="22"/>
        </w:rPr>
        <w:t>57. §</w:t>
      </w:r>
      <w:r w:rsidRPr="000250FA">
        <w:rPr>
          <w:sz w:val="22"/>
          <w:szCs w:val="22"/>
        </w:rPr>
        <w:t xml:space="preserve"> Az Egyetemen az alábbi oktatói munkakörök </w:t>
      </w:r>
      <w:proofErr w:type="spellStart"/>
      <w:r w:rsidRPr="000250FA">
        <w:rPr>
          <w:sz w:val="22"/>
          <w:szCs w:val="22"/>
        </w:rPr>
        <w:t>létesíthetőek</w:t>
      </w:r>
      <w:proofErr w:type="spellEnd"/>
      <w:r w:rsidRPr="000250FA">
        <w:rPr>
          <w:sz w:val="22"/>
          <w:szCs w:val="22"/>
        </w:rPr>
        <w:t>:</w:t>
      </w:r>
    </w:p>
    <w:p w14:paraId="50E46657" w14:textId="77777777" w:rsidR="00893D5B" w:rsidRPr="000250FA" w:rsidRDefault="00893D5B" w:rsidP="00893D5B">
      <w:pPr>
        <w:tabs>
          <w:tab w:val="left" w:pos="9781"/>
        </w:tabs>
        <w:ind w:right="-144"/>
        <w:jc w:val="both"/>
        <w:rPr>
          <w:sz w:val="22"/>
          <w:szCs w:val="22"/>
        </w:rPr>
      </w:pPr>
    </w:p>
    <w:p w14:paraId="6536E95A" w14:textId="77777777" w:rsidR="00893D5B" w:rsidRPr="000250FA" w:rsidRDefault="00893D5B" w:rsidP="00912564">
      <w:pPr>
        <w:numPr>
          <w:ilvl w:val="0"/>
          <w:numId w:val="65"/>
        </w:numPr>
        <w:jc w:val="both"/>
        <w:rPr>
          <w:sz w:val="22"/>
          <w:szCs w:val="22"/>
        </w:rPr>
      </w:pPr>
      <w:r w:rsidRPr="000250FA">
        <w:rPr>
          <w:sz w:val="22"/>
          <w:szCs w:val="22"/>
        </w:rPr>
        <w:t>tanársegéd,</w:t>
      </w:r>
    </w:p>
    <w:p w14:paraId="06A3020F" w14:textId="77777777" w:rsidR="00893D5B" w:rsidRPr="000250FA" w:rsidRDefault="00893D5B" w:rsidP="00912564">
      <w:pPr>
        <w:numPr>
          <w:ilvl w:val="0"/>
          <w:numId w:val="65"/>
        </w:numPr>
        <w:jc w:val="both"/>
        <w:rPr>
          <w:sz w:val="22"/>
          <w:szCs w:val="22"/>
        </w:rPr>
      </w:pPr>
      <w:r w:rsidRPr="000250FA">
        <w:rPr>
          <w:sz w:val="22"/>
          <w:szCs w:val="22"/>
        </w:rPr>
        <w:t>adjunktus,</w:t>
      </w:r>
    </w:p>
    <w:p w14:paraId="36929D31" w14:textId="77777777" w:rsidR="00893D5B" w:rsidRPr="000250FA" w:rsidRDefault="00893D5B" w:rsidP="00912564">
      <w:pPr>
        <w:numPr>
          <w:ilvl w:val="0"/>
          <w:numId w:val="65"/>
        </w:numPr>
        <w:jc w:val="both"/>
        <w:rPr>
          <w:sz w:val="22"/>
          <w:szCs w:val="22"/>
        </w:rPr>
      </w:pPr>
      <w:r w:rsidRPr="000250FA">
        <w:rPr>
          <w:sz w:val="22"/>
          <w:szCs w:val="22"/>
        </w:rPr>
        <w:t>főiskolai, illetve egyetemi docens,</w:t>
      </w:r>
    </w:p>
    <w:p w14:paraId="31A52CEE" w14:textId="77777777" w:rsidR="00893D5B" w:rsidRPr="000250FA" w:rsidRDefault="00893D5B" w:rsidP="00912564">
      <w:pPr>
        <w:numPr>
          <w:ilvl w:val="0"/>
          <w:numId w:val="65"/>
        </w:numPr>
        <w:jc w:val="both"/>
        <w:rPr>
          <w:sz w:val="22"/>
          <w:szCs w:val="22"/>
        </w:rPr>
      </w:pPr>
      <w:r w:rsidRPr="000250FA">
        <w:rPr>
          <w:sz w:val="22"/>
          <w:szCs w:val="22"/>
        </w:rPr>
        <w:t>főiskolai, illetve egyetemi tanár</w:t>
      </w:r>
    </w:p>
    <w:p w14:paraId="28B96EEB" w14:textId="77777777" w:rsidR="00893D5B" w:rsidRPr="000250FA" w:rsidRDefault="00893D5B" w:rsidP="00912564">
      <w:pPr>
        <w:numPr>
          <w:ilvl w:val="0"/>
          <w:numId w:val="65"/>
        </w:numPr>
        <w:jc w:val="both"/>
        <w:rPr>
          <w:b/>
          <w:i/>
        </w:rPr>
      </w:pPr>
      <w:r w:rsidRPr="000250FA">
        <w:rPr>
          <w:sz w:val="22"/>
          <w:szCs w:val="22"/>
        </w:rPr>
        <w:t>mesteroktató</w:t>
      </w:r>
      <w:r w:rsidRPr="000250FA">
        <w:rPr>
          <w:rStyle w:val="Lbjegyzet-hivatkozs"/>
          <w:b/>
          <w:i/>
          <w:sz w:val="22"/>
          <w:szCs w:val="22"/>
        </w:rPr>
        <w:footnoteReference w:id="249"/>
      </w:r>
      <w:r w:rsidRPr="000250FA">
        <w:rPr>
          <w:b/>
          <w:i/>
        </w:rPr>
        <w:t>.</w:t>
      </w:r>
    </w:p>
    <w:p w14:paraId="6CE0F9A5" w14:textId="77777777" w:rsidR="00893D5B" w:rsidRPr="000250FA" w:rsidRDefault="00893D5B" w:rsidP="00893D5B">
      <w:pPr>
        <w:tabs>
          <w:tab w:val="left" w:pos="9781"/>
        </w:tabs>
        <w:ind w:right="-144"/>
        <w:jc w:val="both"/>
        <w:rPr>
          <w:sz w:val="22"/>
          <w:szCs w:val="22"/>
        </w:rPr>
      </w:pPr>
    </w:p>
    <w:p w14:paraId="0DD62BB3" w14:textId="77777777" w:rsidR="00893D5B" w:rsidRPr="000250FA" w:rsidRDefault="00893D5B" w:rsidP="00893D5B">
      <w:pPr>
        <w:tabs>
          <w:tab w:val="left" w:pos="9781"/>
        </w:tabs>
        <w:ind w:right="-144"/>
        <w:jc w:val="both"/>
        <w:rPr>
          <w:sz w:val="22"/>
          <w:szCs w:val="22"/>
        </w:rPr>
      </w:pPr>
      <w:r w:rsidRPr="000250FA">
        <w:rPr>
          <w:b/>
          <w:sz w:val="22"/>
          <w:szCs w:val="22"/>
        </w:rPr>
        <w:t xml:space="preserve">58. § </w:t>
      </w:r>
      <w:r w:rsidRPr="000250FA">
        <w:rPr>
          <w:sz w:val="22"/>
          <w:szCs w:val="22"/>
        </w:rPr>
        <w:t xml:space="preserve">Oktatói munkakörben az alkalmazható, aki az e szabályzatban meghatározott általános feltételeken túl megfelel az oktatói, kutatói, </w:t>
      </w:r>
      <w:proofErr w:type="spellStart"/>
      <w:r w:rsidRPr="000250FA">
        <w:rPr>
          <w:sz w:val="22"/>
          <w:szCs w:val="22"/>
        </w:rPr>
        <w:t>gyógyítói</w:t>
      </w:r>
      <w:proofErr w:type="spellEnd"/>
      <w:r w:rsidRPr="000250FA">
        <w:rPr>
          <w:sz w:val="22"/>
          <w:szCs w:val="22"/>
        </w:rPr>
        <w:t xml:space="preserve"> illetve művészeti alkotói követelményeknek. </w:t>
      </w:r>
    </w:p>
    <w:p w14:paraId="6C573623" w14:textId="77777777" w:rsidR="00893D5B" w:rsidRPr="000250FA" w:rsidRDefault="00893D5B" w:rsidP="00893D5B">
      <w:pPr>
        <w:tabs>
          <w:tab w:val="left" w:pos="9781"/>
        </w:tabs>
        <w:ind w:right="-144"/>
        <w:jc w:val="both"/>
        <w:rPr>
          <w:sz w:val="22"/>
          <w:szCs w:val="22"/>
        </w:rPr>
      </w:pPr>
    </w:p>
    <w:p w14:paraId="68C4BAD3" w14:textId="77777777" w:rsidR="00893D5B" w:rsidRPr="000250FA" w:rsidRDefault="00893D5B" w:rsidP="00893D5B">
      <w:pPr>
        <w:jc w:val="both"/>
        <w:rPr>
          <w:bCs/>
          <w:sz w:val="22"/>
          <w:szCs w:val="22"/>
        </w:rPr>
      </w:pPr>
      <w:r w:rsidRPr="000250FA">
        <w:rPr>
          <w:b/>
          <w:bCs/>
          <w:sz w:val="22"/>
          <w:szCs w:val="22"/>
        </w:rPr>
        <w:t>59. §</w:t>
      </w:r>
      <w:r w:rsidRPr="000250FA">
        <w:rPr>
          <w:rStyle w:val="Lbjegyzet-hivatkozs"/>
          <w:bCs/>
          <w:sz w:val="22"/>
          <w:szCs w:val="22"/>
        </w:rPr>
        <w:footnoteReference w:id="250"/>
      </w:r>
      <w:r w:rsidRPr="000250FA">
        <w:rPr>
          <w:bCs/>
          <w:sz w:val="22"/>
          <w:szCs w:val="22"/>
        </w:rPr>
        <w:t xml:space="preserve"> (1)</w:t>
      </w:r>
      <w:r w:rsidRPr="000250FA">
        <w:rPr>
          <w:rStyle w:val="Lbjegyzet-hivatkozs"/>
          <w:bCs/>
          <w:sz w:val="22"/>
          <w:szCs w:val="22"/>
        </w:rPr>
        <w:t xml:space="preserve"> </w:t>
      </w:r>
      <w:r w:rsidRPr="000250FA">
        <w:rPr>
          <w:rStyle w:val="Lbjegyzet-hivatkozs"/>
          <w:bCs/>
          <w:sz w:val="22"/>
          <w:szCs w:val="22"/>
        </w:rPr>
        <w:footnoteReference w:id="251"/>
      </w:r>
      <w:r w:rsidRPr="000250FA">
        <w:rPr>
          <w:bCs/>
          <w:sz w:val="22"/>
          <w:szCs w:val="22"/>
        </w:rPr>
        <w:t xml:space="preserve"> Oktatói munkakörben közalkalmazotti jogviszony azzal létesíthető, aki megfelel az előírt követelményeknek.</w:t>
      </w:r>
    </w:p>
    <w:p w14:paraId="5E400FE2" w14:textId="77777777" w:rsidR="00893D5B" w:rsidRPr="000250FA" w:rsidRDefault="00893D5B" w:rsidP="00893D5B">
      <w:pPr>
        <w:jc w:val="both"/>
        <w:rPr>
          <w:sz w:val="22"/>
          <w:szCs w:val="22"/>
        </w:rPr>
      </w:pPr>
    </w:p>
    <w:p w14:paraId="5AAE4C22" w14:textId="77777777" w:rsidR="00893D5B" w:rsidRPr="000250FA" w:rsidRDefault="00893D5B" w:rsidP="00893D5B">
      <w:pPr>
        <w:jc w:val="both"/>
        <w:rPr>
          <w:bCs/>
          <w:sz w:val="22"/>
          <w:szCs w:val="22"/>
        </w:rPr>
      </w:pPr>
      <w:r w:rsidRPr="000250FA">
        <w:rPr>
          <w:bCs/>
          <w:sz w:val="22"/>
          <w:szCs w:val="22"/>
        </w:rPr>
        <w:t>(2) Az oktatói munkakörben történő alkalmazás együtt jár a munkakör megnevezésével azonos munkaköri cím adományozásával és e munkaköri cím használatának jogával.</w:t>
      </w:r>
    </w:p>
    <w:p w14:paraId="6BAB97EE" w14:textId="77777777" w:rsidR="00893D5B" w:rsidRPr="000250FA" w:rsidRDefault="00893D5B" w:rsidP="00893D5B">
      <w:pPr>
        <w:jc w:val="both"/>
        <w:rPr>
          <w:sz w:val="22"/>
          <w:szCs w:val="22"/>
        </w:rPr>
      </w:pPr>
    </w:p>
    <w:p w14:paraId="30F06EA9" w14:textId="77777777" w:rsidR="00893D5B" w:rsidRPr="000250FA" w:rsidRDefault="00893D5B" w:rsidP="00893D5B">
      <w:pPr>
        <w:jc w:val="both"/>
        <w:rPr>
          <w:bCs/>
          <w:sz w:val="22"/>
          <w:szCs w:val="22"/>
        </w:rPr>
      </w:pPr>
      <w:r w:rsidRPr="000250FA">
        <w:rPr>
          <w:bCs/>
          <w:sz w:val="22"/>
          <w:szCs w:val="22"/>
        </w:rPr>
        <w:t xml:space="preserve">(3) Az alkalmazás megszűnésével </w:t>
      </w:r>
      <w:r w:rsidRPr="000250FA">
        <w:rPr>
          <w:sz w:val="22"/>
          <w:szCs w:val="22"/>
        </w:rPr>
        <w:t>–</w:t>
      </w:r>
      <w:r w:rsidRPr="000250FA">
        <w:rPr>
          <w:bCs/>
          <w:sz w:val="22"/>
          <w:szCs w:val="22"/>
        </w:rPr>
        <w:t xml:space="preserve"> a főiskolai és az egyetemi tanári cím kivételével </w:t>
      </w:r>
      <w:r w:rsidRPr="000250FA">
        <w:rPr>
          <w:sz w:val="22"/>
          <w:szCs w:val="22"/>
        </w:rPr>
        <w:t>–</w:t>
      </w:r>
      <w:r w:rsidRPr="000250FA">
        <w:rPr>
          <w:bCs/>
          <w:sz w:val="22"/>
          <w:szCs w:val="22"/>
        </w:rPr>
        <w:t xml:space="preserve"> megszűnik a munkaköri cím használatának a joga. A főiskolai és az egyetemi tanár a cím használatára addig jogosult, ameddig a miniszterelnök, illetve a köztársasági elnök nem menti fel. Az egyetemi tanár jogosult a professzori cím használatára.</w:t>
      </w:r>
    </w:p>
    <w:p w14:paraId="12D22423" w14:textId="77777777" w:rsidR="00893D5B" w:rsidRPr="000250FA" w:rsidRDefault="00893D5B" w:rsidP="00893D5B">
      <w:pPr>
        <w:tabs>
          <w:tab w:val="left" w:pos="9781"/>
        </w:tabs>
        <w:ind w:right="-144"/>
        <w:jc w:val="both"/>
        <w:rPr>
          <w:sz w:val="22"/>
          <w:szCs w:val="22"/>
        </w:rPr>
      </w:pPr>
    </w:p>
    <w:p w14:paraId="22C104EB" w14:textId="77777777" w:rsidR="00893D5B" w:rsidRPr="000250FA" w:rsidRDefault="00893D5B" w:rsidP="00893D5B">
      <w:pPr>
        <w:jc w:val="both"/>
        <w:rPr>
          <w:bCs/>
          <w:sz w:val="22"/>
          <w:szCs w:val="22"/>
        </w:rPr>
      </w:pPr>
      <w:r w:rsidRPr="000250FA">
        <w:rPr>
          <w:bCs/>
          <w:sz w:val="22"/>
          <w:szCs w:val="22"/>
        </w:rPr>
        <w:t xml:space="preserve">(4) Az oktató </w:t>
      </w:r>
      <w:r w:rsidRPr="000250FA">
        <w:rPr>
          <w:sz w:val="22"/>
          <w:szCs w:val="22"/>
        </w:rPr>
        <w:t>–</w:t>
      </w:r>
      <w:r w:rsidRPr="000250FA">
        <w:rPr>
          <w:bCs/>
          <w:sz w:val="22"/>
          <w:szCs w:val="22"/>
        </w:rPr>
        <w:t xml:space="preserve"> függetlenül attól, hogy hány felsőoktatási intézményben lát el oktatói feladatot </w:t>
      </w:r>
      <w:r w:rsidRPr="000250FA">
        <w:rPr>
          <w:sz w:val="22"/>
          <w:szCs w:val="22"/>
        </w:rPr>
        <w:t>–</w:t>
      </w:r>
      <w:r w:rsidRPr="000250FA">
        <w:rPr>
          <w:bCs/>
          <w:sz w:val="22"/>
          <w:szCs w:val="22"/>
        </w:rPr>
        <w:t xml:space="preserve"> az intézmény működési feltételei meglétének mérlegelése során, illetve a felsőoktatási intézmény költségvetési támogatásának megállapításánál egy felsőoktatási intézményben vehető figyelembe. Az oktató – e szabályzat. 4. mellékletében meghatározott </w:t>
      </w:r>
      <w:r w:rsidRPr="000250FA">
        <w:rPr>
          <w:sz w:val="22"/>
          <w:szCs w:val="22"/>
        </w:rPr>
        <w:t xml:space="preserve">– </w:t>
      </w:r>
      <w:r w:rsidRPr="000250FA">
        <w:rPr>
          <w:bCs/>
          <w:sz w:val="22"/>
          <w:szCs w:val="22"/>
        </w:rPr>
        <w:t xml:space="preserve">írásbeli nyilatkozata határozza meg, hogy melyik az a felsőoktatási intézmény, amelyiknél az előzőekben meghatározottak szerint figyelembe </w:t>
      </w:r>
      <w:r w:rsidRPr="000250FA">
        <w:rPr>
          <w:bCs/>
          <w:sz w:val="22"/>
          <w:szCs w:val="22"/>
        </w:rPr>
        <w:lastRenderedPageBreak/>
        <w:t>lehet őt venni. Ilyen nyilatkozat hiányában az oktató egyik felsőoktatási intézménynél sem vehető figyelembe.</w:t>
      </w:r>
    </w:p>
    <w:p w14:paraId="61E679AB" w14:textId="77777777" w:rsidR="00893D5B" w:rsidRPr="000250FA" w:rsidRDefault="00893D5B" w:rsidP="00893D5B">
      <w:pPr>
        <w:tabs>
          <w:tab w:val="left" w:pos="9781"/>
        </w:tabs>
        <w:ind w:right="-144"/>
        <w:jc w:val="both"/>
        <w:rPr>
          <w:sz w:val="22"/>
          <w:szCs w:val="22"/>
        </w:rPr>
      </w:pPr>
    </w:p>
    <w:p w14:paraId="61D68E34" w14:textId="77777777" w:rsidR="00893D5B" w:rsidRPr="000250FA" w:rsidRDefault="00893D5B" w:rsidP="00893D5B">
      <w:pPr>
        <w:tabs>
          <w:tab w:val="left" w:pos="9781"/>
        </w:tabs>
        <w:ind w:right="-144"/>
        <w:jc w:val="both"/>
        <w:rPr>
          <w:sz w:val="22"/>
          <w:szCs w:val="22"/>
        </w:rPr>
      </w:pPr>
      <w:r w:rsidRPr="000250FA">
        <w:rPr>
          <w:sz w:val="22"/>
          <w:szCs w:val="22"/>
        </w:rPr>
        <w:t>(5)</w:t>
      </w:r>
      <w:r w:rsidRPr="000250FA">
        <w:rPr>
          <w:rStyle w:val="Lbjegyzet-hivatkozs"/>
          <w:sz w:val="22"/>
          <w:szCs w:val="22"/>
        </w:rPr>
        <w:footnoteReference w:id="252"/>
      </w:r>
      <w:r w:rsidRPr="000250FA">
        <w:rPr>
          <w:sz w:val="22"/>
          <w:szCs w:val="22"/>
        </w:rPr>
        <w:t xml:space="preserve"> </w:t>
      </w:r>
      <w:r w:rsidRPr="000250FA">
        <w:rPr>
          <w:rStyle w:val="Lbjegyzet-hivatkozs"/>
          <w:sz w:val="22"/>
          <w:szCs w:val="22"/>
        </w:rPr>
        <w:footnoteReference w:id="253"/>
      </w:r>
      <w:r w:rsidRPr="000250FA">
        <w:rPr>
          <w:sz w:val="22"/>
          <w:szCs w:val="22"/>
        </w:rPr>
        <w:t xml:space="preserve"> Az oktatói kinevezés feltételeként meghatározott, oktatási vagy szakirányú tevékenységre előírt időtartamba a doktori képzés során doktorandusz hallgatói munkaszerződés alapján végzett, valamint a kari doktori tanácsok által elfogadott, igazolt oktatási tevékenység beszámít. </w:t>
      </w:r>
    </w:p>
    <w:p w14:paraId="7F1A4F1B" w14:textId="77777777" w:rsidR="00893D5B" w:rsidRPr="000250FA" w:rsidRDefault="00893D5B" w:rsidP="00893D5B">
      <w:pPr>
        <w:tabs>
          <w:tab w:val="left" w:pos="9781"/>
        </w:tabs>
        <w:ind w:right="-144"/>
        <w:jc w:val="both"/>
        <w:rPr>
          <w:sz w:val="22"/>
          <w:szCs w:val="22"/>
        </w:rPr>
      </w:pPr>
    </w:p>
    <w:p w14:paraId="2F59C66E" w14:textId="77777777" w:rsidR="00893D5B" w:rsidRPr="000250FA" w:rsidRDefault="00893D5B" w:rsidP="00893D5B">
      <w:pPr>
        <w:pStyle w:val="Cmsor4"/>
        <w:jc w:val="both"/>
        <w:rPr>
          <w:i/>
          <w:lang w:val="hu-HU"/>
        </w:rPr>
      </w:pPr>
      <w:r w:rsidRPr="000250FA">
        <w:rPr>
          <w:b w:val="0"/>
        </w:rPr>
        <w:t>(6</w:t>
      </w:r>
      <w:r w:rsidRPr="000250FA">
        <w:rPr>
          <w:b w:val="0"/>
          <w:lang w:val="hu-HU"/>
        </w:rPr>
        <w:t>)</w:t>
      </w:r>
      <w:r w:rsidRPr="000250FA">
        <w:rPr>
          <w:i/>
          <w:lang w:val="hu-HU"/>
        </w:rPr>
        <w:t xml:space="preserve"> </w:t>
      </w:r>
      <w:r w:rsidRPr="000250FA">
        <w:rPr>
          <w:rStyle w:val="Lbjegyzet-hivatkozs"/>
          <w:b w:val="0"/>
        </w:rPr>
        <w:footnoteReference w:id="254"/>
      </w:r>
      <w:r w:rsidRPr="000250FA">
        <w:rPr>
          <w:i/>
        </w:rPr>
        <w:t xml:space="preserve"> </w:t>
      </w:r>
      <w:r w:rsidRPr="000250FA">
        <w:rPr>
          <w:b w:val="0"/>
        </w:rPr>
        <w:t>Az oktató az őt foglalkoztató munkáltató hozzájárulásával munkaköri feladatait a miniszter által határozott időre - legfeljebb öt évre - meghirdetett felsőoktatási együttműködési program keretében külföldi székhelyű magyar nyelvű képzést folytató felsőoktatási intézményben is teljesítheti.</w:t>
      </w:r>
      <w:r w:rsidRPr="000250FA">
        <w:rPr>
          <w:i/>
          <w:lang w:val="hu-HU"/>
        </w:rPr>
        <w:t xml:space="preserve"> </w:t>
      </w:r>
    </w:p>
    <w:p w14:paraId="221E3B1C" w14:textId="77777777" w:rsidR="00893D5B" w:rsidRPr="000250FA" w:rsidRDefault="00893D5B" w:rsidP="00893D5B">
      <w:pPr>
        <w:rPr>
          <w:lang w:eastAsia="x-none"/>
        </w:rPr>
      </w:pPr>
    </w:p>
    <w:p w14:paraId="7CCE7025" w14:textId="77777777" w:rsidR="00893D5B" w:rsidRPr="000250FA" w:rsidRDefault="00893D5B" w:rsidP="00893D5B">
      <w:pPr>
        <w:jc w:val="both"/>
        <w:rPr>
          <w:sz w:val="22"/>
          <w:szCs w:val="22"/>
          <w:lang w:eastAsia="x-none"/>
        </w:rPr>
      </w:pPr>
      <w:r w:rsidRPr="000250FA">
        <w:rPr>
          <w:sz w:val="22"/>
          <w:szCs w:val="22"/>
          <w:lang w:eastAsia="x-none"/>
        </w:rPr>
        <w:t xml:space="preserve">(7) </w:t>
      </w:r>
      <w:r w:rsidRPr="000250FA">
        <w:rPr>
          <w:rStyle w:val="Lbjegyzet-hivatkozs"/>
          <w:sz w:val="22"/>
          <w:szCs w:val="22"/>
        </w:rPr>
        <w:footnoteReference w:id="255"/>
      </w:r>
      <w:r w:rsidRPr="000250FA">
        <w:rPr>
          <w:sz w:val="22"/>
          <w:szCs w:val="22"/>
          <w:lang w:eastAsia="x-none"/>
        </w:rPr>
        <w:t>Az egészségügyi szolgáltató tevékenység körében foglalkoztatott orvos végzettséggel rendelkező oktató kinevezésének további feltétele a szakvizsga.</w:t>
      </w:r>
    </w:p>
    <w:p w14:paraId="16B12684" w14:textId="77777777" w:rsidR="00893D5B" w:rsidRPr="000250FA" w:rsidRDefault="00893D5B" w:rsidP="00893D5B">
      <w:pPr>
        <w:jc w:val="both"/>
        <w:rPr>
          <w:sz w:val="22"/>
          <w:szCs w:val="22"/>
          <w:lang w:eastAsia="x-none"/>
        </w:rPr>
      </w:pPr>
    </w:p>
    <w:p w14:paraId="251F5F29" w14:textId="77777777" w:rsidR="00893D5B" w:rsidRPr="000250FA" w:rsidRDefault="00893D5B" w:rsidP="00893D5B">
      <w:pPr>
        <w:jc w:val="both"/>
        <w:rPr>
          <w:sz w:val="22"/>
          <w:szCs w:val="22"/>
          <w:lang w:eastAsia="x-none"/>
        </w:rPr>
      </w:pPr>
      <w:r w:rsidRPr="000250FA">
        <w:rPr>
          <w:bCs/>
          <w:sz w:val="22"/>
          <w:szCs w:val="22"/>
          <w:lang w:eastAsia="x-none"/>
        </w:rPr>
        <w:t>(8)</w:t>
      </w:r>
      <w:r w:rsidRPr="000250FA">
        <w:rPr>
          <w:rStyle w:val="Lbjegyzet-hivatkozs"/>
          <w:bCs/>
          <w:sz w:val="22"/>
          <w:szCs w:val="22"/>
        </w:rPr>
        <w:footnoteReference w:id="256"/>
      </w:r>
      <w:r w:rsidRPr="000250FA">
        <w:rPr>
          <w:bCs/>
          <w:sz w:val="22"/>
          <w:szCs w:val="22"/>
          <w:lang w:eastAsia="x-none"/>
        </w:rPr>
        <w:t xml:space="preserve"> </w:t>
      </w:r>
      <w:r w:rsidRPr="000250FA">
        <w:rPr>
          <w:sz w:val="22"/>
          <w:szCs w:val="22"/>
          <w:lang w:eastAsia="x-none"/>
        </w:rPr>
        <w:t xml:space="preserve">A szabályzat 61. § (2) bekezdés d) pontjában és 63. § (1) bekezdés a) pontjában meghatározott szakmai és tudományos minimumkövetelményeket az Egyetemi Habilitációs és Habitusvizsgáló Bizottság olyan tudományterületeken határozhat meg, amelyeken az Egyetem habilitációra nem jogosult. A minimumkövetelményeknek a közalkalmazott általi teljesítéséről az Egyetemi Habilitációs és Habitusvizsgáló Bizottság dönt.     </w:t>
      </w:r>
    </w:p>
    <w:p w14:paraId="3F926D21" w14:textId="77777777" w:rsidR="00893D5B" w:rsidRPr="000250FA" w:rsidRDefault="00893D5B" w:rsidP="00893D5B">
      <w:pPr>
        <w:jc w:val="both"/>
        <w:rPr>
          <w:strike/>
          <w:sz w:val="22"/>
          <w:szCs w:val="22"/>
          <w:lang w:eastAsia="x-none"/>
        </w:rPr>
      </w:pPr>
    </w:p>
    <w:p w14:paraId="6F715E88" w14:textId="77777777" w:rsidR="00893D5B" w:rsidRPr="000250FA" w:rsidRDefault="00893D5B" w:rsidP="00893D5B">
      <w:pPr>
        <w:pStyle w:val="Cmsor4"/>
      </w:pPr>
      <w:bookmarkStart w:id="171" w:name="_Toc432753567"/>
      <w:r w:rsidRPr="000250FA">
        <w:t>A mesteroktató</w:t>
      </w:r>
      <w:bookmarkEnd w:id="171"/>
      <w:r w:rsidRPr="000250FA">
        <w:rPr>
          <w:rStyle w:val="Lbjegyzet-hivatkozs"/>
        </w:rPr>
        <w:footnoteReference w:id="257"/>
      </w:r>
    </w:p>
    <w:p w14:paraId="6B44758C" w14:textId="77777777" w:rsidR="00893D5B" w:rsidRPr="000250FA" w:rsidRDefault="00893D5B" w:rsidP="00893D5B">
      <w:pPr>
        <w:tabs>
          <w:tab w:val="left" w:pos="9781"/>
        </w:tabs>
        <w:ind w:right="-144"/>
        <w:jc w:val="both"/>
        <w:rPr>
          <w:sz w:val="22"/>
          <w:szCs w:val="22"/>
        </w:rPr>
      </w:pPr>
    </w:p>
    <w:p w14:paraId="3C5E7CA9" w14:textId="77777777" w:rsidR="00893D5B" w:rsidRPr="000250FA" w:rsidRDefault="00893D5B" w:rsidP="00893D5B">
      <w:pPr>
        <w:jc w:val="both"/>
        <w:rPr>
          <w:sz w:val="22"/>
          <w:szCs w:val="22"/>
        </w:rPr>
      </w:pPr>
      <w:r w:rsidRPr="000250FA">
        <w:rPr>
          <w:b/>
          <w:sz w:val="22"/>
          <w:szCs w:val="22"/>
        </w:rPr>
        <w:t>60.§</w:t>
      </w:r>
      <w:r w:rsidRPr="000250FA">
        <w:rPr>
          <w:b/>
          <w:i/>
          <w:sz w:val="22"/>
          <w:szCs w:val="22"/>
        </w:rPr>
        <w:t xml:space="preserve"> </w:t>
      </w:r>
      <w:r w:rsidRPr="000250FA">
        <w:rPr>
          <w:sz w:val="22"/>
          <w:szCs w:val="22"/>
        </w:rPr>
        <w:t>(1)</w:t>
      </w:r>
      <w:r w:rsidRPr="000250FA">
        <w:rPr>
          <w:sz w:val="22"/>
          <w:szCs w:val="22"/>
        </w:rPr>
        <w:tab/>
        <w:t>A mesteroktatói munkakörben történő alkalmazáshoz mesterfokozat, valamint legalább tízéves szakmai-gyakorlati munkatapasztalat, ismeret igazolása, valamint az szükséges, hogy az érintett alkalmas legyen a hallgatók gyakorlati képzésére, kiemelkedő gyakorlati oktatásra.</w:t>
      </w:r>
    </w:p>
    <w:p w14:paraId="0FE14287" w14:textId="77777777" w:rsidR="00893D5B" w:rsidRPr="000250FA" w:rsidRDefault="00893D5B" w:rsidP="00893D5B">
      <w:pPr>
        <w:tabs>
          <w:tab w:val="left" w:pos="9781"/>
        </w:tabs>
        <w:ind w:right="-144"/>
        <w:jc w:val="both"/>
        <w:rPr>
          <w:sz w:val="22"/>
          <w:szCs w:val="22"/>
        </w:rPr>
      </w:pPr>
    </w:p>
    <w:p w14:paraId="4FC1F46F" w14:textId="77777777" w:rsidR="00893D5B" w:rsidRPr="000250FA" w:rsidRDefault="00893D5B" w:rsidP="00893D5B">
      <w:pPr>
        <w:tabs>
          <w:tab w:val="left" w:pos="9781"/>
        </w:tabs>
        <w:ind w:right="-144"/>
        <w:jc w:val="both"/>
        <w:rPr>
          <w:b/>
          <w:i/>
          <w:sz w:val="22"/>
          <w:szCs w:val="22"/>
        </w:rPr>
      </w:pPr>
    </w:p>
    <w:p w14:paraId="5ECB136D" w14:textId="77777777" w:rsidR="00893D5B" w:rsidRPr="000250FA" w:rsidRDefault="00893D5B" w:rsidP="00893D5B">
      <w:pPr>
        <w:tabs>
          <w:tab w:val="left" w:pos="9781"/>
        </w:tabs>
        <w:ind w:right="-144"/>
        <w:jc w:val="both"/>
        <w:rPr>
          <w:b/>
          <w:strike/>
          <w:sz w:val="22"/>
          <w:szCs w:val="22"/>
        </w:rPr>
      </w:pPr>
      <w:r w:rsidRPr="000250FA">
        <w:rPr>
          <w:b/>
          <w:sz w:val="22"/>
          <w:szCs w:val="22"/>
        </w:rPr>
        <w:t>61-62. §</w:t>
      </w:r>
      <w:r w:rsidRPr="000250FA">
        <w:rPr>
          <w:rStyle w:val="Lbjegyzet-hivatkozs"/>
          <w:b/>
          <w:sz w:val="22"/>
          <w:szCs w:val="22"/>
        </w:rPr>
        <w:footnoteReference w:id="258"/>
      </w:r>
    </w:p>
    <w:p w14:paraId="2FB512EB" w14:textId="77777777" w:rsidR="00893D5B" w:rsidRPr="000250FA" w:rsidRDefault="00893D5B" w:rsidP="00893D5B">
      <w:pPr>
        <w:pStyle w:val="Cmsor4"/>
      </w:pPr>
      <w:bookmarkStart w:id="172" w:name="_Toc432753568"/>
      <w:r w:rsidRPr="000250FA">
        <w:t>A tanársegéd</w:t>
      </w:r>
      <w:bookmarkEnd w:id="172"/>
    </w:p>
    <w:p w14:paraId="50A37E70" w14:textId="77777777" w:rsidR="00893D5B" w:rsidRPr="000250FA" w:rsidRDefault="00893D5B" w:rsidP="00893D5B">
      <w:pPr>
        <w:tabs>
          <w:tab w:val="left" w:pos="9781"/>
        </w:tabs>
        <w:ind w:right="-144"/>
        <w:jc w:val="both"/>
        <w:rPr>
          <w:sz w:val="22"/>
          <w:szCs w:val="22"/>
        </w:rPr>
      </w:pPr>
    </w:p>
    <w:p w14:paraId="2B3669F4" w14:textId="77777777" w:rsidR="00893D5B" w:rsidRPr="000250FA" w:rsidRDefault="00893D5B" w:rsidP="00893D5B">
      <w:pPr>
        <w:tabs>
          <w:tab w:val="left" w:pos="9781"/>
        </w:tabs>
        <w:ind w:right="-144"/>
        <w:jc w:val="both"/>
        <w:rPr>
          <w:sz w:val="22"/>
          <w:szCs w:val="22"/>
        </w:rPr>
      </w:pPr>
      <w:r w:rsidRPr="000250FA">
        <w:rPr>
          <w:b/>
          <w:sz w:val="22"/>
          <w:szCs w:val="22"/>
        </w:rPr>
        <w:t>60/A.§</w:t>
      </w:r>
      <w:r w:rsidRPr="000250FA">
        <w:rPr>
          <w:rStyle w:val="Lbjegyzet-hivatkozs"/>
          <w:b/>
          <w:sz w:val="22"/>
          <w:szCs w:val="22"/>
        </w:rPr>
        <w:footnoteReference w:id="259"/>
      </w:r>
      <w:r w:rsidRPr="000250FA">
        <w:rPr>
          <w:sz w:val="22"/>
          <w:szCs w:val="22"/>
        </w:rPr>
        <w:t xml:space="preserve"> (1) </w:t>
      </w:r>
      <w:proofErr w:type="gramStart"/>
      <w:r w:rsidRPr="000250FA">
        <w:rPr>
          <w:sz w:val="22"/>
          <w:szCs w:val="22"/>
        </w:rPr>
        <w:t>A</w:t>
      </w:r>
      <w:proofErr w:type="gramEnd"/>
      <w:r w:rsidRPr="000250FA">
        <w:rPr>
          <w:sz w:val="22"/>
          <w:szCs w:val="22"/>
        </w:rPr>
        <w:t xml:space="preserve"> tanársegédnek az nevezhető ki, aki </w:t>
      </w:r>
    </w:p>
    <w:p w14:paraId="618B7242" w14:textId="77777777" w:rsidR="00893D5B" w:rsidRPr="000250FA" w:rsidRDefault="00893D5B" w:rsidP="00893D5B">
      <w:pPr>
        <w:tabs>
          <w:tab w:val="left" w:pos="9781"/>
        </w:tabs>
        <w:ind w:left="561" w:right="-144"/>
        <w:jc w:val="both"/>
        <w:rPr>
          <w:sz w:val="22"/>
          <w:szCs w:val="22"/>
        </w:rPr>
      </w:pPr>
    </w:p>
    <w:p w14:paraId="3DAB25CB" w14:textId="77777777" w:rsidR="00893D5B" w:rsidRPr="000250FA" w:rsidRDefault="00893D5B" w:rsidP="00912564">
      <w:pPr>
        <w:numPr>
          <w:ilvl w:val="0"/>
          <w:numId w:val="66"/>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rendelkezik,</w:t>
      </w:r>
    </w:p>
    <w:p w14:paraId="69D5B216" w14:textId="77777777" w:rsidR="00893D5B" w:rsidRPr="000250FA" w:rsidRDefault="00893D5B" w:rsidP="00912564">
      <w:pPr>
        <w:numPr>
          <w:ilvl w:val="0"/>
          <w:numId w:val="66"/>
        </w:numPr>
        <w:jc w:val="both"/>
        <w:rPr>
          <w:sz w:val="22"/>
          <w:szCs w:val="22"/>
        </w:rPr>
      </w:pPr>
      <w:r w:rsidRPr="000250FA">
        <w:rPr>
          <w:sz w:val="22"/>
          <w:szCs w:val="22"/>
        </w:rPr>
        <w:t>a doktori képzést megkezdte,</w:t>
      </w:r>
    </w:p>
    <w:p w14:paraId="461DF1EC" w14:textId="77777777" w:rsidR="00893D5B" w:rsidRPr="000250FA" w:rsidRDefault="00893D5B" w:rsidP="00912564">
      <w:pPr>
        <w:numPr>
          <w:ilvl w:val="0"/>
          <w:numId w:val="66"/>
        </w:numPr>
        <w:jc w:val="both"/>
      </w:pPr>
      <w:r w:rsidRPr="000250FA">
        <w:rPr>
          <w:sz w:val="22"/>
          <w:szCs w:val="22"/>
        </w:rPr>
        <w:t>képes alkotó tevékenység végzésére</w:t>
      </w:r>
      <w:r w:rsidRPr="000250FA">
        <w:t>.</w:t>
      </w:r>
    </w:p>
    <w:p w14:paraId="05D6D536" w14:textId="77777777" w:rsidR="00893D5B" w:rsidRPr="000250FA" w:rsidRDefault="00893D5B" w:rsidP="00893D5B">
      <w:pPr>
        <w:tabs>
          <w:tab w:val="left" w:pos="9781"/>
        </w:tabs>
        <w:ind w:left="561" w:right="-144"/>
        <w:jc w:val="both"/>
        <w:rPr>
          <w:sz w:val="22"/>
          <w:szCs w:val="22"/>
        </w:rPr>
      </w:pPr>
    </w:p>
    <w:p w14:paraId="1DBE305E" w14:textId="77777777" w:rsidR="00893D5B" w:rsidRPr="000250FA" w:rsidRDefault="00893D5B" w:rsidP="00893D5B">
      <w:pPr>
        <w:tabs>
          <w:tab w:val="left" w:pos="9781"/>
        </w:tabs>
        <w:ind w:right="-144"/>
        <w:jc w:val="both"/>
        <w:rPr>
          <w:strike/>
          <w:sz w:val="22"/>
          <w:szCs w:val="22"/>
        </w:rPr>
      </w:pPr>
      <w:r w:rsidRPr="000250FA">
        <w:rPr>
          <w:sz w:val="22"/>
          <w:szCs w:val="22"/>
        </w:rPr>
        <w:t xml:space="preserve">(2) </w:t>
      </w:r>
      <w:r w:rsidRPr="000250FA">
        <w:rPr>
          <w:rStyle w:val="Lbjegyzet-hivatkozs"/>
          <w:sz w:val="22"/>
          <w:szCs w:val="22"/>
        </w:rPr>
        <w:footnoteReference w:id="260"/>
      </w:r>
    </w:p>
    <w:p w14:paraId="24523F05" w14:textId="77777777" w:rsidR="00385CF2" w:rsidRDefault="00385CF2">
      <w:pPr>
        <w:spacing w:after="160" w:line="259" w:lineRule="auto"/>
        <w:rPr>
          <w:sz w:val="22"/>
          <w:szCs w:val="22"/>
        </w:rPr>
      </w:pPr>
      <w:r>
        <w:rPr>
          <w:sz w:val="22"/>
          <w:szCs w:val="22"/>
        </w:rPr>
        <w:br w:type="page"/>
      </w:r>
    </w:p>
    <w:p w14:paraId="0248777D" w14:textId="77777777" w:rsidR="00385CF2" w:rsidRPr="000250FA" w:rsidRDefault="00385CF2" w:rsidP="00893D5B">
      <w:pPr>
        <w:tabs>
          <w:tab w:val="left" w:pos="9781"/>
        </w:tabs>
        <w:ind w:right="-144"/>
        <w:jc w:val="both"/>
        <w:rPr>
          <w:sz w:val="22"/>
          <w:szCs w:val="22"/>
        </w:rPr>
      </w:pPr>
    </w:p>
    <w:p w14:paraId="311CB3A1" w14:textId="77777777" w:rsidR="00893D5B" w:rsidRPr="000250FA" w:rsidRDefault="00893D5B" w:rsidP="00893D5B">
      <w:pPr>
        <w:tabs>
          <w:tab w:val="left" w:pos="9781"/>
        </w:tabs>
        <w:ind w:right="-144"/>
        <w:rPr>
          <w:sz w:val="22"/>
          <w:szCs w:val="22"/>
        </w:rPr>
      </w:pPr>
      <w:r w:rsidRPr="000250FA">
        <w:rPr>
          <w:sz w:val="22"/>
          <w:szCs w:val="22"/>
        </w:rPr>
        <w:t>(3) A tanársegédek folyamatos alkalmazásának követelményei:</w:t>
      </w:r>
    </w:p>
    <w:p w14:paraId="3523EA54" w14:textId="77777777" w:rsidR="00893D5B" w:rsidRPr="000250FA" w:rsidRDefault="00893D5B" w:rsidP="00893D5B">
      <w:pPr>
        <w:tabs>
          <w:tab w:val="left" w:pos="9781"/>
        </w:tabs>
        <w:ind w:left="561" w:right="-144"/>
        <w:jc w:val="both"/>
        <w:rPr>
          <w:sz w:val="22"/>
          <w:szCs w:val="22"/>
        </w:rPr>
      </w:pPr>
    </w:p>
    <w:p w14:paraId="3DE163E5" w14:textId="77777777" w:rsidR="00893D5B" w:rsidRPr="000250FA" w:rsidRDefault="00893D5B" w:rsidP="00912564">
      <w:pPr>
        <w:numPr>
          <w:ilvl w:val="0"/>
          <w:numId w:val="67"/>
        </w:numPr>
        <w:jc w:val="both"/>
        <w:rPr>
          <w:sz w:val="22"/>
          <w:szCs w:val="22"/>
        </w:rPr>
      </w:pPr>
      <w:r w:rsidRPr="000250FA">
        <w:rPr>
          <w:sz w:val="22"/>
          <w:szCs w:val="22"/>
        </w:rPr>
        <w:t>az oktatott tárgyat magába foglaló tudományág vagy művészet területén a színvonalas oktatáshoz, gyakorlatok vezetéséhez szükséges felkészültség,</w:t>
      </w:r>
    </w:p>
    <w:p w14:paraId="0AC217B2" w14:textId="77777777" w:rsidR="00893D5B" w:rsidRPr="000250FA" w:rsidRDefault="00893D5B" w:rsidP="00912564">
      <w:pPr>
        <w:numPr>
          <w:ilvl w:val="0"/>
          <w:numId w:val="67"/>
        </w:numPr>
        <w:jc w:val="both"/>
        <w:rPr>
          <w:sz w:val="22"/>
          <w:szCs w:val="22"/>
        </w:rPr>
      </w:pPr>
      <w:r w:rsidRPr="000250FA">
        <w:rPr>
          <w:sz w:val="22"/>
          <w:szCs w:val="22"/>
        </w:rPr>
        <w:t>rendszeres publikációs tevékenység,</w:t>
      </w:r>
    </w:p>
    <w:p w14:paraId="5313B06D" w14:textId="77777777" w:rsidR="00893D5B" w:rsidRPr="000250FA" w:rsidRDefault="00893D5B" w:rsidP="00912564">
      <w:pPr>
        <w:numPr>
          <w:ilvl w:val="0"/>
          <w:numId w:val="67"/>
        </w:numPr>
        <w:jc w:val="both"/>
        <w:rPr>
          <w:sz w:val="22"/>
          <w:szCs w:val="22"/>
        </w:rPr>
      </w:pPr>
      <w:r w:rsidRPr="000250FA">
        <w:rPr>
          <w:sz w:val="22"/>
          <w:szCs w:val="22"/>
        </w:rPr>
        <w:t>részvétel az egyetemen folyó szakmai közéleti munkában, a kari, egyetemi feladatok megoldásában,</w:t>
      </w:r>
    </w:p>
    <w:p w14:paraId="3564183F" w14:textId="77777777" w:rsidR="00893D5B" w:rsidRPr="000250FA" w:rsidRDefault="00893D5B" w:rsidP="00912564">
      <w:pPr>
        <w:numPr>
          <w:ilvl w:val="0"/>
          <w:numId w:val="67"/>
        </w:numPr>
        <w:jc w:val="both"/>
        <w:rPr>
          <w:sz w:val="22"/>
          <w:szCs w:val="22"/>
        </w:rPr>
      </w:pPr>
      <w:r w:rsidRPr="000250FA">
        <w:rPr>
          <w:sz w:val="22"/>
          <w:szCs w:val="22"/>
        </w:rPr>
        <w:t>a doktori képzés eredményes befejezése vagy doktorjelölti jogviszony létesítése</w:t>
      </w:r>
    </w:p>
    <w:p w14:paraId="5C02E9C6" w14:textId="77777777" w:rsidR="00893D5B" w:rsidRPr="000250FA" w:rsidRDefault="00893D5B" w:rsidP="00912564">
      <w:pPr>
        <w:numPr>
          <w:ilvl w:val="0"/>
          <w:numId w:val="67"/>
        </w:numPr>
        <w:jc w:val="both"/>
        <w:rPr>
          <w:sz w:val="22"/>
          <w:szCs w:val="22"/>
        </w:rPr>
      </w:pPr>
      <w:r w:rsidRPr="000250FA">
        <w:rPr>
          <w:sz w:val="22"/>
          <w:szCs w:val="22"/>
        </w:rPr>
        <w:t>az oktatói munkakörben való foglalkoztatásának kezdetétől számított 8 éven belül teljesítenie kell az adjunktusi munkakör betöltéséhez szükséges feltételeket.</w:t>
      </w:r>
    </w:p>
    <w:p w14:paraId="76CF364E" w14:textId="77777777" w:rsidR="00893D5B" w:rsidRPr="000250FA" w:rsidRDefault="00893D5B" w:rsidP="00893D5B">
      <w:pPr>
        <w:ind w:left="720"/>
        <w:jc w:val="both"/>
        <w:rPr>
          <w:sz w:val="22"/>
          <w:szCs w:val="22"/>
        </w:rPr>
      </w:pPr>
    </w:p>
    <w:p w14:paraId="06634553" w14:textId="77777777" w:rsidR="00893D5B" w:rsidRPr="000250FA" w:rsidRDefault="00893D5B" w:rsidP="00893D5B">
      <w:pPr>
        <w:jc w:val="both"/>
        <w:rPr>
          <w:sz w:val="22"/>
          <w:szCs w:val="22"/>
        </w:rPr>
      </w:pPr>
      <w:r w:rsidRPr="000250FA">
        <w:rPr>
          <w:sz w:val="22"/>
          <w:szCs w:val="22"/>
        </w:rPr>
        <w:t>(4)</w:t>
      </w:r>
      <w:r w:rsidRPr="000250FA">
        <w:rPr>
          <w:rStyle w:val="Lbjegyzet-hivatkozs"/>
          <w:sz w:val="22"/>
          <w:szCs w:val="22"/>
        </w:rPr>
        <w:footnoteReference w:id="261"/>
      </w:r>
      <w:r w:rsidRPr="000250FA">
        <w:rPr>
          <w:sz w:val="22"/>
          <w:szCs w:val="22"/>
        </w:rPr>
        <w:t xml:space="preserve"> Tanársegéd (gyakornok) munkakörben, legfeljebb két éves határozott időre nevezhető ki, aki a doktori képzést még nem kezdte meg és</w:t>
      </w:r>
    </w:p>
    <w:p w14:paraId="296745B7" w14:textId="77777777" w:rsidR="00893D5B" w:rsidRPr="000250FA" w:rsidRDefault="00893D5B" w:rsidP="00F83E93">
      <w:pPr>
        <w:numPr>
          <w:ilvl w:val="0"/>
          <w:numId w:val="132"/>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rendelkezik,</w:t>
      </w:r>
    </w:p>
    <w:p w14:paraId="79EA38AC" w14:textId="77777777" w:rsidR="00893D5B" w:rsidRPr="000250FA" w:rsidRDefault="00893D5B" w:rsidP="00F83E93">
      <w:pPr>
        <w:numPr>
          <w:ilvl w:val="0"/>
          <w:numId w:val="132"/>
        </w:numPr>
        <w:jc w:val="both"/>
        <w:rPr>
          <w:sz w:val="22"/>
          <w:szCs w:val="22"/>
        </w:rPr>
      </w:pPr>
      <w:r w:rsidRPr="000250FA">
        <w:rPr>
          <w:sz w:val="22"/>
          <w:szCs w:val="22"/>
        </w:rPr>
        <w:t>képes alkotó tevékenység végzésére</w:t>
      </w:r>
      <w:r w:rsidRPr="000250FA">
        <w:t xml:space="preserve">. </w:t>
      </w:r>
    </w:p>
    <w:p w14:paraId="298D0B5B" w14:textId="77777777" w:rsidR="00893D5B" w:rsidRPr="000250FA" w:rsidRDefault="00893D5B" w:rsidP="00893D5B">
      <w:pPr>
        <w:tabs>
          <w:tab w:val="left" w:pos="9781"/>
        </w:tabs>
        <w:ind w:right="-144"/>
        <w:jc w:val="both"/>
        <w:rPr>
          <w:b/>
          <w:sz w:val="22"/>
          <w:szCs w:val="22"/>
        </w:rPr>
      </w:pPr>
    </w:p>
    <w:p w14:paraId="22F9790D" w14:textId="77777777" w:rsidR="00893D5B" w:rsidRPr="000250FA" w:rsidRDefault="00893D5B" w:rsidP="00893D5B">
      <w:pPr>
        <w:pStyle w:val="Cmsor4"/>
      </w:pPr>
      <w:bookmarkStart w:id="173" w:name="_Toc432753569"/>
      <w:r w:rsidRPr="000250FA">
        <w:t>Az adjunktus</w:t>
      </w:r>
      <w:bookmarkEnd w:id="173"/>
    </w:p>
    <w:p w14:paraId="57A5BD24" w14:textId="77777777" w:rsidR="00893D5B" w:rsidRPr="000250FA" w:rsidRDefault="00893D5B" w:rsidP="00893D5B">
      <w:pPr>
        <w:tabs>
          <w:tab w:val="left" w:pos="9781"/>
        </w:tabs>
        <w:ind w:right="-144"/>
        <w:jc w:val="both"/>
        <w:rPr>
          <w:sz w:val="22"/>
          <w:szCs w:val="22"/>
        </w:rPr>
      </w:pPr>
    </w:p>
    <w:p w14:paraId="0C55EA9E" w14:textId="77777777" w:rsidR="00893D5B" w:rsidRPr="000250FA" w:rsidRDefault="00893D5B" w:rsidP="00893D5B">
      <w:pPr>
        <w:rPr>
          <w:sz w:val="22"/>
          <w:szCs w:val="22"/>
        </w:rPr>
      </w:pPr>
      <w:r w:rsidRPr="000250FA">
        <w:rPr>
          <w:b/>
          <w:sz w:val="22"/>
          <w:szCs w:val="22"/>
        </w:rPr>
        <w:t xml:space="preserve">61. § </w:t>
      </w:r>
      <w:r w:rsidRPr="000250FA">
        <w:rPr>
          <w:sz w:val="22"/>
          <w:szCs w:val="22"/>
        </w:rPr>
        <w:t>(1)</w:t>
      </w:r>
      <w:r w:rsidRPr="000250FA">
        <w:rPr>
          <w:rStyle w:val="Lbjegyzet-hivatkozs"/>
          <w:sz w:val="22"/>
          <w:szCs w:val="22"/>
        </w:rPr>
        <w:footnoteReference w:id="262"/>
      </w:r>
      <w:r w:rsidRPr="000250FA">
        <w:rPr>
          <w:sz w:val="22"/>
          <w:szCs w:val="22"/>
        </w:rPr>
        <w:t xml:space="preserve"> Adjunktusnak az nevezhető ki, aki</w:t>
      </w:r>
    </w:p>
    <w:p w14:paraId="57166F63" w14:textId="77777777" w:rsidR="00893D5B" w:rsidRPr="000250FA" w:rsidRDefault="00893D5B" w:rsidP="00893D5B">
      <w:pPr>
        <w:rPr>
          <w:sz w:val="22"/>
          <w:szCs w:val="22"/>
        </w:rPr>
      </w:pPr>
    </w:p>
    <w:p w14:paraId="12BC0774" w14:textId="77777777" w:rsidR="00893D5B" w:rsidRPr="000250FA" w:rsidRDefault="00893D5B" w:rsidP="00912564">
      <w:pPr>
        <w:numPr>
          <w:ilvl w:val="0"/>
          <w:numId w:val="68"/>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és doktori fokozattal rendelkezik,</w:t>
      </w:r>
    </w:p>
    <w:p w14:paraId="5276A27D" w14:textId="77777777" w:rsidR="00893D5B" w:rsidRPr="000250FA" w:rsidRDefault="00893D5B" w:rsidP="00912564">
      <w:pPr>
        <w:numPr>
          <w:ilvl w:val="0"/>
          <w:numId w:val="68"/>
        </w:numPr>
        <w:jc w:val="both"/>
        <w:rPr>
          <w:sz w:val="22"/>
          <w:szCs w:val="22"/>
        </w:rPr>
      </w:pPr>
      <w:r w:rsidRPr="000250FA">
        <w:rPr>
          <w:sz w:val="22"/>
          <w:szCs w:val="22"/>
        </w:rPr>
        <w:t>idegen nyelven is képes oktatásra,</w:t>
      </w:r>
    </w:p>
    <w:p w14:paraId="2C447BD7" w14:textId="77777777" w:rsidR="00893D5B" w:rsidRPr="000250FA" w:rsidRDefault="00893D5B" w:rsidP="00912564">
      <w:pPr>
        <w:numPr>
          <w:ilvl w:val="0"/>
          <w:numId w:val="68"/>
        </w:numPr>
        <w:jc w:val="both"/>
        <w:rPr>
          <w:sz w:val="22"/>
          <w:szCs w:val="22"/>
        </w:rPr>
      </w:pPr>
      <w:r w:rsidRPr="000250FA">
        <w:rPr>
          <w:sz w:val="22"/>
          <w:szCs w:val="22"/>
        </w:rPr>
        <w:t>megfelelő publikációs tevékenységet végez idegen nyelven is,</w:t>
      </w:r>
    </w:p>
    <w:p w14:paraId="5A4FA632" w14:textId="77777777" w:rsidR="00893D5B" w:rsidRPr="000250FA" w:rsidRDefault="00893D5B" w:rsidP="00912564">
      <w:pPr>
        <w:numPr>
          <w:ilvl w:val="0"/>
          <w:numId w:val="68"/>
        </w:numPr>
        <w:jc w:val="both"/>
        <w:rPr>
          <w:sz w:val="22"/>
          <w:szCs w:val="22"/>
        </w:rPr>
      </w:pPr>
      <w:r w:rsidRPr="000250FA">
        <w:rPr>
          <w:sz w:val="22"/>
          <w:szCs w:val="22"/>
        </w:rPr>
        <w:t>rendszeres szakmai közéleti tevékenységet folytat,</w:t>
      </w:r>
    </w:p>
    <w:p w14:paraId="3CA7A3C1" w14:textId="77777777" w:rsidR="00893D5B" w:rsidRPr="000250FA" w:rsidRDefault="00893D5B" w:rsidP="00912564">
      <w:pPr>
        <w:numPr>
          <w:ilvl w:val="0"/>
          <w:numId w:val="68"/>
        </w:numPr>
        <w:jc w:val="both"/>
        <w:rPr>
          <w:sz w:val="22"/>
          <w:szCs w:val="22"/>
        </w:rPr>
      </w:pPr>
      <w:r w:rsidRPr="000250FA">
        <w:rPr>
          <w:sz w:val="22"/>
          <w:szCs w:val="22"/>
        </w:rPr>
        <w:t>önállóan képes alkotó tevékenység végzésére,</w:t>
      </w:r>
    </w:p>
    <w:p w14:paraId="064209EB" w14:textId="77777777" w:rsidR="00893D5B" w:rsidRPr="000250FA" w:rsidRDefault="00893D5B" w:rsidP="00912564">
      <w:pPr>
        <w:numPr>
          <w:ilvl w:val="0"/>
          <w:numId w:val="68"/>
        </w:numPr>
        <w:jc w:val="both"/>
        <w:rPr>
          <w:sz w:val="22"/>
          <w:szCs w:val="22"/>
        </w:rPr>
      </w:pPr>
      <w:r w:rsidRPr="000250FA">
        <w:rPr>
          <w:sz w:val="22"/>
          <w:szCs w:val="22"/>
        </w:rPr>
        <w:t>legalább 3 év időtartamú oktatási tevékenység ellátását célzó, vagy 3 év szakirányú munkavégzésre irányuló jogviszonyban állt, illetve egyéb önálló szakirányú tevékenységet (pl. ügyvéd, egészségügyi szociális vállalkozó) végzett.</w:t>
      </w:r>
    </w:p>
    <w:p w14:paraId="2E8337F1" w14:textId="77777777" w:rsidR="00893D5B" w:rsidRPr="000250FA" w:rsidRDefault="00893D5B" w:rsidP="00893D5B">
      <w:pPr>
        <w:tabs>
          <w:tab w:val="left" w:pos="9781"/>
        </w:tabs>
        <w:ind w:right="-144"/>
        <w:rPr>
          <w:sz w:val="22"/>
          <w:szCs w:val="22"/>
        </w:rPr>
      </w:pPr>
    </w:p>
    <w:p w14:paraId="7B05DB89" w14:textId="77777777" w:rsidR="00893D5B" w:rsidRPr="000250FA" w:rsidRDefault="00893D5B" w:rsidP="00893D5B">
      <w:pPr>
        <w:jc w:val="both"/>
        <w:rPr>
          <w:rFonts w:eastAsia="Calibri"/>
          <w:sz w:val="22"/>
          <w:szCs w:val="22"/>
          <w:lang w:eastAsia="en-US"/>
        </w:rPr>
      </w:pPr>
      <w:r w:rsidRPr="000250FA">
        <w:rPr>
          <w:rFonts w:eastAsia="Calibri"/>
          <w:sz w:val="22"/>
          <w:szCs w:val="22"/>
          <w:lang w:eastAsia="en-US"/>
        </w:rPr>
        <w:t>(2)</w:t>
      </w:r>
      <w:r w:rsidRPr="000250FA">
        <w:rPr>
          <w:rStyle w:val="Lbjegyzet-hivatkozs"/>
          <w:rFonts w:eastAsia="Calibri"/>
          <w:sz w:val="22"/>
          <w:szCs w:val="22"/>
          <w:lang w:eastAsia="en-US"/>
        </w:rPr>
        <w:footnoteReference w:id="263"/>
      </w:r>
      <w:r w:rsidRPr="000250FA">
        <w:rPr>
          <w:rFonts w:eastAsia="Calibri"/>
          <w:sz w:val="22"/>
          <w:szCs w:val="22"/>
          <w:lang w:eastAsia="en-US"/>
        </w:rPr>
        <w:t xml:space="preserve"> Az Egyetem – a tanársegéd által benyújtott kérelem alapján - a doktori fokozat megszerzését követő harmadik év utolsó napi hatállyal a kinevezésnek adjunktus munkakörben való foglalkoztatásra vonatkozó módosítására irányuló ajánlatot tesz a tanársegédnek, aki az (1) bekezdésben meghatározott feltételeket teljesíti. A feltételek teljesítésének vizsgálatára irányuló eljárást a Kar határozza meg.     </w:t>
      </w:r>
    </w:p>
    <w:p w14:paraId="2AC3FF72" w14:textId="77777777" w:rsidR="00893D5B" w:rsidRPr="000250FA" w:rsidRDefault="00893D5B" w:rsidP="00893D5B">
      <w:pPr>
        <w:tabs>
          <w:tab w:val="left" w:pos="9781"/>
        </w:tabs>
        <w:ind w:right="-144"/>
        <w:rPr>
          <w:sz w:val="22"/>
          <w:szCs w:val="22"/>
        </w:rPr>
      </w:pPr>
    </w:p>
    <w:p w14:paraId="3C2B88D0" w14:textId="77777777" w:rsidR="00893D5B" w:rsidRPr="000250FA" w:rsidRDefault="00893D5B" w:rsidP="00893D5B">
      <w:pPr>
        <w:rPr>
          <w:sz w:val="22"/>
          <w:szCs w:val="22"/>
        </w:rPr>
      </w:pPr>
      <w:r w:rsidRPr="000250FA">
        <w:rPr>
          <w:sz w:val="22"/>
          <w:szCs w:val="22"/>
        </w:rPr>
        <w:t>(3) Az adjunktusok folyamatos alkalmazásának követelményei:</w:t>
      </w:r>
    </w:p>
    <w:p w14:paraId="6D2C6994" w14:textId="77777777" w:rsidR="00893D5B" w:rsidRPr="000250FA" w:rsidRDefault="00893D5B" w:rsidP="00893D5B">
      <w:pPr>
        <w:rPr>
          <w:sz w:val="22"/>
          <w:szCs w:val="22"/>
        </w:rPr>
      </w:pPr>
    </w:p>
    <w:p w14:paraId="5BDB40AF" w14:textId="77777777" w:rsidR="00893D5B" w:rsidRPr="000250FA" w:rsidRDefault="00893D5B" w:rsidP="00912564">
      <w:pPr>
        <w:numPr>
          <w:ilvl w:val="0"/>
          <w:numId w:val="69"/>
        </w:numPr>
        <w:jc w:val="both"/>
        <w:rPr>
          <w:sz w:val="22"/>
          <w:szCs w:val="22"/>
        </w:rPr>
      </w:pPr>
      <w:r w:rsidRPr="000250FA">
        <w:rPr>
          <w:sz w:val="22"/>
          <w:szCs w:val="22"/>
        </w:rPr>
        <w:t>az oktatott tárgyat magába foglaló tudományág vagy művészeti területén színvonalas oktatáshoz, gyakorlatok rendszeres vezetéséhez idegen nyelven is szükséges felkészültség,</w:t>
      </w:r>
    </w:p>
    <w:p w14:paraId="054D6566" w14:textId="77777777" w:rsidR="00893D5B" w:rsidRPr="000250FA" w:rsidRDefault="00893D5B" w:rsidP="00912564">
      <w:pPr>
        <w:numPr>
          <w:ilvl w:val="0"/>
          <w:numId w:val="69"/>
        </w:numPr>
        <w:jc w:val="both"/>
        <w:rPr>
          <w:sz w:val="22"/>
          <w:szCs w:val="22"/>
        </w:rPr>
      </w:pPr>
      <w:r w:rsidRPr="000250FA">
        <w:rPr>
          <w:sz w:val="22"/>
          <w:szCs w:val="22"/>
        </w:rPr>
        <w:t>rendszeres publikációs, szakirodalmi tevékenység kifejtése hazai és nemzetközi viszonylatban idegen nyelven is,</w:t>
      </w:r>
    </w:p>
    <w:p w14:paraId="0537BC25" w14:textId="77777777" w:rsidR="00893D5B" w:rsidRPr="000250FA" w:rsidRDefault="00893D5B" w:rsidP="00912564">
      <w:pPr>
        <w:numPr>
          <w:ilvl w:val="0"/>
          <w:numId w:val="69"/>
        </w:numPr>
        <w:jc w:val="both"/>
        <w:rPr>
          <w:sz w:val="22"/>
          <w:szCs w:val="22"/>
        </w:rPr>
      </w:pPr>
      <w:r w:rsidRPr="000250FA">
        <w:rPr>
          <w:sz w:val="22"/>
          <w:szCs w:val="22"/>
        </w:rPr>
        <w:t xml:space="preserve">részvétel az Egyetemen folyó szakmai közéleti munkában, </w:t>
      </w:r>
    </w:p>
    <w:p w14:paraId="463992DC" w14:textId="77777777" w:rsidR="00893D5B" w:rsidRPr="000250FA" w:rsidRDefault="00893D5B" w:rsidP="00912564">
      <w:pPr>
        <w:numPr>
          <w:ilvl w:val="0"/>
          <w:numId w:val="69"/>
        </w:numPr>
        <w:jc w:val="both"/>
      </w:pPr>
      <w:r w:rsidRPr="000250FA">
        <w:rPr>
          <w:sz w:val="22"/>
          <w:szCs w:val="22"/>
          <w:vertAlign w:val="superscript"/>
        </w:rPr>
        <w:footnoteReference w:id="264"/>
      </w:r>
      <w:r w:rsidRPr="000250FA">
        <w:rPr>
          <w:sz w:val="22"/>
          <w:szCs w:val="22"/>
          <w:vertAlign w:val="superscript"/>
        </w:rPr>
        <w:t xml:space="preserve"> </w:t>
      </w:r>
      <w:r w:rsidRPr="000250FA">
        <w:rPr>
          <w:rStyle w:val="Lbjegyzet-hivatkozs"/>
          <w:sz w:val="22"/>
          <w:szCs w:val="22"/>
        </w:rPr>
        <w:footnoteReference w:id="265"/>
      </w:r>
      <w:r w:rsidRPr="000250FA">
        <w:rPr>
          <w:sz w:val="22"/>
          <w:szCs w:val="22"/>
          <w:vertAlign w:val="superscript"/>
        </w:rPr>
        <w:t xml:space="preserve"> </w:t>
      </w:r>
      <w:r w:rsidRPr="000250FA">
        <w:rPr>
          <w:rStyle w:val="Lbjegyzet-hivatkozs"/>
          <w:sz w:val="22"/>
          <w:szCs w:val="22"/>
        </w:rPr>
        <w:footnoteReference w:id="266"/>
      </w:r>
      <w:r w:rsidRPr="000250FA">
        <w:rPr>
          <w:sz w:val="22"/>
          <w:szCs w:val="22"/>
        </w:rPr>
        <w:t>a habilitáció megszerzése vagy az Egyetemi Habilitációs és Habitusvizsgáló Bizottság által a kar javaslatára megállapított szakmai és tudományos minimumkövetelmények teljesítése az adjunktusi munkakörben történő alkalmazás időpontjától számított tíz éven belül</w:t>
      </w:r>
      <w:r w:rsidRPr="000250FA">
        <w:t>.</w:t>
      </w:r>
    </w:p>
    <w:p w14:paraId="29C3DD56" w14:textId="77777777" w:rsidR="00893D5B" w:rsidRPr="000250FA" w:rsidRDefault="00893D5B" w:rsidP="00893D5B">
      <w:pPr>
        <w:tabs>
          <w:tab w:val="left" w:pos="9781"/>
        </w:tabs>
        <w:ind w:right="-144"/>
        <w:jc w:val="both"/>
        <w:rPr>
          <w:sz w:val="22"/>
          <w:szCs w:val="22"/>
        </w:rPr>
      </w:pPr>
    </w:p>
    <w:p w14:paraId="5A0EF6CB" w14:textId="77777777" w:rsidR="00893D5B" w:rsidRPr="000250FA" w:rsidRDefault="00893D5B" w:rsidP="00893D5B">
      <w:pPr>
        <w:pStyle w:val="Cmsor4"/>
      </w:pPr>
      <w:bookmarkStart w:id="174" w:name="_Toc432753570"/>
      <w:r w:rsidRPr="000250FA">
        <w:lastRenderedPageBreak/>
        <w:t>A főiskolai docens</w:t>
      </w:r>
      <w:bookmarkEnd w:id="174"/>
    </w:p>
    <w:p w14:paraId="0B1EBFB0" w14:textId="77777777" w:rsidR="00893D5B" w:rsidRPr="000250FA" w:rsidRDefault="00893D5B" w:rsidP="00893D5B">
      <w:pPr>
        <w:tabs>
          <w:tab w:val="left" w:pos="9781"/>
        </w:tabs>
        <w:ind w:right="-144"/>
        <w:jc w:val="both"/>
        <w:rPr>
          <w:b/>
          <w:sz w:val="22"/>
          <w:szCs w:val="22"/>
        </w:rPr>
      </w:pPr>
    </w:p>
    <w:p w14:paraId="35AC72AB" w14:textId="77777777" w:rsidR="00893D5B" w:rsidRPr="000250FA" w:rsidRDefault="00893D5B" w:rsidP="00893D5B">
      <w:pPr>
        <w:tabs>
          <w:tab w:val="left" w:pos="9781"/>
        </w:tabs>
        <w:ind w:right="-144"/>
        <w:jc w:val="both"/>
        <w:rPr>
          <w:strike/>
          <w:sz w:val="22"/>
          <w:szCs w:val="22"/>
        </w:rPr>
      </w:pPr>
      <w:r w:rsidRPr="000250FA">
        <w:rPr>
          <w:b/>
          <w:sz w:val="22"/>
          <w:szCs w:val="22"/>
        </w:rPr>
        <w:t>62. §</w:t>
      </w:r>
      <w:r w:rsidRPr="000250FA">
        <w:rPr>
          <w:rStyle w:val="Lbjegyzet-hivatkozs"/>
          <w:b/>
          <w:sz w:val="22"/>
          <w:szCs w:val="22"/>
        </w:rPr>
        <w:footnoteReference w:id="267"/>
      </w:r>
      <w:r w:rsidRPr="000250FA">
        <w:rPr>
          <w:b/>
          <w:sz w:val="22"/>
          <w:szCs w:val="22"/>
        </w:rPr>
        <w:t xml:space="preserve"> </w:t>
      </w:r>
      <w:r w:rsidRPr="000250FA">
        <w:rPr>
          <w:sz w:val="22"/>
          <w:szCs w:val="22"/>
        </w:rPr>
        <w:t xml:space="preserve">(1) </w:t>
      </w:r>
      <w:r w:rsidRPr="000250FA">
        <w:rPr>
          <w:rStyle w:val="Lbjegyzet-hivatkozs"/>
          <w:sz w:val="22"/>
          <w:szCs w:val="22"/>
        </w:rPr>
        <w:footnoteReference w:id="268"/>
      </w:r>
    </w:p>
    <w:p w14:paraId="33B7D8A6" w14:textId="77777777" w:rsidR="00893D5B" w:rsidRPr="000250FA" w:rsidRDefault="00893D5B" w:rsidP="00893D5B">
      <w:pPr>
        <w:tabs>
          <w:tab w:val="left" w:pos="9781"/>
        </w:tabs>
        <w:ind w:right="-144"/>
        <w:jc w:val="both"/>
        <w:rPr>
          <w:sz w:val="22"/>
          <w:szCs w:val="22"/>
        </w:rPr>
      </w:pPr>
    </w:p>
    <w:p w14:paraId="2EFF1992" w14:textId="77777777" w:rsidR="00893D5B" w:rsidRPr="000250FA" w:rsidRDefault="00893D5B" w:rsidP="00893D5B">
      <w:pPr>
        <w:rPr>
          <w:sz w:val="22"/>
          <w:szCs w:val="22"/>
        </w:rPr>
      </w:pPr>
      <w:r w:rsidRPr="000250FA">
        <w:rPr>
          <w:sz w:val="22"/>
          <w:szCs w:val="22"/>
        </w:rPr>
        <w:t>(2) A főiskolai docensek folyamatos alkalmazásának követelményei:</w:t>
      </w:r>
    </w:p>
    <w:p w14:paraId="0B84B189" w14:textId="77777777" w:rsidR="00893D5B" w:rsidRPr="000250FA" w:rsidRDefault="00893D5B" w:rsidP="00893D5B">
      <w:pPr>
        <w:rPr>
          <w:sz w:val="22"/>
          <w:szCs w:val="22"/>
        </w:rPr>
      </w:pPr>
    </w:p>
    <w:p w14:paraId="7C9B90C9" w14:textId="77777777" w:rsidR="00893D5B" w:rsidRPr="000250FA" w:rsidRDefault="00893D5B" w:rsidP="00912564">
      <w:pPr>
        <w:numPr>
          <w:ilvl w:val="0"/>
          <w:numId w:val="70"/>
        </w:numPr>
        <w:jc w:val="both"/>
        <w:rPr>
          <w:sz w:val="22"/>
          <w:szCs w:val="22"/>
        </w:rPr>
      </w:pPr>
      <w:r w:rsidRPr="000250FA">
        <w:rPr>
          <w:sz w:val="22"/>
          <w:szCs w:val="22"/>
        </w:rPr>
        <w:t>az oktatott tárgyat magába foglaló tudományág vagy művészeti terület átfogó ismerete és alkotó művelése, tantárgycsoport összefogásához, továbbá a tárgyak tananyagának önálló összeállításához, valamint magas színvonalú előadások tartásához idegen nyelven is szükséges felkészültség,</w:t>
      </w:r>
    </w:p>
    <w:p w14:paraId="770E5BD0" w14:textId="77777777" w:rsidR="00893D5B" w:rsidRPr="000250FA" w:rsidRDefault="00893D5B" w:rsidP="00912564">
      <w:pPr>
        <w:numPr>
          <w:ilvl w:val="0"/>
          <w:numId w:val="70"/>
        </w:numPr>
        <w:jc w:val="both"/>
        <w:rPr>
          <w:sz w:val="22"/>
          <w:szCs w:val="22"/>
        </w:rPr>
      </w:pPr>
      <w:r w:rsidRPr="000250FA">
        <w:rPr>
          <w:sz w:val="22"/>
          <w:szCs w:val="22"/>
        </w:rPr>
        <w:t>az oktatott szakterület anyagának folyamatos tartalmi és módszertani korszerűsítése, illetve az ilyen irányú tevékenység irányítása (pl. jegyzet, tankönyv, szakkönyv írása),</w:t>
      </w:r>
    </w:p>
    <w:p w14:paraId="7CE530DF" w14:textId="77777777" w:rsidR="00893D5B" w:rsidRPr="000250FA" w:rsidRDefault="00893D5B" w:rsidP="00912564">
      <w:pPr>
        <w:numPr>
          <w:ilvl w:val="0"/>
          <w:numId w:val="70"/>
        </w:numPr>
        <w:jc w:val="both"/>
        <w:rPr>
          <w:sz w:val="22"/>
          <w:szCs w:val="22"/>
        </w:rPr>
      </w:pPr>
      <w:r w:rsidRPr="000250FA">
        <w:rPr>
          <w:sz w:val="22"/>
          <w:szCs w:val="22"/>
        </w:rPr>
        <w:t>doktori fokozattal rendelkező docensek esetében a doktorjelöltek munkájának irányítása, irányító jellegű részvétel doktori képzésben, habilitált docensek esetében részvétel doktori és habilitációs eljárásokban,</w:t>
      </w:r>
    </w:p>
    <w:p w14:paraId="7F90D404" w14:textId="77777777" w:rsidR="00893D5B" w:rsidRPr="000250FA" w:rsidRDefault="00893D5B" w:rsidP="00912564">
      <w:pPr>
        <w:numPr>
          <w:ilvl w:val="0"/>
          <w:numId w:val="70"/>
        </w:numPr>
        <w:jc w:val="both"/>
        <w:rPr>
          <w:sz w:val="22"/>
          <w:szCs w:val="22"/>
        </w:rPr>
      </w:pPr>
      <w:r w:rsidRPr="000250FA">
        <w:rPr>
          <w:sz w:val="22"/>
          <w:szCs w:val="22"/>
        </w:rPr>
        <w:t>az oktató és a tudományos munka szervezése,</w:t>
      </w:r>
    </w:p>
    <w:p w14:paraId="7222AB24" w14:textId="77777777" w:rsidR="00893D5B" w:rsidRPr="000250FA" w:rsidRDefault="00893D5B" w:rsidP="00912564">
      <w:pPr>
        <w:numPr>
          <w:ilvl w:val="0"/>
          <w:numId w:val="70"/>
        </w:numPr>
        <w:jc w:val="both"/>
        <w:rPr>
          <w:sz w:val="22"/>
          <w:szCs w:val="22"/>
        </w:rPr>
      </w:pPr>
      <w:r w:rsidRPr="000250FA">
        <w:rPr>
          <w:sz w:val="22"/>
          <w:szCs w:val="22"/>
        </w:rPr>
        <w:t>rendszeres publikációs, szakirodalmi tevékenység kifejtése hazai és nemzetközi viszonylatban idegen nyelven is,</w:t>
      </w:r>
    </w:p>
    <w:p w14:paraId="370C7080" w14:textId="77777777" w:rsidR="00893D5B" w:rsidRPr="000250FA" w:rsidRDefault="00893D5B" w:rsidP="00912564">
      <w:pPr>
        <w:numPr>
          <w:ilvl w:val="0"/>
          <w:numId w:val="70"/>
        </w:numPr>
        <w:jc w:val="both"/>
        <w:rPr>
          <w:sz w:val="22"/>
          <w:szCs w:val="22"/>
        </w:rPr>
      </w:pPr>
      <w:r w:rsidRPr="000250FA">
        <w:rPr>
          <w:sz w:val="22"/>
          <w:szCs w:val="22"/>
        </w:rPr>
        <w:t>rendszeres és sokrétű kapcsolat tartása tudományterületének gyakorlati tevékenységével, tudományos feladatok megoldásának irányítása, pályázati csoportok tevékenységének összefogása, kutatási/szakmai megbízások szerzése,</w:t>
      </w:r>
    </w:p>
    <w:p w14:paraId="7344B20B" w14:textId="77777777" w:rsidR="00893D5B" w:rsidRPr="000250FA" w:rsidRDefault="00893D5B" w:rsidP="00912564">
      <w:pPr>
        <w:numPr>
          <w:ilvl w:val="0"/>
          <w:numId w:val="70"/>
        </w:numPr>
        <w:jc w:val="both"/>
        <w:rPr>
          <w:sz w:val="22"/>
          <w:szCs w:val="22"/>
        </w:rPr>
      </w:pPr>
      <w:r w:rsidRPr="000250FA">
        <w:rPr>
          <w:sz w:val="22"/>
          <w:szCs w:val="22"/>
        </w:rPr>
        <w:t>tudományos és tudományszervezési tevékenység kifejtése, a hazai és a nemzetközi tudományos közéletben tudományága, intézménye, illetőleg az ország szakmai képviselete,</w:t>
      </w:r>
    </w:p>
    <w:p w14:paraId="2D6F3E24" w14:textId="77777777" w:rsidR="00893D5B" w:rsidRPr="000250FA" w:rsidRDefault="00893D5B" w:rsidP="00912564">
      <w:pPr>
        <w:numPr>
          <w:ilvl w:val="0"/>
          <w:numId w:val="70"/>
        </w:numPr>
        <w:jc w:val="both"/>
        <w:rPr>
          <w:sz w:val="22"/>
          <w:szCs w:val="22"/>
        </w:rPr>
      </w:pPr>
      <w:r w:rsidRPr="000250FA">
        <w:rPr>
          <w:sz w:val="22"/>
          <w:szCs w:val="22"/>
        </w:rPr>
        <w:t>kezdeményező és irányító részvétel az intézményben folyó szakmai közéleti munkában, a kari, egyetemi, különösen oktatásszervezési feladatok megoldásában,</w:t>
      </w:r>
    </w:p>
    <w:p w14:paraId="1FAFC585" w14:textId="77777777" w:rsidR="00893D5B" w:rsidRPr="000250FA" w:rsidRDefault="00893D5B" w:rsidP="00912564">
      <w:pPr>
        <w:numPr>
          <w:ilvl w:val="0"/>
          <w:numId w:val="70"/>
        </w:numPr>
        <w:jc w:val="both"/>
        <w:rPr>
          <w:sz w:val="22"/>
          <w:szCs w:val="22"/>
        </w:rPr>
      </w:pPr>
      <w:r w:rsidRPr="000250FA">
        <w:rPr>
          <w:sz w:val="22"/>
          <w:szCs w:val="22"/>
        </w:rPr>
        <w:t>törekvés a főiskolai tanári, vagy egyetemi docensi kinevezés feltételeinek teljesítésére.</w:t>
      </w:r>
    </w:p>
    <w:p w14:paraId="35393C02" w14:textId="77777777" w:rsidR="00893D5B" w:rsidRPr="000250FA" w:rsidRDefault="00893D5B" w:rsidP="00893D5B">
      <w:pPr>
        <w:tabs>
          <w:tab w:val="left" w:pos="9781"/>
        </w:tabs>
        <w:ind w:right="-144"/>
        <w:jc w:val="both"/>
        <w:rPr>
          <w:b/>
          <w:sz w:val="22"/>
          <w:szCs w:val="22"/>
        </w:rPr>
      </w:pPr>
    </w:p>
    <w:p w14:paraId="6FBFF782" w14:textId="77777777" w:rsidR="00893D5B" w:rsidRPr="000250FA" w:rsidRDefault="00893D5B" w:rsidP="00893D5B">
      <w:pPr>
        <w:pStyle w:val="Cmsor4"/>
      </w:pPr>
      <w:bookmarkStart w:id="175" w:name="_Toc432753571"/>
      <w:r w:rsidRPr="000250FA">
        <w:t>Az egyetemi docens</w:t>
      </w:r>
      <w:bookmarkEnd w:id="175"/>
    </w:p>
    <w:p w14:paraId="32872DD0" w14:textId="77777777" w:rsidR="00893D5B" w:rsidRPr="000250FA" w:rsidRDefault="00893D5B" w:rsidP="00893D5B">
      <w:pPr>
        <w:rPr>
          <w:sz w:val="22"/>
          <w:szCs w:val="22"/>
        </w:rPr>
      </w:pPr>
    </w:p>
    <w:p w14:paraId="06F55A82" w14:textId="77777777" w:rsidR="00893D5B" w:rsidRPr="000250FA" w:rsidRDefault="00893D5B" w:rsidP="00893D5B">
      <w:pPr>
        <w:tabs>
          <w:tab w:val="left" w:pos="9781"/>
        </w:tabs>
        <w:ind w:right="-144"/>
        <w:jc w:val="both"/>
        <w:rPr>
          <w:sz w:val="22"/>
          <w:szCs w:val="22"/>
        </w:rPr>
      </w:pPr>
      <w:r w:rsidRPr="000250FA">
        <w:rPr>
          <w:b/>
          <w:sz w:val="22"/>
          <w:szCs w:val="22"/>
        </w:rPr>
        <w:t>63. §</w:t>
      </w:r>
      <w:r w:rsidRPr="000250FA">
        <w:rPr>
          <w:sz w:val="22"/>
          <w:szCs w:val="22"/>
        </w:rPr>
        <w:t xml:space="preserve"> (1)</w:t>
      </w:r>
      <w:r w:rsidRPr="000250FA">
        <w:rPr>
          <w:rStyle w:val="Lbjegyzet-hivatkozs"/>
          <w:sz w:val="22"/>
          <w:szCs w:val="22"/>
        </w:rPr>
        <w:footnoteReference w:id="269"/>
      </w:r>
      <w:r w:rsidRPr="000250FA">
        <w:rPr>
          <w:sz w:val="22"/>
          <w:szCs w:val="22"/>
        </w:rPr>
        <w:t xml:space="preserve"> Egyetemi docenssé az nevezhető ki, aki</w:t>
      </w:r>
    </w:p>
    <w:p w14:paraId="0D9DEDD1" w14:textId="77777777" w:rsidR="00893D5B" w:rsidRPr="000250FA" w:rsidRDefault="00893D5B" w:rsidP="00893D5B">
      <w:pPr>
        <w:rPr>
          <w:sz w:val="22"/>
          <w:szCs w:val="22"/>
        </w:rPr>
      </w:pPr>
    </w:p>
    <w:p w14:paraId="7EB9346D" w14:textId="77777777" w:rsidR="00893D5B" w:rsidRPr="000250FA" w:rsidRDefault="00893D5B" w:rsidP="00912564">
      <w:pPr>
        <w:numPr>
          <w:ilvl w:val="0"/>
          <w:numId w:val="71"/>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doktori fokozattal és habilitációval rendelkezik</w:t>
      </w:r>
      <w:r w:rsidRPr="000250FA">
        <w:rPr>
          <w:rFonts w:eastAsia="Calibri"/>
          <w:b/>
          <w:i/>
          <w:lang w:eastAsia="en-US"/>
        </w:rPr>
        <w:t xml:space="preserve"> </w:t>
      </w:r>
      <w:r w:rsidRPr="000250FA">
        <w:rPr>
          <w:sz w:val="22"/>
          <w:szCs w:val="22"/>
        </w:rPr>
        <w:t>vagy az Egyetemi Habilitációs és Habitusvizsgáló Bizottság által megállapított szakmai és tudományos minimumkövetelményeket teljesítette,</w:t>
      </w:r>
    </w:p>
    <w:p w14:paraId="221D4112" w14:textId="77777777" w:rsidR="00893D5B" w:rsidRPr="000250FA" w:rsidRDefault="00893D5B" w:rsidP="00912564">
      <w:pPr>
        <w:numPr>
          <w:ilvl w:val="0"/>
          <w:numId w:val="71"/>
        </w:numPr>
        <w:jc w:val="both"/>
        <w:rPr>
          <w:sz w:val="22"/>
          <w:szCs w:val="22"/>
        </w:rPr>
      </w:pPr>
      <w:r w:rsidRPr="000250FA">
        <w:rPr>
          <w:sz w:val="22"/>
          <w:szCs w:val="22"/>
        </w:rPr>
        <w:t>oktató és tudományos, szakmai, illetőleg kiemelkedő művészeti, gyógyító tevékenységével igazolta, hogy alkalmas a hallgatók, a doktori képzésben részt vevők, a tanársegédek tanulmányi, tudományos, illetve szakmai munkájának vezetésére,</w:t>
      </w:r>
    </w:p>
    <w:p w14:paraId="57561299" w14:textId="77777777" w:rsidR="00893D5B" w:rsidRPr="000250FA" w:rsidRDefault="00893D5B" w:rsidP="00912564">
      <w:pPr>
        <w:numPr>
          <w:ilvl w:val="0"/>
          <w:numId w:val="71"/>
        </w:numPr>
        <w:jc w:val="both"/>
        <w:rPr>
          <w:sz w:val="22"/>
          <w:szCs w:val="22"/>
        </w:rPr>
      </w:pPr>
      <w:r w:rsidRPr="000250FA">
        <w:rPr>
          <w:sz w:val="22"/>
          <w:szCs w:val="22"/>
        </w:rPr>
        <w:t>idegen nyelven is képes előadás tartására,</w:t>
      </w:r>
    </w:p>
    <w:p w14:paraId="1C14673A" w14:textId="77777777" w:rsidR="00893D5B" w:rsidRPr="000250FA" w:rsidRDefault="00893D5B" w:rsidP="00912564">
      <w:pPr>
        <w:numPr>
          <w:ilvl w:val="0"/>
          <w:numId w:val="71"/>
        </w:numPr>
        <w:jc w:val="both"/>
        <w:rPr>
          <w:sz w:val="22"/>
          <w:szCs w:val="22"/>
        </w:rPr>
      </w:pPr>
      <w:r w:rsidRPr="000250FA">
        <w:rPr>
          <w:sz w:val="22"/>
          <w:szCs w:val="22"/>
        </w:rPr>
        <w:t xml:space="preserve">oktatói rendelkezik megfelelő, az oktatásban szerzett szakmai tapasztalattal, </w:t>
      </w:r>
    </w:p>
    <w:p w14:paraId="55C8E845" w14:textId="77777777" w:rsidR="00893D5B" w:rsidRPr="000250FA" w:rsidRDefault="00893D5B" w:rsidP="00912564">
      <w:pPr>
        <w:numPr>
          <w:ilvl w:val="0"/>
          <w:numId w:val="71"/>
        </w:numPr>
        <w:jc w:val="both"/>
        <w:rPr>
          <w:sz w:val="22"/>
          <w:szCs w:val="22"/>
        </w:rPr>
      </w:pPr>
      <w:r w:rsidRPr="000250FA">
        <w:rPr>
          <w:sz w:val="22"/>
          <w:szCs w:val="22"/>
        </w:rPr>
        <w:t>megfelelő publikációs tevékenységet végez idegen nyelven is,</w:t>
      </w:r>
    </w:p>
    <w:p w14:paraId="178394DB" w14:textId="77777777" w:rsidR="00893D5B" w:rsidRPr="000250FA" w:rsidRDefault="00893D5B" w:rsidP="00912564">
      <w:pPr>
        <w:numPr>
          <w:ilvl w:val="0"/>
          <w:numId w:val="71"/>
        </w:numPr>
        <w:jc w:val="both"/>
        <w:rPr>
          <w:sz w:val="22"/>
          <w:szCs w:val="22"/>
        </w:rPr>
      </w:pPr>
      <w:r w:rsidRPr="000250FA">
        <w:rPr>
          <w:sz w:val="22"/>
          <w:szCs w:val="22"/>
        </w:rPr>
        <w:t>rendszeres szakmai közéleti tevékenységet folytat,</w:t>
      </w:r>
    </w:p>
    <w:p w14:paraId="2DF25DB7" w14:textId="77777777" w:rsidR="00893D5B" w:rsidRPr="000250FA" w:rsidRDefault="00893D5B" w:rsidP="00912564">
      <w:pPr>
        <w:numPr>
          <w:ilvl w:val="0"/>
          <w:numId w:val="71"/>
        </w:numPr>
        <w:jc w:val="both"/>
        <w:rPr>
          <w:sz w:val="22"/>
          <w:szCs w:val="22"/>
        </w:rPr>
      </w:pPr>
      <w:r w:rsidRPr="000250FA">
        <w:rPr>
          <w:sz w:val="22"/>
          <w:szCs w:val="22"/>
        </w:rPr>
        <w:t>széleskörű hazai és nemzetközi kapcsolatrendszerrel, valamint szakmai közéleti elismertséggel rendelkezik.</w:t>
      </w:r>
    </w:p>
    <w:p w14:paraId="46020C3F" w14:textId="77777777" w:rsidR="00893D5B" w:rsidRPr="000250FA" w:rsidRDefault="00893D5B" w:rsidP="00912564">
      <w:pPr>
        <w:numPr>
          <w:ilvl w:val="0"/>
          <w:numId w:val="71"/>
        </w:numPr>
        <w:jc w:val="both"/>
      </w:pPr>
      <w:r w:rsidRPr="000250FA">
        <w:rPr>
          <w:sz w:val="22"/>
          <w:szCs w:val="22"/>
        </w:rPr>
        <w:t>felsőoktatási intézményben legalább nyolc év időtartamú oktatási tevékenység ellátását célzó munkavégzésre irányuló jogviszonyban állott. A nyolc évbe öt év szakirányú munkavégzésre irányuló jogviszony, illetve egyéb önálló szakirányú tevékenység beszámítható</w:t>
      </w:r>
      <w:r w:rsidRPr="000250FA">
        <w:t>.</w:t>
      </w:r>
    </w:p>
    <w:p w14:paraId="579CB3C3" w14:textId="77777777" w:rsidR="00893D5B" w:rsidRDefault="00893D5B" w:rsidP="00893D5B">
      <w:pPr>
        <w:tabs>
          <w:tab w:val="left" w:pos="9781"/>
        </w:tabs>
        <w:ind w:right="-144"/>
        <w:rPr>
          <w:sz w:val="22"/>
          <w:szCs w:val="22"/>
        </w:rPr>
      </w:pPr>
    </w:p>
    <w:p w14:paraId="31A928BE" w14:textId="77777777" w:rsidR="0037430A" w:rsidRDefault="0037430A" w:rsidP="00893D5B">
      <w:pPr>
        <w:tabs>
          <w:tab w:val="left" w:pos="9781"/>
        </w:tabs>
        <w:ind w:right="-144"/>
        <w:rPr>
          <w:sz w:val="22"/>
          <w:szCs w:val="22"/>
        </w:rPr>
      </w:pPr>
    </w:p>
    <w:p w14:paraId="418CBFE3" w14:textId="77777777" w:rsidR="0037430A" w:rsidRPr="000250FA" w:rsidRDefault="0037430A" w:rsidP="00893D5B">
      <w:pPr>
        <w:tabs>
          <w:tab w:val="left" w:pos="9781"/>
        </w:tabs>
        <w:ind w:right="-144"/>
        <w:rPr>
          <w:sz w:val="22"/>
          <w:szCs w:val="22"/>
        </w:rPr>
      </w:pPr>
    </w:p>
    <w:p w14:paraId="4FAA5084" w14:textId="77777777" w:rsidR="00893D5B" w:rsidRPr="000250FA" w:rsidRDefault="00893D5B" w:rsidP="00893D5B">
      <w:pPr>
        <w:rPr>
          <w:sz w:val="22"/>
          <w:szCs w:val="22"/>
        </w:rPr>
      </w:pPr>
      <w:r w:rsidRPr="000250FA">
        <w:rPr>
          <w:sz w:val="22"/>
          <w:szCs w:val="22"/>
        </w:rPr>
        <w:lastRenderedPageBreak/>
        <w:t>(2) Az egyetemi docensek folyamatos alkalmazásának követelményei:</w:t>
      </w:r>
    </w:p>
    <w:p w14:paraId="53DFA4C1" w14:textId="77777777" w:rsidR="00893D5B" w:rsidRPr="000250FA" w:rsidRDefault="00893D5B" w:rsidP="00893D5B">
      <w:pPr>
        <w:rPr>
          <w:sz w:val="22"/>
          <w:szCs w:val="22"/>
        </w:rPr>
      </w:pPr>
    </w:p>
    <w:p w14:paraId="45C060EC" w14:textId="77777777" w:rsidR="00893D5B" w:rsidRPr="000250FA" w:rsidRDefault="00893D5B" w:rsidP="00912564">
      <w:pPr>
        <w:numPr>
          <w:ilvl w:val="0"/>
          <w:numId w:val="72"/>
        </w:numPr>
        <w:jc w:val="both"/>
        <w:rPr>
          <w:sz w:val="22"/>
          <w:szCs w:val="22"/>
        </w:rPr>
      </w:pPr>
      <w:r w:rsidRPr="000250FA">
        <w:rPr>
          <w:sz w:val="22"/>
          <w:szCs w:val="22"/>
        </w:rPr>
        <w:t>az oktatott tárgyat magába foglaló tudományág vagy művészeti terület átfogó ismerete és alkotó művelése, tantárgycsoport összefogásához, továbbá a tárgyak tananyagának önálló összeállításához, valamint magas színvonalú előadások tartásához idegen nyelven is szükséges felkészültség,</w:t>
      </w:r>
    </w:p>
    <w:p w14:paraId="00530B4A" w14:textId="77777777" w:rsidR="00893D5B" w:rsidRPr="000250FA" w:rsidRDefault="00893D5B" w:rsidP="00912564">
      <w:pPr>
        <w:numPr>
          <w:ilvl w:val="0"/>
          <w:numId w:val="72"/>
        </w:numPr>
        <w:jc w:val="both"/>
        <w:rPr>
          <w:sz w:val="22"/>
          <w:szCs w:val="22"/>
        </w:rPr>
      </w:pPr>
      <w:r w:rsidRPr="000250FA">
        <w:rPr>
          <w:sz w:val="22"/>
          <w:szCs w:val="22"/>
        </w:rPr>
        <w:t>az oktatott szakterület anyagának folyamatos tartalmi és módszertani korszerűsítése, illetve az ilyen irányú tevékenység irányítása (pl. jegyzet, tankönyv, szakkönyv írása),</w:t>
      </w:r>
    </w:p>
    <w:p w14:paraId="0CE4C949" w14:textId="77777777" w:rsidR="00893D5B" w:rsidRPr="000250FA" w:rsidRDefault="00893D5B" w:rsidP="00912564">
      <w:pPr>
        <w:numPr>
          <w:ilvl w:val="0"/>
          <w:numId w:val="72"/>
        </w:numPr>
        <w:jc w:val="both"/>
        <w:rPr>
          <w:sz w:val="22"/>
          <w:szCs w:val="22"/>
        </w:rPr>
      </w:pPr>
      <w:r w:rsidRPr="000250FA">
        <w:rPr>
          <w:sz w:val="22"/>
          <w:szCs w:val="22"/>
        </w:rPr>
        <w:t>a doktorjelöltek munkájának irányítása, irányító jellegű részvétel doktori képzésben, habilitált docensek esetében részvétel doktori és habilitációs eljárásokban,</w:t>
      </w:r>
    </w:p>
    <w:p w14:paraId="400AC03A" w14:textId="77777777" w:rsidR="00893D5B" w:rsidRPr="000250FA" w:rsidRDefault="00893D5B" w:rsidP="00912564">
      <w:pPr>
        <w:numPr>
          <w:ilvl w:val="0"/>
          <w:numId w:val="72"/>
        </w:numPr>
        <w:jc w:val="both"/>
        <w:rPr>
          <w:sz w:val="22"/>
          <w:szCs w:val="22"/>
        </w:rPr>
      </w:pPr>
      <w:r w:rsidRPr="000250FA">
        <w:rPr>
          <w:sz w:val="22"/>
          <w:szCs w:val="22"/>
        </w:rPr>
        <w:t>az oktató és a tudományos munka szervezése,</w:t>
      </w:r>
    </w:p>
    <w:p w14:paraId="777D3697" w14:textId="77777777" w:rsidR="00893D5B" w:rsidRPr="000250FA" w:rsidRDefault="00893D5B" w:rsidP="00912564">
      <w:pPr>
        <w:numPr>
          <w:ilvl w:val="0"/>
          <w:numId w:val="72"/>
        </w:numPr>
        <w:jc w:val="both"/>
        <w:rPr>
          <w:sz w:val="22"/>
          <w:szCs w:val="22"/>
        </w:rPr>
      </w:pPr>
      <w:r w:rsidRPr="000250FA">
        <w:rPr>
          <w:sz w:val="22"/>
          <w:szCs w:val="22"/>
        </w:rPr>
        <w:t>rendszeres publikációs, szakirodalmi tevékenység kifejtése hazai és nemzetközi viszonylatban idegen nyelven is,</w:t>
      </w:r>
    </w:p>
    <w:p w14:paraId="19A4455B" w14:textId="77777777" w:rsidR="00893D5B" w:rsidRPr="000250FA" w:rsidRDefault="00893D5B" w:rsidP="00912564">
      <w:pPr>
        <w:numPr>
          <w:ilvl w:val="0"/>
          <w:numId w:val="72"/>
        </w:numPr>
        <w:jc w:val="both"/>
        <w:rPr>
          <w:sz w:val="22"/>
          <w:szCs w:val="22"/>
        </w:rPr>
      </w:pPr>
      <w:r w:rsidRPr="000250FA">
        <w:rPr>
          <w:sz w:val="22"/>
          <w:szCs w:val="22"/>
        </w:rPr>
        <w:t>rendszeres és sokrétű kapcsolat tartása tudományterületének gyakorlati tevékenységével, tudományos feladatok megoldásának irányítása, pályázati csoportok tevékenységének összefogása, kutatási/szakmai megbízások szerzése,</w:t>
      </w:r>
    </w:p>
    <w:p w14:paraId="4E056955" w14:textId="77777777" w:rsidR="00893D5B" w:rsidRPr="000250FA" w:rsidRDefault="00893D5B" w:rsidP="00912564">
      <w:pPr>
        <w:numPr>
          <w:ilvl w:val="0"/>
          <w:numId w:val="72"/>
        </w:numPr>
        <w:jc w:val="both"/>
        <w:rPr>
          <w:sz w:val="22"/>
          <w:szCs w:val="22"/>
        </w:rPr>
      </w:pPr>
      <w:r w:rsidRPr="000250FA">
        <w:rPr>
          <w:sz w:val="22"/>
          <w:szCs w:val="22"/>
        </w:rPr>
        <w:t>tudományos és tudományszervezési tevékenység kifejtése, a hazai és a nemzetközi tudományos közéletben tudományága, intézménye, illetőleg az ország szakmai képviselete,</w:t>
      </w:r>
    </w:p>
    <w:p w14:paraId="40A6C156" w14:textId="77777777" w:rsidR="00893D5B" w:rsidRPr="000250FA" w:rsidRDefault="00893D5B" w:rsidP="00912564">
      <w:pPr>
        <w:numPr>
          <w:ilvl w:val="0"/>
          <w:numId w:val="72"/>
        </w:numPr>
        <w:jc w:val="both"/>
        <w:rPr>
          <w:sz w:val="22"/>
          <w:szCs w:val="22"/>
        </w:rPr>
      </w:pPr>
      <w:r w:rsidRPr="000250FA">
        <w:rPr>
          <w:sz w:val="22"/>
          <w:szCs w:val="22"/>
        </w:rPr>
        <w:t>kezdeményező és irányító részvétel az intézményben folyó szakmai közéleti munkában, a kari, egyetemi, különösen oktatásszervezési feladatok megoldásában,</w:t>
      </w:r>
    </w:p>
    <w:p w14:paraId="5853E9D1" w14:textId="77777777" w:rsidR="00893D5B" w:rsidRPr="000250FA" w:rsidRDefault="00893D5B" w:rsidP="00912564">
      <w:pPr>
        <w:numPr>
          <w:ilvl w:val="0"/>
          <w:numId w:val="72"/>
        </w:numPr>
        <w:jc w:val="both"/>
        <w:rPr>
          <w:sz w:val="22"/>
          <w:szCs w:val="22"/>
        </w:rPr>
      </w:pPr>
      <w:r w:rsidRPr="000250FA">
        <w:rPr>
          <w:sz w:val="22"/>
          <w:szCs w:val="22"/>
        </w:rPr>
        <w:t>törekvés az egyetemi tanári követelmények teljesítésére.</w:t>
      </w:r>
    </w:p>
    <w:p w14:paraId="263DCE25" w14:textId="77777777" w:rsidR="00893D5B" w:rsidRPr="000250FA" w:rsidRDefault="00893D5B" w:rsidP="00893D5B">
      <w:pPr>
        <w:tabs>
          <w:tab w:val="left" w:pos="9781"/>
        </w:tabs>
        <w:ind w:right="-144"/>
        <w:rPr>
          <w:b/>
          <w:sz w:val="22"/>
          <w:szCs w:val="22"/>
        </w:rPr>
      </w:pPr>
    </w:p>
    <w:p w14:paraId="2C1A2567" w14:textId="77777777" w:rsidR="00893D5B" w:rsidRPr="000250FA" w:rsidRDefault="00893D5B" w:rsidP="00893D5B">
      <w:pPr>
        <w:pStyle w:val="Cmsor4"/>
      </w:pPr>
      <w:bookmarkStart w:id="176" w:name="_Toc432753572"/>
      <w:r w:rsidRPr="000250FA">
        <w:t>A főiskolai tanár</w:t>
      </w:r>
      <w:bookmarkEnd w:id="176"/>
    </w:p>
    <w:p w14:paraId="0219B098" w14:textId="77777777" w:rsidR="00893D5B" w:rsidRPr="000250FA" w:rsidRDefault="00893D5B" w:rsidP="00893D5B">
      <w:pPr>
        <w:tabs>
          <w:tab w:val="left" w:pos="9781"/>
        </w:tabs>
        <w:ind w:right="-144"/>
        <w:jc w:val="center"/>
        <w:rPr>
          <w:b/>
          <w:sz w:val="22"/>
          <w:szCs w:val="22"/>
        </w:rPr>
      </w:pPr>
    </w:p>
    <w:p w14:paraId="2E987855" w14:textId="77777777" w:rsidR="00893D5B" w:rsidRPr="000250FA" w:rsidRDefault="00893D5B" w:rsidP="00893D5B">
      <w:pPr>
        <w:tabs>
          <w:tab w:val="left" w:pos="9781"/>
        </w:tabs>
        <w:ind w:right="-144"/>
        <w:jc w:val="both"/>
        <w:rPr>
          <w:sz w:val="22"/>
          <w:szCs w:val="22"/>
        </w:rPr>
      </w:pPr>
      <w:r w:rsidRPr="000250FA">
        <w:rPr>
          <w:b/>
          <w:sz w:val="22"/>
          <w:szCs w:val="22"/>
        </w:rPr>
        <w:t>64 §</w:t>
      </w:r>
      <w:r w:rsidRPr="000250FA">
        <w:rPr>
          <w:sz w:val="22"/>
          <w:szCs w:val="22"/>
        </w:rPr>
        <w:t xml:space="preserve"> (1) </w:t>
      </w:r>
      <w:r w:rsidRPr="000250FA">
        <w:rPr>
          <w:rStyle w:val="Lbjegyzet-hivatkozs"/>
          <w:sz w:val="22"/>
          <w:szCs w:val="22"/>
        </w:rPr>
        <w:footnoteReference w:id="270"/>
      </w:r>
    </w:p>
    <w:p w14:paraId="2A4D28CD" w14:textId="77777777" w:rsidR="00893D5B" w:rsidRPr="000250FA" w:rsidRDefault="00893D5B" w:rsidP="00893D5B">
      <w:pPr>
        <w:jc w:val="both"/>
        <w:rPr>
          <w:sz w:val="22"/>
          <w:szCs w:val="22"/>
        </w:rPr>
      </w:pPr>
    </w:p>
    <w:p w14:paraId="6D231BBC" w14:textId="77777777" w:rsidR="00893D5B" w:rsidRPr="000250FA" w:rsidRDefault="00893D5B" w:rsidP="00893D5B">
      <w:pPr>
        <w:jc w:val="both"/>
        <w:rPr>
          <w:sz w:val="22"/>
          <w:szCs w:val="22"/>
        </w:rPr>
      </w:pPr>
      <w:r w:rsidRPr="000250FA">
        <w:rPr>
          <w:sz w:val="22"/>
          <w:szCs w:val="22"/>
        </w:rPr>
        <w:t>(2)</w:t>
      </w:r>
      <w:r w:rsidRPr="000250FA">
        <w:rPr>
          <w:rStyle w:val="Lbjegyzet-hivatkozs"/>
          <w:sz w:val="22"/>
          <w:szCs w:val="22"/>
        </w:rPr>
        <w:footnoteReference w:id="271"/>
      </w:r>
      <w:r w:rsidRPr="000250FA">
        <w:rPr>
          <w:sz w:val="22"/>
          <w:szCs w:val="22"/>
        </w:rPr>
        <w:t xml:space="preserve"> </w:t>
      </w:r>
      <w:r w:rsidRPr="000250FA">
        <w:rPr>
          <w:rStyle w:val="Lbjegyzet-hivatkozs"/>
          <w:sz w:val="22"/>
          <w:szCs w:val="22"/>
        </w:rPr>
        <w:footnoteReference w:id="272"/>
      </w:r>
    </w:p>
    <w:p w14:paraId="76EBDE46" w14:textId="77777777" w:rsidR="00893D5B" w:rsidRPr="000250FA" w:rsidRDefault="00893D5B" w:rsidP="00893D5B">
      <w:pPr>
        <w:jc w:val="both"/>
        <w:rPr>
          <w:sz w:val="22"/>
          <w:szCs w:val="22"/>
        </w:rPr>
      </w:pPr>
    </w:p>
    <w:p w14:paraId="51BB21AF" w14:textId="77777777" w:rsidR="00893D5B" w:rsidRPr="000250FA" w:rsidRDefault="00893D5B" w:rsidP="00893D5B">
      <w:pPr>
        <w:jc w:val="both"/>
        <w:rPr>
          <w:sz w:val="22"/>
          <w:szCs w:val="22"/>
        </w:rPr>
      </w:pPr>
      <w:r w:rsidRPr="000250FA">
        <w:rPr>
          <w:sz w:val="22"/>
          <w:szCs w:val="22"/>
        </w:rPr>
        <w:t xml:space="preserve">(3) </w:t>
      </w:r>
      <w:r w:rsidRPr="000250FA">
        <w:rPr>
          <w:rStyle w:val="Lbjegyzet-hivatkozs"/>
          <w:sz w:val="22"/>
          <w:szCs w:val="22"/>
        </w:rPr>
        <w:footnoteReference w:id="273"/>
      </w:r>
    </w:p>
    <w:p w14:paraId="130812F7" w14:textId="77777777" w:rsidR="00893D5B" w:rsidRPr="000250FA" w:rsidRDefault="00893D5B" w:rsidP="00893D5B">
      <w:pPr>
        <w:jc w:val="both"/>
        <w:rPr>
          <w:sz w:val="22"/>
          <w:szCs w:val="22"/>
        </w:rPr>
      </w:pPr>
    </w:p>
    <w:p w14:paraId="37CC3FC9" w14:textId="77777777" w:rsidR="00893D5B" w:rsidRPr="000250FA" w:rsidRDefault="00893D5B" w:rsidP="00893D5B">
      <w:pPr>
        <w:jc w:val="both"/>
        <w:rPr>
          <w:sz w:val="22"/>
          <w:szCs w:val="22"/>
        </w:rPr>
      </w:pPr>
      <w:r w:rsidRPr="000250FA">
        <w:rPr>
          <w:sz w:val="22"/>
          <w:szCs w:val="22"/>
        </w:rPr>
        <w:t xml:space="preserve">(4) </w:t>
      </w:r>
      <w:r w:rsidRPr="000250FA">
        <w:rPr>
          <w:rStyle w:val="Lbjegyzet-hivatkozs"/>
          <w:sz w:val="22"/>
          <w:szCs w:val="22"/>
        </w:rPr>
        <w:footnoteReference w:id="274"/>
      </w:r>
    </w:p>
    <w:p w14:paraId="31B7C262" w14:textId="77777777" w:rsidR="00893D5B" w:rsidRPr="000250FA" w:rsidRDefault="00893D5B" w:rsidP="00893D5B">
      <w:pPr>
        <w:jc w:val="both"/>
        <w:rPr>
          <w:strike/>
          <w:sz w:val="22"/>
          <w:szCs w:val="22"/>
        </w:rPr>
      </w:pPr>
    </w:p>
    <w:p w14:paraId="71A90490" w14:textId="77777777" w:rsidR="00893D5B" w:rsidRPr="000250FA" w:rsidRDefault="00893D5B" w:rsidP="00893D5B">
      <w:pPr>
        <w:jc w:val="both"/>
        <w:rPr>
          <w:sz w:val="22"/>
          <w:szCs w:val="22"/>
        </w:rPr>
      </w:pPr>
      <w:r w:rsidRPr="000250FA">
        <w:rPr>
          <w:sz w:val="22"/>
          <w:szCs w:val="22"/>
        </w:rPr>
        <w:t>(5) A főiskolai tanárok folyamatos alkalmazásának követelményei:</w:t>
      </w:r>
    </w:p>
    <w:p w14:paraId="7C20F5C8" w14:textId="77777777" w:rsidR="00893D5B" w:rsidRPr="000250FA" w:rsidRDefault="00893D5B" w:rsidP="00893D5B">
      <w:pPr>
        <w:rPr>
          <w:sz w:val="22"/>
          <w:szCs w:val="22"/>
        </w:rPr>
      </w:pPr>
    </w:p>
    <w:p w14:paraId="1781E209" w14:textId="77777777" w:rsidR="00893D5B" w:rsidRPr="000250FA" w:rsidRDefault="00893D5B" w:rsidP="00912564">
      <w:pPr>
        <w:numPr>
          <w:ilvl w:val="0"/>
          <w:numId w:val="73"/>
        </w:numPr>
        <w:jc w:val="both"/>
        <w:rPr>
          <w:sz w:val="22"/>
          <w:szCs w:val="22"/>
        </w:rPr>
      </w:pPr>
      <w:r w:rsidRPr="000250FA">
        <w:rPr>
          <w:sz w:val="22"/>
          <w:szCs w:val="22"/>
        </w:rPr>
        <w:t>az oktatott tárgyat magába foglaló tudományág vagy művészeti terület átfogó ismerete és alkotó művelése, tantárgycsoport összefogásához, továbbá a tárgyak tananyagának önálló összeállításához, valamint magas színvonalú előadások tartásához idegen nyelven is szükséges felkészültség,</w:t>
      </w:r>
    </w:p>
    <w:p w14:paraId="6CC927CB" w14:textId="77777777" w:rsidR="00893D5B" w:rsidRPr="000250FA" w:rsidRDefault="00893D5B" w:rsidP="00912564">
      <w:pPr>
        <w:numPr>
          <w:ilvl w:val="0"/>
          <w:numId w:val="73"/>
        </w:numPr>
        <w:jc w:val="both"/>
        <w:rPr>
          <w:sz w:val="22"/>
          <w:szCs w:val="22"/>
        </w:rPr>
      </w:pPr>
      <w:r w:rsidRPr="000250FA">
        <w:rPr>
          <w:sz w:val="22"/>
          <w:szCs w:val="22"/>
        </w:rPr>
        <w:t>az oktatott szakterület anyagának folyamatos tartalmi és módszertani korszerűsítése, illetve az ilyen irányú tevékenység irányítása (pl. jegyzet, tankönyv, szakkönyv írása),</w:t>
      </w:r>
    </w:p>
    <w:p w14:paraId="7C087D3F" w14:textId="77777777" w:rsidR="00893D5B" w:rsidRPr="000250FA" w:rsidRDefault="00893D5B" w:rsidP="00912564">
      <w:pPr>
        <w:numPr>
          <w:ilvl w:val="0"/>
          <w:numId w:val="73"/>
        </w:numPr>
        <w:jc w:val="both"/>
        <w:rPr>
          <w:sz w:val="22"/>
          <w:szCs w:val="22"/>
        </w:rPr>
      </w:pPr>
      <w:r w:rsidRPr="000250FA">
        <w:rPr>
          <w:sz w:val="22"/>
          <w:szCs w:val="22"/>
        </w:rPr>
        <w:t>az oktató és a tudományos munka szervezése,</w:t>
      </w:r>
    </w:p>
    <w:p w14:paraId="6CB9C64E" w14:textId="77777777" w:rsidR="00893D5B" w:rsidRPr="000250FA" w:rsidRDefault="00893D5B" w:rsidP="00912564">
      <w:pPr>
        <w:numPr>
          <w:ilvl w:val="0"/>
          <w:numId w:val="73"/>
        </w:numPr>
        <w:jc w:val="both"/>
        <w:rPr>
          <w:sz w:val="22"/>
          <w:szCs w:val="22"/>
        </w:rPr>
      </w:pPr>
      <w:r w:rsidRPr="000250FA">
        <w:rPr>
          <w:sz w:val="22"/>
          <w:szCs w:val="22"/>
        </w:rPr>
        <w:t>a doktorjelöltek munkájának irányítása, irányító jellegű részvétel doktori képzésben, részvétel a doktori és – habilitációval rendelkező főiskolai tanár esetében – a habilitációs eljárásokban,</w:t>
      </w:r>
    </w:p>
    <w:p w14:paraId="2DF9983F" w14:textId="77777777" w:rsidR="00893D5B" w:rsidRPr="000250FA" w:rsidRDefault="00893D5B" w:rsidP="00912564">
      <w:pPr>
        <w:numPr>
          <w:ilvl w:val="0"/>
          <w:numId w:val="73"/>
        </w:numPr>
        <w:jc w:val="both"/>
        <w:rPr>
          <w:sz w:val="22"/>
          <w:szCs w:val="22"/>
        </w:rPr>
      </w:pPr>
      <w:r w:rsidRPr="000250FA">
        <w:rPr>
          <w:sz w:val="22"/>
          <w:szCs w:val="22"/>
        </w:rPr>
        <w:t>rendszeres publikációs, szakirodalmi tevékenység kifejtése hazai és nemzetközi viszonylatban idegen nyelven is,</w:t>
      </w:r>
    </w:p>
    <w:p w14:paraId="5B5270BE" w14:textId="77777777" w:rsidR="00893D5B" w:rsidRPr="000250FA" w:rsidRDefault="00893D5B" w:rsidP="00912564">
      <w:pPr>
        <w:numPr>
          <w:ilvl w:val="0"/>
          <w:numId w:val="73"/>
        </w:numPr>
        <w:jc w:val="both"/>
        <w:rPr>
          <w:sz w:val="22"/>
          <w:szCs w:val="22"/>
        </w:rPr>
      </w:pPr>
      <w:r w:rsidRPr="000250FA">
        <w:rPr>
          <w:sz w:val="22"/>
          <w:szCs w:val="22"/>
        </w:rPr>
        <w:t>rendszeres és sokrétű kapcsolat tartása tudományterületének gyakorlati tevékenységével, tudományos feladatok megoldásának irányítása, pályázati csoportok tevékenységének összefogása, kutatási/szakmai megbízások szerzése,</w:t>
      </w:r>
    </w:p>
    <w:p w14:paraId="04BC0A49" w14:textId="77777777" w:rsidR="00893D5B" w:rsidRPr="000250FA" w:rsidRDefault="00893D5B" w:rsidP="00912564">
      <w:pPr>
        <w:numPr>
          <w:ilvl w:val="0"/>
          <w:numId w:val="73"/>
        </w:numPr>
        <w:jc w:val="both"/>
        <w:rPr>
          <w:sz w:val="22"/>
          <w:szCs w:val="22"/>
        </w:rPr>
      </w:pPr>
      <w:r w:rsidRPr="000250FA">
        <w:rPr>
          <w:sz w:val="22"/>
          <w:szCs w:val="22"/>
        </w:rPr>
        <w:lastRenderedPageBreak/>
        <w:t>tudományos és tudományszervezési tevékenység kifejtése, a hazai és a nemzetközi tudományos közéletben tudományága, intézménye, illetőleg az ország szakmai képviselete,</w:t>
      </w:r>
    </w:p>
    <w:p w14:paraId="3CE33D27" w14:textId="77777777" w:rsidR="00893D5B" w:rsidRPr="000250FA" w:rsidRDefault="00893D5B" w:rsidP="00912564">
      <w:pPr>
        <w:numPr>
          <w:ilvl w:val="0"/>
          <w:numId w:val="73"/>
        </w:numPr>
        <w:jc w:val="both"/>
        <w:rPr>
          <w:sz w:val="22"/>
          <w:szCs w:val="22"/>
        </w:rPr>
      </w:pPr>
      <w:r w:rsidRPr="000250FA">
        <w:rPr>
          <w:sz w:val="22"/>
          <w:szCs w:val="22"/>
        </w:rPr>
        <w:t>kezdeményező és irányító részvétel az intézményben folyó szakmai közéleti munkában, a kari, egyetemi, különösen oktatásszervezési feladatok megoldásában.</w:t>
      </w:r>
    </w:p>
    <w:p w14:paraId="74ADE891" w14:textId="77777777" w:rsidR="00893D5B" w:rsidRPr="000250FA" w:rsidRDefault="00893D5B" w:rsidP="00893D5B">
      <w:pPr>
        <w:tabs>
          <w:tab w:val="left" w:pos="9781"/>
        </w:tabs>
        <w:ind w:right="-144"/>
        <w:rPr>
          <w:b/>
          <w:sz w:val="22"/>
          <w:szCs w:val="22"/>
        </w:rPr>
      </w:pPr>
    </w:p>
    <w:p w14:paraId="4EBFF5FD" w14:textId="77777777" w:rsidR="00893D5B" w:rsidRPr="000250FA" w:rsidRDefault="00893D5B" w:rsidP="00893D5B">
      <w:pPr>
        <w:pStyle w:val="Cmsor4"/>
      </w:pPr>
      <w:bookmarkStart w:id="177" w:name="_Toc432753573"/>
      <w:r w:rsidRPr="000250FA">
        <w:t>Az egyetemi tanár</w:t>
      </w:r>
      <w:bookmarkEnd w:id="177"/>
    </w:p>
    <w:p w14:paraId="354CD9BB" w14:textId="77777777" w:rsidR="00893D5B" w:rsidRPr="000250FA" w:rsidRDefault="00893D5B" w:rsidP="00893D5B">
      <w:pPr>
        <w:tabs>
          <w:tab w:val="left" w:pos="9781"/>
        </w:tabs>
        <w:ind w:right="-144"/>
        <w:jc w:val="both"/>
        <w:rPr>
          <w:b/>
          <w:sz w:val="22"/>
          <w:szCs w:val="22"/>
        </w:rPr>
      </w:pPr>
    </w:p>
    <w:p w14:paraId="6049A735" w14:textId="77777777" w:rsidR="00893D5B" w:rsidRPr="000250FA" w:rsidRDefault="00893D5B" w:rsidP="00893D5B">
      <w:pPr>
        <w:tabs>
          <w:tab w:val="left" w:pos="9781"/>
        </w:tabs>
        <w:ind w:right="-144"/>
        <w:jc w:val="both"/>
        <w:rPr>
          <w:sz w:val="22"/>
          <w:szCs w:val="22"/>
        </w:rPr>
      </w:pPr>
      <w:r w:rsidRPr="000250FA">
        <w:rPr>
          <w:b/>
          <w:sz w:val="22"/>
          <w:szCs w:val="22"/>
        </w:rPr>
        <w:t>65. §</w:t>
      </w:r>
      <w:r w:rsidRPr="000250FA">
        <w:rPr>
          <w:rStyle w:val="Lbjegyzet-hivatkozs"/>
          <w:b/>
          <w:sz w:val="22"/>
          <w:szCs w:val="22"/>
        </w:rPr>
        <w:footnoteReference w:id="275"/>
      </w:r>
      <w:r w:rsidRPr="000250FA">
        <w:rPr>
          <w:sz w:val="22"/>
          <w:szCs w:val="22"/>
        </w:rPr>
        <w:t xml:space="preserve"> </w:t>
      </w:r>
      <w:r w:rsidRPr="000250FA">
        <w:rPr>
          <w:rStyle w:val="Lbjegyzet-hivatkozs"/>
          <w:sz w:val="22"/>
          <w:szCs w:val="22"/>
        </w:rPr>
        <w:footnoteReference w:id="276"/>
      </w:r>
      <w:r w:rsidRPr="000250FA">
        <w:rPr>
          <w:sz w:val="22"/>
          <w:szCs w:val="22"/>
        </w:rPr>
        <w:t>(1) Egyetemi tanárrá az nevezhető ki, aki</w:t>
      </w:r>
    </w:p>
    <w:p w14:paraId="04A09903" w14:textId="77777777" w:rsidR="00893D5B" w:rsidRPr="000250FA" w:rsidRDefault="00893D5B" w:rsidP="00893D5B">
      <w:pPr>
        <w:tabs>
          <w:tab w:val="left" w:pos="9781"/>
        </w:tabs>
        <w:ind w:right="-144"/>
        <w:jc w:val="both"/>
        <w:rPr>
          <w:b/>
          <w:sz w:val="22"/>
          <w:szCs w:val="22"/>
        </w:rPr>
      </w:pPr>
    </w:p>
    <w:p w14:paraId="201ACC21" w14:textId="77777777" w:rsidR="00893D5B" w:rsidRPr="000250FA" w:rsidRDefault="00893D5B" w:rsidP="00912564">
      <w:pPr>
        <w:numPr>
          <w:ilvl w:val="0"/>
          <w:numId w:val="74"/>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doktori fokozattal és – amennyiben magyar állampolgár – habilitációval vagy azzal egyenértékű nemzetközi felsőoktatási oktatói gyakorlattal rendelkezik,</w:t>
      </w:r>
    </w:p>
    <w:p w14:paraId="3F15BEC4" w14:textId="77777777" w:rsidR="00893D5B" w:rsidRPr="000250FA" w:rsidRDefault="00893D5B" w:rsidP="00912564">
      <w:pPr>
        <w:numPr>
          <w:ilvl w:val="0"/>
          <w:numId w:val="74"/>
        </w:numPr>
        <w:jc w:val="both"/>
        <w:rPr>
          <w:sz w:val="22"/>
          <w:szCs w:val="22"/>
        </w:rPr>
      </w:pPr>
      <w:r w:rsidRPr="000250FA">
        <w:rPr>
          <w:sz w:val="22"/>
          <w:szCs w:val="22"/>
        </w:rPr>
        <w:t xml:space="preserve">teljesíti a Magyar Felsőoktatási Akkreditációs Bizottság szakértői véleményében támasztott követelményeket; </w:t>
      </w:r>
    </w:p>
    <w:p w14:paraId="4044488F" w14:textId="77777777" w:rsidR="00893D5B" w:rsidRPr="000250FA" w:rsidRDefault="00893D5B" w:rsidP="00912564">
      <w:pPr>
        <w:numPr>
          <w:ilvl w:val="0"/>
          <w:numId w:val="74"/>
        </w:numPr>
        <w:jc w:val="both"/>
        <w:rPr>
          <w:sz w:val="22"/>
          <w:szCs w:val="22"/>
        </w:rPr>
      </w:pPr>
      <w:r w:rsidRPr="000250FA">
        <w:rPr>
          <w:bCs/>
          <w:iCs/>
          <w:sz w:val="22"/>
          <w:szCs w:val="22"/>
        </w:rPr>
        <w:t>MTA-doktori címmel vagy ahhoz szükséges tudományos vagy annak megfelelő művészeti teljesítménnyel rendelkezik,</w:t>
      </w:r>
    </w:p>
    <w:p w14:paraId="16A06A3F" w14:textId="77777777" w:rsidR="00893D5B" w:rsidRPr="000250FA" w:rsidRDefault="00893D5B" w:rsidP="00912564">
      <w:pPr>
        <w:numPr>
          <w:ilvl w:val="0"/>
          <w:numId w:val="74"/>
        </w:numPr>
        <w:jc w:val="both"/>
        <w:rPr>
          <w:sz w:val="22"/>
          <w:szCs w:val="22"/>
        </w:rPr>
      </w:pPr>
      <w:r w:rsidRPr="000250FA">
        <w:rPr>
          <w:sz w:val="22"/>
          <w:szCs w:val="22"/>
        </w:rPr>
        <w:t>habilitációját követően legalább öt éven keresztül oktatói tevékenységet folytatott,</w:t>
      </w:r>
    </w:p>
    <w:p w14:paraId="2318B3A0" w14:textId="77777777" w:rsidR="00893D5B" w:rsidRPr="000250FA" w:rsidRDefault="00893D5B" w:rsidP="00912564">
      <w:pPr>
        <w:numPr>
          <w:ilvl w:val="0"/>
          <w:numId w:val="74"/>
        </w:numPr>
        <w:jc w:val="both"/>
        <w:rPr>
          <w:sz w:val="22"/>
          <w:szCs w:val="22"/>
        </w:rPr>
      </w:pPr>
      <w:r w:rsidRPr="000250FA">
        <w:rPr>
          <w:sz w:val="22"/>
          <w:szCs w:val="22"/>
        </w:rPr>
        <w:t>az adott tudomány- vagy művészeti terület olyan nemzetközileg elismert képviselője, aki kiemelkedő tudományos kutatói, illetve művészi munkásságot fejt ki,</w:t>
      </w:r>
    </w:p>
    <w:p w14:paraId="05AFD892" w14:textId="77777777" w:rsidR="00893D5B" w:rsidRPr="000250FA" w:rsidRDefault="00893D5B" w:rsidP="00912564">
      <w:pPr>
        <w:numPr>
          <w:ilvl w:val="0"/>
          <w:numId w:val="74"/>
        </w:numPr>
        <w:jc w:val="both"/>
        <w:rPr>
          <w:sz w:val="22"/>
          <w:szCs w:val="22"/>
        </w:rPr>
      </w:pPr>
      <w:r w:rsidRPr="000250FA">
        <w:rPr>
          <w:sz w:val="22"/>
          <w:szCs w:val="22"/>
        </w:rPr>
        <w:t>oktató és tudományos, gyógyító illetve szakmai tevékenységével, művészi munkásságával, továbbá az oktatásban, kutatásban, kutatásszervezésben, gyógyításban szerzett tapasztalatai alapján alkalmas a hallgatók, a doktori képzésben részt vevők, a tanársegédek tanulmányi, tudományos, illetve művészi munkájának vezetésére,</w:t>
      </w:r>
    </w:p>
    <w:p w14:paraId="46140B8A" w14:textId="77777777" w:rsidR="00893D5B" w:rsidRPr="000250FA" w:rsidRDefault="00893D5B" w:rsidP="00912564">
      <w:pPr>
        <w:numPr>
          <w:ilvl w:val="0"/>
          <w:numId w:val="74"/>
        </w:numPr>
        <w:jc w:val="both"/>
        <w:rPr>
          <w:sz w:val="22"/>
          <w:szCs w:val="22"/>
        </w:rPr>
      </w:pPr>
      <w:r w:rsidRPr="000250FA">
        <w:rPr>
          <w:sz w:val="22"/>
          <w:szCs w:val="22"/>
        </w:rPr>
        <w:t>iskolateremtő oktatási, tudományos és szakmai munkássággal, oktatási és tudományszervezői tapasztalattal és irányítási készséggel bír,</w:t>
      </w:r>
    </w:p>
    <w:p w14:paraId="0A0B974F" w14:textId="77777777" w:rsidR="00893D5B" w:rsidRPr="000250FA" w:rsidRDefault="00893D5B" w:rsidP="00912564">
      <w:pPr>
        <w:numPr>
          <w:ilvl w:val="0"/>
          <w:numId w:val="74"/>
        </w:numPr>
        <w:jc w:val="both"/>
        <w:rPr>
          <w:sz w:val="22"/>
          <w:szCs w:val="22"/>
        </w:rPr>
      </w:pPr>
      <w:r w:rsidRPr="000250FA">
        <w:rPr>
          <w:sz w:val="22"/>
          <w:szCs w:val="22"/>
        </w:rPr>
        <w:t>idegen nyelven is képes előadás, szeminárium tartására,</w:t>
      </w:r>
    </w:p>
    <w:p w14:paraId="79B873EF" w14:textId="77777777" w:rsidR="00893D5B" w:rsidRPr="000250FA" w:rsidRDefault="00893D5B" w:rsidP="00912564">
      <w:pPr>
        <w:numPr>
          <w:ilvl w:val="0"/>
          <w:numId w:val="74"/>
        </w:numPr>
        <w:jc w:val="both"/>
        <w:rPr>
          <w:sz w:val="22"/>
          <w:szCs w:val="22"/>
        </w:rPr>
      </w:pPr>
      <w:r w:rsidRPr="000250FA">
        <w:rPr>
          <w:sz w:val="22"/>
          <w:szCs w:val="22"/>
        </w:rPr>
        <w:t>megfelelő publikációs tevékenységet végez idegen nyelven is,</w:t>
      </w:r>
    </w:p>
    <w:p w14:paraId="3444878B" w14:textId="77777777" w:rsidR="00893D5B" w:rsidRPr="000250FA" w:rsidRDefault="00893D5B" w:rsidP="00912564">
      <w:pPr>
        <w:numPr>
          <w:ilvl w:val="0"/>
          <w:numId w:val="74"/>
        </w:numPr>
        <w:jc w:val="both"/>
        <w:rPr>
          <w:sz w:val="22"/>
          <w:szCs w:val="22"/>
        </w:rPr>
      </w:pPr>
      <w:r w:rsidRPr="000250FA">
        <w:rPr>
          <w:sz w:val="22"/>
          <w:szCs w:val="22"/>
        </w:rPr>
        <w:t>rendszeres szakmai közéleti tevékenységet folytat,</w:t>
      </w:r>
    </w:p>
    <w:p w14:paraId="4410B2BE" w14:textId="77777777" w:rsidR="00893D5B" w:rsidRPr="000250FA" w:rsidRDefault="00893D5B" w:rsidP="00912564">
      <w:pPr>
        <w:numPr>
          <w:ilvl w:val="0"/>
          <w:numId w:val="74"/>
        </w:numPr>
        <w:jc w:val="both"/>
        <w:rPr>
          <w:sz w:val="22"/>
          <w:szCs w:val="22"/>
        </w:rPr>
      </w:pPr>
      <w:r w:rsidRPr="000250FA">
        <w:rPr>
          <w:sz w:val="22"/>
          <w:szCs w:val="22"/>
        </w:rPr>
        <w:t>széleskörű hazai és nemzetközi kapcsolatrendszerrel, valamint szakmai közéleti elismertséggel rendelkezik.</w:t>
      </w:r>
    </w:p>
    <w:p w14:paraId="4FA5F54B" w14:textId="77777777" w:rsidR="00893D5B" w:rsidRPr="000250FA" w:rsidRDefault="00893D5B" w:rsidP="00893D5B">
      <w:pPr>
        <w:tabs>
          <w:tab w:val="left" w:pos="9781"/>
        </w:tabs>
        <w:ind w:right="-144"/>
        <w:rPr>
          <w:sz w:val="22"/>
          <w:szCs w:val="22"/>
        </w:rPr>
      </w:pPr>
    </w:p>
    <w:p w14:paraId="2CC02905" w14:textId="77777777" w:rsidR="00893D5B" w:rsidRPr="000250FA" w:rsidRDefault="00893D5B" w:rsidP="00893D5B">
      <w:pPr>
        <w:jc w:val="both"/>
        <w:rPr>
          <w:sz w:val="22"/>
          <w:szCs w:val="22"/>
        </w:rPr>
      </w:pPr>
      <w:r w:rsidRPr="000250FA">
        <w:rPr>
          <w:sz w:val="22"/>
          <w:szCs w:val="22"/>
        </w:rPr>
        <w:t>(2) Az egyetemi tanári munkakörben történő alkalmazás további feltétele, hogy az érintettet a köztársasági elnök munkaköri cím adományozásával egyetemi tanárrá kinevezze, vagy ilyen kinevezéssel már rendelkezzen.</w:t>
      </w:r>
    </w:p>
    <w:p w14:paraId="62F2786F" w14:textId="77777777" w:rsidR="00893D5B" w:rsidRPr="000250FA" w:rsidRDefault="00893D5B" w:rsidP="00893D5B">
      <w:pPr>
        <w:jc w:val="both"/>
        <w:rPr>
          <w:sz w:val="22"/>
          <w:szCs w:val="22"/>
        </w:rPr>
      </w:pPr>
    </w:p>
    <w:p w14:paraId="0B032F71" w14:textId="77777777" w:rsidR="00893D5B" w:rsidRPr="000250FA" w:rsidRDefault="00893D5B" w:rsidP="00893D5B">
      <w:pPr>
        <w:jc w:val="both"/>
        <w:rPr>
          <w:sz w:val="22"/>
          <w:szCs w:val="22"/>
        </w:rPr>
      </w:pPr>
      <w:r w:rsidRPr="000250FA">
        <w:rPr>
          <w:sz w:val="22"/>
          <w:szCs w:val="22"/>
        </w:rPr>
        <w:t>(3) Az (1) bekezdésben említett feltételek fennállta esetén egyetemi tanári munkakör azzal létesíthető, aki felsőoktatási intézményben legalább 12 év időtartamú oktatási tevékenység ellátását célzó munkavégzésre irányuló jogviszonyban állt.</w:t>
      </w:r>
    </w:p>
    <w:p w14:paraId="143FB1DC" w14:textId="77777777" w:rsidR="00893D5B" w:rsidRPr="000250FA" w:rsidRDefault="00893D5B" w:rsidP="00893D5B">
      <w:pPr>
        <w:jc w:val="both"/>
        <w:rPr>
          <w:sz w:val="22"/>
          <w:szCs w:val="22"/>
        </w:rPr>
      </w:pPr>
    </w:p>
    <w:p w14:paraId="6A96F40D" w14:textId="77777777" w:rsidR="00893D5B" w:rsidRPr="000250FA" w:rsidRDefault="00893D5B" w:rsidP="00893D5B">
      <w:pPr>
        <w:jc w:val="both"/>
        <w:rPr>
          <w:sz w:val="22"/>
          <w:szCs w:val="22"/>
        </w:rPr>
      </w:pPr>
      <w:r w:rsidRPr="000250FA">
        <w:rPr>
          <w:sz w:val="22"/>
          <w:szCs w:val="22"/>
        </w:rPr>
        <w:t xml:space="preserve">(4) A rektor a pályázatok kiírásánál a kar vezetőjének javaslatára </w:t>
      </w:r>
      <w:r w:rsidRPr="000250FA">
        <w:rPr>
          <w:sz w:val="22"/>
          <w:szCs w:val="22"/>
        </w:rPr>
        <w:sym w:font="Symbol" w:char="F02D"/>
      </w:r>
      <w:r w:rsidRPr="000250FA">
        <w:rPr>
          <w:sz w:val="22"/>
          <w:szCs w:val="22"/>
        </w:rPr>
        <w:t xml:space="preserve"> a Kari Tanács véleménye alapján </w:t>
      </w:r>
      <w:r w:rsidRPr="000250FA">
        <w:rPr>
          <w:sz w:val="22"/>
          <w:szCs w:val="22"/>
        </w:rPr>
        <w:sym w:font="Symbol" w:char="F02D"/>
      </w:r>
      <w:r w:rsidRPr="000250FA">
        <w:rPr>
          <w:sz w:val="22"/>
          <w:szCs w:val="22"/>
        </w:rPr>
        <w:t xml:space="preserve"> </w:t>
      </w:r>
    </w:p>
    <w:p w14:paraId="3C1D7A3A" w14:textId="77777777" w:rsidR="00893D5B" w:rsidRPr="000250FA" w:rsidRDefault="00893D5B" w:rsidP="0037430A">
      <w:pPr>
        <w:ind w:left="284"/>
        <w:jc w:val="both"/>
        <w:rPr>
          <w:sz w:val="22"/>
          <w:szCs w:val="22"/>
        </w:rPr>
      </w:pPr>
      <w:proofErr w:type="gramStart"/>
      <w:r w:rsidRPr="000250FA">
        <w:rPr>
          <w:sz w:val="22"/>
          <w:szCs w:val="22"/>
        </w:rPr>
        <w:t>a</w:t>
      </w:r>
      <w:proofErr w:type="gramEnd"/>
      <w:r w:rsidRPr="000250FA">
        <w:rPr>
          <w:sz w:val="22"/>
          <w:szCs w:val="22"/>
        </w:rPr>
        <w:t>) az (1) bekezdés c) vagy d) pontjában meghatározott feltételtelek egyikétől eltekinthet,</w:t>
      </w:r>
    </w:p>
    <w:p w14:paraId="51E6E54D" w14:textId="77777777" w:rsidR="00893D5B" w:rsidRPr="000250FA" w:rsidRDefault="00893D5B" w:rsidP="0037430A">
      <w:pPr>
        <w:ind w:left="284"/>
        <w:jc w:val="both"/>
        <w:rPr>
          <w:sz w:val="22"/>
          <w:szCs w:val="22"/>
        </w:rPr>
      </w:pPr>
      <w:r w:rsidRPr="000250FA">
        <w:rPr>
          <w:sz w:val="22"/>
          <w:szCs w:val="22"/>
        </w:rPr>
        <w:t>b) a (3) bekezdésben szabályozott feltételtől eltérhet oly módon, hogy a 12 évbe 5 év szakirányú munkavégzésre irányuló jogviszony, illetve egyéb önálló szakirányú tevékenység beszámítható legyen.</w:t>
      </w:r>
    </w:p>
    <w:p w14:paraId="21F799D6" w14:textId="77777777" w:rsidR="00893D5B" w:rsidRPr="000250FA" w:rsidRDefault="00893D5B" w:rsidP="00893D5B">
      <w:pPr>
        <w:rPr>
          <w:sz w:val="22"/>
          <w:szCs w:val="22"/>
        </w:rPr>
      </w:pPr>
    </w:p>
    <w:p w14:paraId="32D55892" w14:textId="77777777" w:rsidR="00893D5B" w:rsidRPr="000250FA" w:rsidRDefault="00893D5B" w:rsidP="00893D5B">
      <w:pPr>
        <w:jc w:val="both"/>
        <w:rPr>
          <w:sz w:val="22"/>
          <w:szCs w:val="22"/>
        </w:rPr>
      </w:pPr>
      <w:r w:rsidRPr="000250FA">
        <w:rPr>
          <w:sz w:val="22"/>
          <w:szCs w:val="22"/>
        </w:rPr>
        <w:t>(5) Az egyetemi tanárok folyamatos alkalmazásának követelményei:</w:t>
      </w:r>
    </w:p>
    <w:p w14:paraId="3DB3AADC" w14:textId="77777777" w:rsidR="00893D5B" w:rsidRPr="000250FA" w:rsidRDefault="00893D5B" w:rsidP="00893D5B">
      <w:pPr>
        <w:rPr>
          <w:sz w:val="22"/>
          <w:szCs w:val="22"/>
        </w:rPr>
      </w:pPr>
    </w:p>
    <w:p w14:paraId="30AEA140" w14:textId="77777777" w:rsidR="00893D5B" w:rsidRPr="000250FA" w:rsidRDefault="00893D5B" w:rsidP="00912564">
      <w:pPr>
        <w:numPr>
          <w:ilvl w:val="0"/>
          <w:numId w:val="75"/>
        </w:numPr>
        <w:jc w:val="both"/>
        <w:rPr>
          <w:sz w:val="22"/>
          <w:szCs w:val="22"/>
        </w:rPr>
      </w:pPr>
      <w:r w:rsidRPr="000250FA">
        <w:rPr>
          <w:sz w:val="22"/>
          <w:szCs w:val="22"/>
        </w:rPr>
        <w:t>az oktatott tárgyat magába foglaló tudományág vagy művészeti terület átfogó ismerete és alkotó művelése, tantárgycsoport összefogásához, továbbá a tárgyak tananyagának önálló összeállításához, valamint magas színvonalú előadások tartásához idegen nyelven is szükséges felkészültség,</w:t>
      </w:r>
    </w:p>
    <w:p w14:paraId="366CDA3C" w14:textId="77777777" w:rsidR="00893D5B" w:rsidRPr="000250FA" w:rsidRDefault="00893D5B" w:rsidP="00912564">
      <w:pPr>
        <w:numPr>
          <w:ilvl w:val="0"/>
          <w:numId w:val="75"/>
        </w:numPr>
        <w:jc w:val="both"/>
        <w:rPr>
          <w:sz w:val="22"/>
          <w:szCs w:val="22"/>
        </w:rPr>
      </w:pPr>
      <w:r w:rsidRPr="000250FA">
        <w:rPr>
          <w:sz w:val="22"/>
          <w:szCs w:val="22"/>
        </w:rPr>
        <w:lastRenderedPageBreak/>
        <w:t>az oktatott szakterület anyagának folyamatos tartalmi és módszertani korszerűsítése, illetve az ilyen irányú tevékenység irányítása (pl. jegyzet, tankönyv, szakkönyv írása),</w:t>
      </w:r>
    </w:p>
    <w:p w14:paraId="08FCFC4D" w14:textId="77777777" w:rsidR="00893D5B" w:rsidRPr="000250FA" w:rsidRDefault="00893D5B" w:rsidP="00912564">
      <w:pPr>
        <w:numPr>
          <w:ilvl w:val="0"/>
          <w:numId w:val="75"/>
        </w:numPr>
        <w:jc w:val="both"/>
        <w:rPr>
          <w:sz w:val="22"/>
          <w:szCs w:val="22"/>
        </w:rPr>
      </w:pPr>
      <w:r w:rsidRPr="000250FA">
        <w:rPr>
          <w:sz w:val="22"/>
          <w:szCs w:val="22"/>
        </w:rPr>
        <w:t>az oktató és a tudományos munka szervezése,</w:t>
      </w:r>
    </w:p>
    <w:p w14:paraId="6C67DAE8" w14:textId="77777777" w:rsidR="00893D5B" w:rsidRPr="000250FA" w:rsidRDefault="00893D5B" w:rsidP="00912564">
      <w:pPr>
        <w:numPr>
          <w:ilvl w:val="0"/>
          <w:numId w:val="75"/>
        </w:numPr>
        <w:jc w:val="both"/>
        <w:rPr>
          <w:sz w:val="22"/>
          <w:szCs w:val="22"/>
        </w:rPr>
      </w:pPr>
      <w:r w:rsidRPr="000250FA">
        <w:rPr>
          <w:sz w:val="22"/>
          <w:szCs w:val="22"/>
        </w:rPr>
        <w:t>a doktorjelöltek munkájának irányítása, irányító jellegű részvétel doktori képzésben, részvétel doktori és habilitációs eljárásokban,</w:t>
      </w:r>
    </w:p>
    <w:p w14:paraId="6745D450" w14:textId="77777777" w:rsidR="00893D5B" w:rsidRPr="000250FA" w:rsidRDefault="00893D5B" w:rsidP="00912564">
      <w:pPr>
        <w:numPr>
          <w:ilvl w:val="0"/>
          <w:numId w:val="75"/>
        </w:numPr>
        <w:jc w:val="both"/>
        <w:rPr>
          <w:sz w:val="22"/>
          <w:szCs w:val="22"/>
        </w:rPr>
      </w:pPr>
      <w:r w:rsidRPr="000250FA">
        <w:rPr>
          <w:sz w:val="22"/>
          <w:szCs w:val="22"/>
        </w:rPr>
        <w:t>rendszeres publikációs, szakirodalmi tevékenység kifejtése hazai és nemzetközi viszonylatban idegen nyelven is,</w:t>
      </w:r>
    </w:p>
    <w:p w14:paraId="7CEEFFC3" w14:textId="77777777" w:rsidR="00893D5B" w:rsidRPr="000250FA" w:rsidRDefault="00893D5B" w:rsidP="00912564">
      <w:pPr>
        <w:numPr>
          <w:ilvl w:val="0"/>
          <w:numId w:val="75"/>
        </w:numPr>
        <w:jc w:val="both"/>
        <w:rPr>
          <w:sz w:val="22"/>
          <w:szCs w:val="22"/>
        </w:rPr>
      </w:pPr>
      <w:r w:rsidRPr="000250FA">
        <w:rPr>
          <w:sz w:val="22"/>
          <w:szCs w:val="22"/>
        </w:rPr>
        <w:t>rendszeres és sokrétű kapcsolat tartása tudományterületének gyakorlati tevékenységével, tudományos feladatok megoldásának irányítása, pályázati csoportok tevékenységének összefogása, kutatási/szakmai megbízások szerzése,</w:t>
      </w:r>
    </w:p>
    <w:p w14:paraId="77D6E1F5" w14:textId="77777777" w:rsidR="00893D5B" w:rsidRPr="000250FA" w:rsidRDefault="00893D5B" w:rsidP="00912564">
      <w:pPr>
        <w:numPr>
          <w:ilvl w:val="0"/>
          <w:numId w:val="75"/>
        </w:numPr>
        <w:jc w:val="both"/>
        <w:rPr>
          <w:sz w:val="22"/>
          <w:szCs w:val="22"/>
        </w:rPr>
      </w:pPr>
      <w:r w:rsidRPr="000250FA">
        <w:rPr>
          <w:sz w:val="22"/>
          <w:szCs w:val="22"/>
        </w:rPr>
        <w:t>tudományos és tudományszervezési tevékenység kifejtése, a hazai és a nemzetközi tudományos közéletben tudományága, intézménye, illetőleg az ország szakmai képviselete,</w:t>
      </w:r>
    </w:p>
    <w:p w14:paraId="09A7799B" w14:textId="77777777" w:rsidR="00893D5B" w:rsidRPr="000250FA" w:rsidRDefault="00893D5B" w:rsidP="00912564">
      <w:pPr>
        <w:numPr>
          <w:ilvl w:val="0"/>
          <w:numId w:val="75"/>
        </w:numPr>
        <w:jc w:val="both"/>
        <w:rPr>
          <w:sz w:val="22"/>
          <w:szCs w:val="22"/>
        </w:rPr>
      </w:pPr>
      <w:r w:rsidRPr="000250FA">
        <w:rPr>
          <w:sz w:val="22"/>
          <w:szCs w:val="22"/>
        </w:rPr>
        <w:t>kezdeményező és irányító részvétel az intézményben folyó szakmai közéleti munkában, a kari, egyetemi, különösen oktatásszervezési feladatok megoldásában.</w:t>
      </w:r>
    </w:p>
    <w:p w14:paraId="78F0DDB0" w14:textId="77777777" w:rsidR="00893D5B" w:rsidRPr="000250FA" w:rsidRDefault="00893D5B" w:rsidP="00893D5B">
      <w:pPr>
        <w:tabs>
          <w:tab w:val="left" w:pos="9781"/>
        </w:tabs>
        <w:ind w:right="-144"/>
        <w:rPr>
          <w:b/>
          <w:sz w:val="22"/>
          <w:szCs w:val="22"/>
        </w:rPr>
      </w:pPr>
    </w:p>
    <w:p w14:paraId="4B75937C" w14:textId="77777777" w:rsidR="00893D5B" w:rsidRPr="00F01C44" w:rsidRDefault="00893D5B" w:rsidP="00893D5B">
      <w:pPr>
        <w:pStyle w:val="Cmsor3"/>
      </w:pPr>
      <w:bookmarkStart w:id="178" w:name="_Toc432753574"/>
      <w:bookmarkStart w:id="179" w:name="_Toc444603560"/>
      <w:bookmarkStart w:id="180" w:name="_Toc445200820"/>
      <w:bookmarkStart w:id="181" w:name="_Toc58569542"/>
      <w:r w:rsidRPr="00F01C44">
        <w:t>II. fejezet - Kutatói munkakör létesítése</w:t>
      </w:r>
      <w:bookmarkEnd w:id="178"/>
      <w:bookmarkEnd w:id="179"/>
      <w:bookmarkEnd w:id="180"/>
      <w:bookmarkEnd w:id="181"/>
    </w:p>
    <w:p w14:paraId="78A7E146" w14:textId="77777777" w:rsidR="00893D5B" w:rsidRPr="000250FA" w:rsidRDefault="00893D5B" w:rsidP="00893D5B">
      <w:pPr>
        <w:tabs>
          <w:tab w:val="left" w:pos="9781"/>
        </w:tabs>
        <w:ind w:right="-144"/>
        <w:jc w:val="both"/>
        <w:rPr>
          <w:sz w:val="22"/>
          <w:szCs w:val="22"/>
        </w:rPr>
      </w:pPr>
    </w:p>
    <w:p w14:paraId="5B7A237A" w14:textId="77777777" w:rsidR="00893D5B" w:rsidRPr="000250FA" w:rsidRDefault="00893D5B" w:rsidP="00893D5B">
      <w:pPr>
        <w:pStyle w:val="Cmsor4"/>
      </w:pPr>
      <w:bookmarkStart w:id="182" w:name="_Toc432753575"/>
      <w:r w:rsidRPr="000250FA">
        <w:t>Általános szabályok</w:t>
      </w:r>
      <w:bookmarkEnd w:id="182"/>
    </w:p>
    <w:p w14:paraId="77AFF2A2" w14:textId="77777777" w:rsidR="00893D5B" w:rsidRPr="000250FA" w:rsidRDefault="00893D5B" w:rsidP="00893D5B">
      <w:pPr>
        <w:rPr>
          <w:sz w:val="22"/>
          <w:szCs w:val="22"/>
        </w:rPr>
      </w:pPr>
    </w:p>
    <w:p w14:paraId="33FC1F99" w14:textId="77777777" w:rsidR="00893D5B" w:rsidRPr="000250FA" w:rsidRDefault="00893D5B" w:rsidP="00893D5B">
      <w:pPr>
        <w:jc w:val="both"/>
        <w:rPr>
          <w:bCs/>
          <w:sz w:val="22"/>
          <w:szCs w:val="22"/>
        </w:rPr>
      </w:pPr>
      <w:r w:rsidRPr="000250FA">
        <w:rPr>
          <w:b/>
          <w:sz w:val="22"/>
          <w:szCs w:val="22"/>
        </w:rPr>
        <w:t>66. §</w:t>
      </w:r>
      <w:r w:rsidRPr="000250FA">
        <w:rPr>
          <w:sz w:val="22"/>
          <w:szCs w:val="22"/>
        </w:rPr>
        <w:t xml:space="preserve"> </w:t>
      </w:r>
      <w:r w:rsidRPr="000250FA">
        <w:rPr>
          <w:rStyle w:val="Lbjegyzet-hivatkozs"/>
          <w:sz w:val="22"/>
          <w:szCs w:val="22"/>
        </w:rPr>
        <w:footnoteReference w:id="277"/>
      </w:r>
      <w:r w:rsidRPr="000250FA">
        <w:rPr>
          <w:bCs/>
          <w:sz w:val="22"/>
          <w:szCs w:val="22"/>
        </w:rPr>
        <w:t xml:space="preserve">(1) Az Egyetemen kutatói feladat </w:t>
      </w:r>
      <w:r w:rsidRPr="000250FA">
        <w:rPr>
          <w:sz w:val="22"/>
          <w:szCs w:val="22"/>
        </w:rPr>
        <w:t>–</w:t>
      </w:r>
      <w:r w:rsidRPr="000250FA">
        <w:rPr>
          <w:bCs/>
          <w:sz w:val="22"/>
          <w:szCs w:val="22"/>
        </w:rPr>
        <w:t xml:space="preserve"> a (3) bekezdésben meghatározott kivétellel </w:t>
      </w:r>
      <w:r w:rsidRPr="000250FA">
        <w:rPr>
          <w:sz w:val="22"/>
          <w:szCs w:val="22"/>
        </w:rPr>
        <w:t>–</w:t>
      </w:r>
      <w:r w:rsidRPr="000250FA">
        <w:rPr>
          <w:bCs/>
          <w:sz w:val="22"/>
          <w:szCs w:val="22"/>
        </w:rPr>
        <w:t xml:space="preserve"> kutatói munkakörben a kutatói munkakörre létesített közalkalmazotti jogviszonyban látható el. Tudományos kutatói munkakörben kell foglalkoztatni azt, aki – a közalkalmazotti kinevezésében meghatározottak alapján – a teljes </w:t>
      </w:r>
      <w:proofErr w:type="spellStart"/>
      <w:r w:rsidRPr="000250FA">
        <w:rPr>
          <w:bCs/>
          <w:sz w:val="22"/>
          <w:szCs w:val="22"/>
        </w:rPr>
        <w:t>munkaidejének</w:t>
      </w:r>
      <w:proofErr w:type="spellEnd"/>
      <w:r w:rsidRPr="000250FA">
        <w:rPr>
          <w:bCs/>
          <w:sz w:val="22"/>
          <w:szCs w:val="22"/>
        </w:rPr>
        <w:t xml:space="preserve"> legalább nyolcvan</w:t>
      </w:r>
      <w:r w:rsidRPr="000250FA">
        <w:rPr>
          <w:bCs/>
          <w:i/>
          <w:sz w:val="22"/>
          <w:szCs w:val="22"/>
        </w:rPr>
        <w:t xml:space="preserve"> </w:t>
      </w:r>
      <w:r w:rsidRPr="000250FA">
        <w:rPr>
          <w:bCs/>
          <w:sz w:val="22"/>
          <w:szCs w:val="22"/>
        </w:rPr>
        <w:t xml:space="preserve">százalékát az Egyetem tudományos tevékenységének ellátására fordítja, továbbá munkakörébe tartozó feladatként részt vesz az </w:t>
      </w:r>
      <w:proofErr w:type="gramStart"/>
      <w:r w:rsidRPr="000250FA">
        <w:rPr>
          <w:bCs/>
          <w:sz w:val="22"/>
          <w:szCs w:val="22"/>
        </w:rPr>
        <w:t>Egyetem oktatással</w:t>
      </w:r>
      <w:proofErr w:type="gramEnd"/>
      <w:r w:rsidRPr="000250FA">
        <w:rPr>
          <w:bCs/>
          <w:sz w:val="22"/>
          <w:szCs w:val="22"/>
        </w:rPr>
        <w:t xml:space="preserve"> összefüggő tevékenységében is.</w:t>
      </w:r>
    </w:p>
    <w:p w14:paraId="6A54F60A" w14:textId="77777777" w:rsidR="00893D5B" w:rsidRPr="000250FA" w:rsidRDefault="00893D5B" w:rsidP="00893D5B">
      <w:pPr>
        <w:jc w:val="both"/>
        <w:rPr>
          <w:bCs/>
          <w:sz w:val="22"/>
          <w:szCs w:val="22"/>
        </w:rPr>
      </w:pPr>
    </w:p>
    <w:p w14:paraId="586FC615" w14:textId="77777777" w:rsidR="00893D5B" w:rsidRPr="000250FA" w:rsidRDefault="00893D5B" w:rsidP="00893D5B">
      <w:pPr>
        <w:jc w:val="both"/>
        <w:rPr>
          <w:bCs/>
          <w:sz w:val="22"/>
          <w:szCs w:val="22"/>
        </w:rPr>
      </w:pPr>
      <w:r w:rsidRPr="000250FA">
        <w:rPr>
          <w:bCs/>
          <w:sz w:val="22"/>
          <w:szCs w:val="22"/>
        </w:rPr>
        <w:t>(2) Kutatói munkakörben nem magyar állampolgár is alkalmazható. Az e szabályzatban meghatározott követelményeket a nem magyar állampolgárokra is megfelelően alkalmazni kell.</w:t>
      </w:r>
    </w:p>
    <w:p w14:paraId="530EF569" w14:textId="77777777" w:rsidR="00893D5B" w:rsidRPr="000250FA" w:rsidRDefault="00893D5B" w:rsidP="00893D5B">
      <w:pPr>
        <w:jc w:val="both"/>
        <w:rPr>
          <w:sz w:val="22"/>
          <w:szCs w:val="22"/>
        </w:rPr>
      </w:pPr>
    </w:p>
    <w:p w14:paraId="7FE9988E" w14:textId="77777777" w:rsidR="00893D5B" w:rsidRPr="000250FA" w:rsidRDefault="00893D5B" w:rsidP="00893D5B">
      <w:pPr>
        <w:jc w:val="both"/>
        <w:rPr>
          <w:bCs/>
          <w:sz w:val="22"/>
          <w:szCs w:val="22"/>
        </w:rPr>
      </w:pPr>
      <w:r w:rsidRPr="000250FA">
        <w:rPr>
          <w:bCs/>
          <w:sz w:val="22"/>
          <w:szCs w:val="22"/>
        </w:rPr>
        <w:t xml:space="preserve">(3) Megbízási jogviszony keretében a kutatói feladat akkor látható el, ha a kutató által ellátott tevékenység jellege ezt megengedi, továbbá a végzett munkára fordított idő nem haladja meg a teljes munkaidő hatvan százalékát (a továbbiakban: megbízásos kutató). A megbízásos kutató foglalkoztatásánál az e szabályzatban kutatókra megállapított alkalmazási követelményeket a megbízásos kutató tekintetében is alkalmazni kell. </w:t>
      </w:r>
    </w:p>
    <w:p w14:paraId="3F8E7081" w14:textId="77777777" w:rsidR="00893D5B" w:rsidRPr="000250FA" w:rsidRDefault="00893D5B" w:rsidP="00893D5B">
      <w:pPr>
        <w:tabs>
          <w:tab w:val="left" w:pos="9781"/>
        </w:tabs>
        <w:autoSpaceDE w:val="0"/>
        <w:autoSpaceDN w:val="0"/>
        <w:adjustRightInd w:val="0"/>
        <w:ind w:right="-144"/>
        <w:jc w:val="both"/>
        <w:rPr>
          <w:sz w:val="22"/>
          <w:szCs w:val="22"/>
        </w:rPr>
      </w:pPr>
    </w:p>
    <w:p w14:paraId="567ED483" w14:textId="77777777" w:rsidR="00893D5B" w:rsidRPr="000250FA" w:rsidRDefault="00893D5B" w:rsidP="00893D5B">
      <w:pPr>
        <w:jc w:val="both"/>
        <w:rPr>
          <w:bCs/>
          <w:sz w:val="22"/>
          <w:szCs w:val="22"/>
        </w:rPr>
      </w:pPr>
      <w:r w:rsidRPr="000250FA">
        <w:rPr>
          <w:bCs/>
          <w:sz w:val="22"/>
          <w:szCs w:val="22"/>
        </w:rPr>
        <w:t xml:space="preserve">(4) Az oktatói feladatok és a tudományos kutatói feladatok egy munkakörben is elláthatók, ebben az esetben a munkaszerződésben, közalkalmazotti kinevezésben kell meghatározni, hogy az egyes feladatokat a foglalkoztatás </w:t>
      </w:r>
      <w:r w:rsidRPr="000250FA">
        <w:rPr>
          <w:sz w:val="22"/>
          <w:szCs w:val="22"/>
        </w:rPr>
        <w:t>–</w:t>
      </w:r>
      <w:r w:rsidRPr="000250FA">
        <w:rPr>
          <w:bCs/>
          <w:sz w:val="22"/>
          <w:szCs w:val="22"/>
        </w:rPr>
        <w:t xml:space="preserve"> teljes vagy rész </w:t>
      </w:r>
      <w:r w:rsidRPr="000250FA">
        <w:rPr>
          <w:sz w:val="22"/>
          <w:szCs w:val="22"/>
        </w:rPr>
        <w:t>–</w:t>
      </w:r>
      <w:r w:rsidRPr="000250FA">
        <w:rPr>
          <w:bCs/>
          <w:sz w:val="22"/>
          <w:szCs w:val="22"/>
        </w:rPr>
        <w:t xml:space="preserve"> </w:t>
      </w:r>
      <w:proofErr w:type="spellStart"/>
      <w:r w:rsidRPr="000250FA">
        <w:rPr>
          <w:bCs/>
          <w:sz w:val="22"/>
          <w:szCs w:val="22"/>
        </w:rPr>
        <w:t>munkaidejének</w:t>
      </w:r>
      <w:proofErr w:type="spellEnd"/>
      <w:r w:rsidRPr="000250FA">
        <w:rPr>
          <w:bCs/>
          <w:sz w:val="22"/>
          <w:szCs w:val="22"/>
        </w:rPr>
        <w:t xml:space="preserve"> milyen hányadában kelt ellátni.</w:t>
      </w:r>
    </w:p>
    <w:p w14:paraId="5AAB82A6" w14:textId="77777777" w:rsidR="00893D5B" w:rsidRPr="000250FA" w:rsidRDefault="00893D5B" w:rsidP="00893D5B">
      <w:pPr>
        <w:jc w:val="both"/>
        <w:rPr>
          <w:sz w:val="22"/>
          <w:szCs w:val="22"/>
        </w:rPr>
      </w:pPr>
    </w:p>
    <w:p w14:paraId="00C00B13" w14:textId="77777777" w:rsidR="00893D5B" w:rsidRPr="000250FA" w:rsidRDefault="00893D5B" w:rsidP="00893D5B">
      <w:pPr>
        <w:jc w:val="both"/>
        <w:rPr>
          <w:bCs/>
          <w:sz w:val="22"/>
          <w:szCs w:val="22"/>
        </w:rPr>
      </w:pPr>
      <w:r w:rsidRPr="000250FA">
        <w:rPr>
          <w:bCs/>
          <w:sz w:val="22"/>
          <w:szCs w:val="22"/>
        </w:rPr>
        <w:t xml:space="preserve">(5) A kutató </w:t>
      </w:r>
      <w:r w:rsidRPr="000250FA">
        <w:rPr>
          <w:sz w:val="22"/>
          <w:szCs w:val="22"/>
        </w:rPr>
        <w:t>–</w:t>
      </w:r>
      <w:r w:rsidRPr="000250FA">
        <w:rPr>
          <w:bCs/>
          <w:sz w:val="22"/>
          <w:szCs w:val="22"/>
        </w:rPr>
        <w:t xml:space="preserve"> függetlenül attól, hogy hány felsőoktatási intézményben lát el kutató feladatot </w:t>
      </w:r>
      <w:r w:rsidRPr="000250FA">
        <w:rPr>
          <w:sz w:val="22"/>
          <w:szCs w:val="22"/>
        </w:rPr>
        <w:t>–</w:t>
      </w:r>
      <w:r w:rsidRPr="000250FA">
        <w:rPr>
          <w:bCs/>
          <w:sz w:val="22"/>
          <w:szCs w:val="22"/>
        </w:rPr>
        <w:t xml:space="preserve"> az intézmény működési feltételei meglétének mérlegelése során, illetve a felsőoktatási intézmény költségvetési támogatásának megállapításánál egy felsőoktatási intézményben vehető figyelembe. A kutató – e szabályzat 4. számú mellékletében meghatározott írásbeli nyilatkozata határozza meg, hogy melyik az a felsőoktatási intézmény, amelyiknél az előzőekben meghatározottak szerint figyelembe lehet őt venni. Ilyen nyilatkozat hiányában a kutató egyik felsőoktatási intézménynél sem vehető figyelembe.</w:t>
      </w:r>
    </w:p>
    <w:p w14:paraId="6275998A" w14:textId="77777777" w:rsidR="00385CF2" w:rsidRDefault="00385CF2">
      <w:pPr>
        <w:spacing w:after="160" w:line="259" w:lineRule="auto"/>
        <w:rPr>
          <w:b/>
          <w:sz w:val="22"/>
          <w:szCs w:val="22"/>
        </w:rPr>
      </w:pPr>
      <w:r>
        <w:rPr>
          <w:b/>
          <w:sz w:val="22"/>
          <w:szCs w:val="22"/>
        </w:rPr>
        <w:br w:type="page"/>
      </w:r>
    </w:p>
    <w:p w14:paraId="54902178" w14:textId="77777777" w:rsidR="00893D5B" w:rsidRPr="000250FA" w:rsidRDefault="00893D5B" w:rsidP="00893D5B">
      <w:pPr>
        <w:tabs>
          <w:tab w:val="left" w:pos="9781"/>
        </w:tabs>
        <w:ind w:right="-144"/>
        <w:rPr>
          <w:b/>
          <w:sz w:val="22"/>
          <w:szCs w:val="22"/>
        </w:rPr>
      </w:pPr>
    </w:p>
    <w:p w14:paraId="3860D1D6" w14:textId="77777777" w:rsidR="00893D5B" w:rsidRPr="000250FA" w:rsidRDefault="00893D5B" w:rsidP="00893D5B">
      <w:pPr>
        <w:pStyle w:val="Cmsor4"/>
      </w:pPr>
      <w:bookmarkStart w:id="183" w:name="_Toc432753576"/>
      <w:r w:rsidRPr="000250FA">
        <w:t>Kutatói munkakörök, a kutatói munkakör létesítésének feltételei</w:t>
      </w:r>
      <w:bookmarkEnd w:id="183"/>
    </w:p>
    <w:p w14:paraId="755EBF07" w14:textId="77777777" w:rsidR="00893D5B" w:rsidRPr="000250FA" w:rsidRDefault="00893D5B" w:rsidP="00893D5B">
      <w:pPr>
        <w:rPr>
          <w:sz w:val="22"/>
          <w:szCs w:val="22"/>
        </w:rPr>
      </w:pPr>
    </w:p>
    <w:p w14:paraId="4ED369E6" w14:textId="77777777" w:rsidR="00893D5B" w:rsidRPr="000250FA" w:rsidRDefault="00893D5B" w:rsidP="00893D5B">
      <w:pPr>
        <w:rPr>
          <w:bCs/>
          <w:sz w:val="22"/>
          <w:szCs w:val="22"/>
        </w:rPr>
      </w:pPr>
      <w:r w:rsidRPr="000250FA">
        <w:rPr>
          <w:b/>
          <w:sz w:val="22"/>
          <w:szCs w:val="22"/>
        </w:rPr>
        <w:t>67. §</w:t>
      </w:r>
      <w:r w:rsidRPr="000250FA">
        <w:rPr>
          <w:sz w:val="22"/>
          <w:szCs w:val="22"/>
        </w:rPr>
        <w:t xml:space="preserve"> </w:t>
      </w:r>
      <w:r w:rsidRPr="000250FA">
        <w:rPr>
          <w:bCs/>
          <w:sz w:val="22"/>
          <w:szCs w:val="22"/>
        </w:rPr>
        <w:t>(1) Az Egyetemen létesíthető kutatói munkakörök a következők:</w:t>
      </w:r>
    </w:p>
    <w:p w14:paraId="1F928E39" w14:textId="77777777" w:rsidR="00893D5B" w:rsidRPr="000250FA" w:rsidRDefault="00893D5B" w:rsidP="00893D5B">
      <w:pPr>
        <w:rPr>
          <w:bCs/>
          <w:iCs/>
          <w:sz w:val="22"/>
          <w:szCs w:val="22"/>
        </w:rPr>
      </w:pPr>
    </w:p>
    <w:p w14:paraId="5466E93D" w14:textId="77777777" w:rsidR="00893D5B" w:rsidRPr="000250FA" w:rsidRDefault="00893D5B" w:rsidP="00912564">
      <w:pPr>
        <w:numPr>
          <w:ilvl w:val="0"/>
          <w:numId w:val="76"/>
        </w:numPr>
        <w:jc w:val="both"/>
        <w:rPr>
          <w:sz w:val="22"/>
          <w:szCs w:val="22"/>
        </w:rPr>
      </w:pPr>
      <w:r w:rsidRPr="000250FA">
        <w:rPr>
          <w:sz w:val="22"/>
          <w:szCs w:val="22"/>
        </w:rPr>
        <w:t>tudományos segédmunkatárs,</w:t>
      </w:r>
    </w:p>
    <w:p w14:paraId="0B0E9C69" w14:textId="77777777" w:rsidR="00893D5B" w:rsidRPr="000250FA" w:rsidRDefault="00893D5B" w:rsidP="00912564">
      <w:pPr>
        <w:numPr>
          <w:ilvl w:val="0"/>
          <w:numId w:val="76"/>
        </w:numPr>
        <w:jc w:val="both"/>
        <w:rPr>
          <w:sz w:val="22"/>
          <w:szCs w:val="22"/>
        </w:rPr>
      </w:pPr>
      <w:r w:rsidRPr="000250FA">
        <w:rPr>
          <w:sz w:val="22"/>
          <w:szCs w:val="22"/>
        </w:rPr>
        <w:t>tudományos munkatárs,</w:t>
      </w:r>
    </w:p>
    <w:p w14:paraId="4A93140D" w14:textId="77777777" w:rsidR="00893D5B" w:rsidRPr="000250FA" w:rsidRDefault="00893D5B" w:rsidP="00912564">
      <w:pPr>
        <w:numPr>
          <w:ilvl w:val="0"/>
          <w:numId w:val="76"/>
        </w:numPr>
        <w:jc w:val="both"/>
        <w:rPr>
          <w:sz w:val="22"/>
          <w:szCs w:val="22"/>
        </w:rPr>
      </w:pPr>
      <w:r w:rsidRPr="000250FA">
        <w:rPr>
          <w:sz w:val="22"/>
          <w:szCs w:val="22"/>
        </w:rPr>
        <w:t>tudományos főmunkatárs,</w:t>
      </w:r>
    </w:p>
    <w:p w14:paraId="07752180" w14:textId="77777777" w:rsidR="00893D5B" w:rsidRPr="000250FA" w:rsidRDefault="00893D5B" w:rsidP="00912564">
      <w:pPr>
        <w:numPr>
          <w:ilvl w:val="0"/>
          <w:numId w:val="76"/>
        </w:numPr>
        <w:jc w:val="both"/>
        <w:rPr>
          <w:sz w:val="22"/>
          <w:szCs w:val="22"/>
        </w:rPr>
      </w:pPr>
      <w:r w:rsidRPr="000250FA">
        <w:rPr>
          <w:sz w:val="22"/>
          <w:szCs w:val="22"/>
        </w:rPr>
        <w:t>tudományos tanácsadó,</w:t>
      </w:r>
    </w:p>
    <w:p w14:paraId="3392D8C2" w14:textId="77777777" w:rsidR="00893D5B" w:rsidRPr="000250FA" w:rsidRDefault="00893D5B" w:rsidP="00912564">
      <w:pPr>
        <w:numPr>
          <w:ilvl w:val="0"/>
          <w:numId w:val="76"/>
        </w:numPr>
        <w:jc w:val="both"/>
        <w:rPr>
          <w:sz w:val="22"/>
          <w:szCs w:val="22"/>
        </w:rPr>
      </w:pPr>
      <w:r w:rsidRPr="000250FA">
        <w:rPr>
          <w:sz w:val="22"/>
          <w:szCs w:val="22"/>
        </w:rPr>
        <w:t>kutatóprofesszor.</w:t>
      </w:r>
    </w:p>
    <w:p w14:paraId="2392593A" w14:textId="77777777" w:rsidR="00893D5B" w:rsidRPr="000250FA" w:rsidRDefault="00893D5B" w:rsidP="00893D5B">
      <w:pPr>
        <w:tabs>
          <w:tab w:val="left" w:pos="9781"/>
        </w:tabs>
        <w:autoSpaceDE w:val="0"/>
        <w:autoSpaceDN w:val="0"/>
        <w:adjustRightInd w:val="0"/>
        <w:ind w:right="-144"/>
        <w:rPr>
          <w:sz w:val="22"/>
          <w:szCs w:val="22"/>
        </w:rPr>
      </w:pPr>
    </w:p>
    <w:p w14:paraId="4075DC3D"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 Kutatói munkakörben az nevezhető ki, aki a 9. §-</w:t>
      </w:r>
      <w:proofErr w:type="spellStart"/>
      <w:r w:rsidRPr="000250FA">
        <w:rPr>
          <w:sz w:val="22"/>
          <w:szCs w:val="22"/>
        </w:rPr>
        <w:t>ban</w:t>
      </w:r>
      <w:proofErr w:type="spellEnd"/>
      <w:r w:rsidRPr="000250FA">
        <w:rPr>
          <w:sz w:val="22"/>
          <w:szCs w:val="22"/>
        </w:rPr>
        <w:t xml:space="preserve"> meghatározott általános feltételeken túl megfelel a 68. §-71. §-okban meghatározott </w:t>
      </w:r>
      <w:proofErr w:type="gramStart"/>
      <w:r w:rsidRPr="000250FA">
        <w:rPr>
          <w:sz w:val="22"/>
          <w:szCs w:val="22"/>
        </w:rPr>
        <w:t>speciális</w:t>
      </w:r>
      <w:proofErr w:type="gramEnd"/>
      <w:r w:rsidRPr="000250FA">
        <w:rPr>
          <w:sz w:val="22"/>
          <w:szCs w:val="22"/>
        </w:rPr>
        <w:t xml:space="preserve"> követelményeknek.</w:t>
      </w:r>
    </w:p>
    <w:p w14:paraId="048EE5A8" w14:textId="77777777" w:rsidR="00893D5B" w:rsidRPr="000250FA" w:rsidRDefault="00893D5B" w:rsidP="00893D5B">
      <w:pPr>
        <w:tabs>
          <w:tab w:val="left" w:pos="9781"/>
        </w:tabs>
        <w:autoSpaceDE w:val="0"/>
        <w:autoSpaceDN w:val="0"/>
        <w:adjustRightInd w:val="0"/>
        <w:ind w:right="-144"/>
        <w:jc w:val="both"/>
        <w:rPr>
          <w:sz w:val="22"/>
          <w:szCs w:val="22"/>
        </w:rPr>
      </w:pPr>
    </w:p>
    <w:p w14:paraId="790D1B2B" w14:textId="77777777" w:rsidR="00893D5B" w:rsidRPr="000250FA" w:rsidRDefault="00893D5B" w:rsidP="00893D5B">
      <w:pPr>
        <w:pStyle w:val="Cmsor4"/>
      </w:pPr>
      <w:bookmarkStart w:id="184" w:name="_Toc432753577"/>
      <w:r w:rsidRPr="000250FA">
        <w:t>A tudományos segédmunkatárs</w:t>
      </w:r>
      <w:bookmarkEnd w:id="184"/>
    </w:p>
    <w:p w14:paraId="06D84938" w14:textId="77777777" w:rsidR="00893D5B" w:rsidRPr="000250FA" w:rsidRDefault="00893D5B" w:rsidP="00893D5B">
      <w:pPr>
        <w:tabs>
          <w:tab w:val="left" w:pos="9781"/>
        </w:tabs>
        <w:ind w:right="-144"/>
        <w:jc w:val="both"/>
        <w:rPr>
          <w:sz w:val="22"/>
          <w:szCs w:val="22"/>
        </w:rPr>
      </w:pPr>
    </w:p>
    <w:p w14:paraId="327DA1EA" w14:textId="77777777" w:rsidR="00893D5B" w:rsidRPr="000250FA" w:rsidRDefault="00893D5B" w:rsidP="00893D5B">
      <w:pPr>
        <w:tabs>
          <w:tab w:val="left" w:pos="9781"/>
        </w:tabs>
        <w:ind w:right="-144"/>
        <w:jc w:val="both"/>
        <w:rPr>
          <w:sz w:val="22"/>
          <w:szCs w:val="22"/>
        </w:rPr>
      </w:pPr>
      <w:r w:rsidRPr="000250FA">
        <w:rPr>
          <w:b/>
          <w:sz w:val="22"/>
          <w:szCs w:val="22"/>
        </w:rPr>
        <w:t>68. §</w:t>
      </w:r>
      <w:r w:rsidRPr="000250FA">
        <w:rPr>
          <w:sz w:val="22"/>
          <w:szCs w:val="22"/>
        </w:rPr>
        <w:t xml:space="preserve"> (1) Tudományos segédmunkatárssá nevezhető ki az, aki</w:t>
      </w:r>
    </w:p>
    <w:p w14:paraId="18B96D2B" w14:textId="77777777" w:rsidR="00893D5B" w:rsidRPr="000250FA" w:rsidRDefault="00893D5B" w:rsidP="00893D5B">
      <w:pPr>
        <w:tabs>
          <w:tab w:val="left" w:pos="9781"/>
        </w:tabs>
        <w:ind w:right="-144"/>
        <w:jc w:val="both"/>
        <w:rPr>
          <w:sz w:val="22"/>
          <w:szCs w:val="22"/>
        </w:rPr>
      </w:pPr>
    </w:p>
    <w:p w14:paraId="1C9DD853" w14:textId="77777777" w:rsidR="00893D5B" w:rsidRPr="000250FA" w:rsidRDefault="00893D5B" w:rsidP="00912564">
      <w:pPr>
        <w:numPr>
          <w:ilvl w:val="0"/>
          <w:numId w:val="77"/>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rendelkezik,</w:t>
      </w:r>
    </w:p>
    <w:p w14:paraId="6E80A97D" w14:textId="77777777" w:rsidR="00893D5B" w:rsidRPr="000250FA" w:rsidRDefault="00893D5B" w:rsidP="00912564">
      <w:pPr>
        <w:numPr>
          <w:ilvl w:val="0"/>
          <w:numId w:val="77"/>
        </w:numPr>
        <w:jc w:val="both"/>
        <w:rPr>
          <w:sz w:val="22"/>
          <w:szCs w:val="22"/>
        </w:rPr>
      </w:pPr>
      <w:r w:rsidRPr="000250FA">
        <w:rPr>
          <w:sz w:val="22"/>
          <w:szCs w:val="22"/>
        </w:rPr>
        <w:t>a doktori képzést megkezdte,</w:t>
      </w:r>
    </w:p>
    <w:p w14:paraId="58F3093C" w14:textId="77777777" w:rsidR="00893D5B" w:rsidRPr="000250FA" w:rsidRDefault="00893D5B" w:rsidP="00912564">
      <w:pPr>
        <w:numPr>
          <w:ilvl w:val="0"/>
          <w:numId w:val="77"/>
        </w:numPr>
        <w:jc w:val="both"/>
        <w:rPr>
          <w:sz w:val="22"/>
          <w:szCs w:val="22"/>
        </w:rPr>
      </w:pPr>
      <w:r w:rsidRPr="000250FA">
        <w:rPr>
          <w:sz w:val="22"/>
          <w:szCs w:val="22"/>
        </w:rPr>
        <w:t>rendelkezik a kutató-fejlesztő munka végzéséhez szükséges alapvető elméleti, gyakorlati és módszertani ismeretekkel,</w:t>
      </w:r>
    </w:p>
    <w:p w14:paraId="7EB62121" w14:textId="77777777" w:rsidR="00893D5B" w:rsidRPr="000250FA" w:rsidRDefault="00893D5B" w:rsidP="00912564">
      <w:pPr>
        <w:numPr>
          <w:ilvl w:val="0"/>
          <w:numId w:val="77"/>
        </w:numPr>
        <w:jc w:val="both"/>
      </w:pPr>
      <w:r w:rsidRPr="000250FA">
        <w:rPr>
          <w:sz w:val="22"/>
          <w:szCs w:val="22"/>
        </w:rPr>
        <w:t>képes az eredményes kutató-fejlesztő munka végzésére, illetve a kutatómunkában irányítással való részvételre</w:t>
      </w:r>
      <w:r w:rsidRPr="000250FA">
        <w:t>.</w:t>
      </w:r>
    </w:p>
    <w:p w14:paraId="2C21E321" w14:textId="77777777" w:rsidR="00893D5B" w:rsidRPr="000250FA" w:rsidRDefault="00893D5B" w:rsidP="00893D5B">
      <w:pPr>
        <w:tabs>
          <w:tab w:val="left" w:pos="9781"/>
        </w:tabs>
        <w:ind w:right="-144"/>
        <w:jc w:val="both"/>
        <w:rPr>
          <w:sz w:val="22"/>
          <w:szCs w:val="22"/>
        </w:rPr>
      </w:pPr>
    </w:p>
    <w:p w14:paraId="2B133172" w14:textId="77777777" w:rsidR="00893D5B" w:rsidRPr="000250FA" w:rsidRDefault="00893D5B" w:rsidP="00893D5B">
      <w:pPr>
        <w:tabs>
          <w:tab w:val="left" w:pos="9781"/>
        </w:tabs>
        <w:ind w:right="-144"/>
        <w:jc w:val="both"/>
        <w:rPr>
          <w:sz w:val="22"/>
          <w:szCs w:val="22"/>
        </w:rPr>
      </w:pPr>
      <w:r w:rsidRPr="000250FA">
        <w:rPr>
          <w:sz w:val="22"/>
          <w:szCs w:val="22"/>
        </w:rPr>
        <w:t xml:space="preserve">(2) A tudományos munkatárs folyamatos alkalmazásának követelményei: </w:t>
      </w:r>
    </w:p>
    <w:p w14:paraId="1A5CAEB2" w14:textId="77777777" w:rsidR="00893D5B" w:rsidRPr="000250FA" w:rsidRDefault="00893D5B" w:rsidP="00893D5B">
      <w:pPr>
        <w:tabs>
          <w:tab w:val="left" w:pos="9781"/>
        </w:tabs>
        <w:ind w:right="-144"/>
        <w:jc w:val="both"/>
        <w:rPr>
          <w:sz w:val="22"/>
          <w:szCs w:val="22"/>
        </w:rPr>
      </w:pPr>
    </w:p>
    <w:p w14:paraId="70A692B1" w14:textId="77777777" w:rsidR="00893D5B" w:rsidRPr="000250FA" w:rsidRDefault="00893D5B" w:rsidP="00912564">
      <w:pPr>
        <w:numPr>
          <w:ilvl w:val="0"/>
          <w:numId w:val="78"/>
        </w:numPr>
        <w:jc w:val="both"/>
        <w:rPr>
          <w:sz w:val="22"/>
          <w:szCs w:val="22"/>
        </w:rPr>
      </w:pPr>
      <w:r w:rsidRPr="000250FA">
        <w:rPr>
          <w:sz w:val="22"/>
          <w:szCs w:val="22"/>
        </w:rPr>
        <w:t>az elért kutatási eredmények kiemelkedő színvonalú közzététele idegen nyelven is,</w:t>
      </w:r>
    </w:p>
    <w:p w14:paraId="41567AB3" w14:textId="77777777" w:rsidR="00893D5B" w:rsidRPr="000250FA" w:rsidRDefault="00893D5B" w:rsidP="00912564">
      <w:pPr>
        <w:numPr>
          <w:ilvl w:val="0"/>
          <w:numId w:val="78"/>
        </w:numPr>
        <w:jc w:val="both"/>
        <w:rPr>
          <w:sz w:val="22"/>
          <w:szCs w:val="22"/>
        </w:rPr>
      </w:pPr>
      <w:r w:rsidRPr="000250FA">
        <w:rPr>
          <w:sz w:val="22"/>
          <w:szCs w:val="22"/>
        </w:rPr>
        <w:t>résztémákban önálló kutatások végzése, önálló projektvezetés,</w:t>
      </w:r>
    </w:p>
    <w:p w14:paraId="2DADFC2C" w14:textId="77777777" w:rsidR="00893D5B" w:rsidRPr="000250FA" w:rsidRDefault="00893D5B" w:rsidP="00912564">
      <w:pPr>
        <w:numPr>
          <w:ilvl w:val="0"/>
          <w:numId w:val="78"/>
        </w:numPr>
        <w:jc w:val="both"/>
        <w:rPr>
          <w:sz w:val="22"/>
          <w:szCs w:val="22"/>
        </w:rPr>
      </w:pPr>
      <w:r w:rsidRPr="000250FA">
        <w:rPr>
          <w:sz w:val="22"/>
          <w:szCs w:val="22"/>
        </w:rPr>
        <w:t>oktatási, gyakorlatvezetési tevékenység,</w:t>
      </w:r>
    </w:p>
    <w:p w14:paraId="06AFE0FB" w14:textId="77777777" w:rsidR="00893D5B" w:rsidRPr="000250FA" w:rsidRDefault="00893D5B" w:rsidP="00912564">
      <w:pPr>
        <w:numPr>
          <w:ilvl w:val="0"/>
          <w:numId w:val="78"/>
        </w:numPr>
        <w:jc w:val="both"/>
        <w:rPr>
          <w:sz w:val="22"/>
          <w:szCs w:val="22"/>
        </w:rPr>
      </w:pPr>
      <w:r w:rsidRPr="000250FA">
        <w:rPr>
          <w:sz w:val="22"/>
          <w:szCs w:val="22"/>
        </w:rPr>
        <w:t>törekvés a tudományos munkatársra vonatkozó követelmények teljesítésére.</w:t>
      </w:r>
    </w:p>
    <w:p w14:paraId="2456AB1E" w14:textId="77777777" w:rsidR="00893D5B" w:rsidRPr="000250FA" w:rsidRDefault="00893D5B" w:rsidP="00893D5B">
      <w:pPr>
        <w:tabs>
          <w:tab w:val="left" w:pos="561"/>
          <w:tab w:val="left" w:pos="9781"/>
        </w:tabs>
        <w:ind w:left="561" w:right="-144"/>
        <w:jc w:val="both"/>
        <w:rPr>
          <w:sz w:val="22"/>
          <w:szCs w:val="22"/>
        </w:rPr>
      </w:pPr>
    </w:p>
    <w:p w14:paraId="2BEF5EA3" w14:textId="77777777" w:rsidR="00893D5B" w:rsidRPr="000250FA" w:rsidRDefault="00893D5B" w:rsidP="00893D5B">
      <w:pPr>
        <w:tabs>
          <w:tab w:val="left" w:pos="9781"/>
        </w:tabs>
        <w:ind w:right="-144"/>
        <w:jc w:val="both"/>
        <w:rPr>
          <w:sz w:val="22"/>
          <w:szCs w:val="22"/>
        </w:rPr>
      </w:pPr>
      <w:r w:rsidRPr="000250FA">
        <w:rPr>
          <w:sz w:val="22"/>
          <w:szCs w:val="22"/>
        </w:rPr>
        <w:t>(3) A tudományos segédmunkatárs munkaköri cím nélkül, gyakornokként nem foglalkoztatható.</w:t>
      </w:r>
    </w:p>
    <w:p w14:paraId="190E6AA9" w14:textId="77777777" w:rsidR="00893D5B" w:rsidRPr="000250FA" w:rsidRDefault="00893D5B" w:rsidP="00893D5B">
      <w:pPr>
        <w:tabs>
          <w:tab w:val="left" w:pos="9781"/>
        </w:tabs>
        <w:ind w:right="-144"/>
        <w:jc w:val="both"/>
        <w:rPr>
          <w:sz w:val="22"/>
          <w:szCs w:val="22"/>
        </w:rPr>
      </w:pPr>
    </w:p>
    <w:p w14:paraId="591E87E5" w14:textId="77777777" w:rsidR="00893D5B" w:rsidRPr="000250FA" w:rsidRDefault="00893D5B" w:rsidP="00893D5B">
      <w:pPr>
        <w:pStyle w:val="Cmsor4"/>
      </w:pPr>
      <w:bookmarkStart w:id="185" w:name="_Toc432753578"/>
      <w:r w:rsidRPr="000250FA">
        <w:t>A tudományos munkatárs</w:t>
      </w:r>
      <w:bookmarkEnd w:id="185"/>
    </w:p>
    <w:p w14:paraId="0350465E" w14:textId="77777777" w:rsidR="00893D5B" w:rsidRPr="000250FA" w:rsidRDefault="00893D5B" w:rsidP="00893D5B">
      <w:pPr>
        <w:tabs>
          <w:tab w:val="left" w:pos="9781"/>
        </w:tabs>
        <w:ind w:right="-144"/>
        <w:jc w:val="both"/>
        <w:rPr>
          <w:sz w:val="22"/>
          <w:szCs w:val="22"/>
        </w:rPr>
      </w:pPr>
    </w:p>
    <w:p w14:paraId="39A84663" w14:textId="77777777" w:rsidR="00893D5B" w:rsidRPr="000250FA" w:rsidRDefault="00893D5B" w:rsidP="00893D5B">
      <w:pPr>
        <w:tabs>
          <w:tab w:val="left" w:pos="9781"/>
        </w:tabs>
        <w:ind w:right="-144"/>
        <w:jc w:val="both"/>
        <w:rPr>
          <w:sz w:val="22"/>
          <w:szCs w:val="22"/>
        </w:rPr>
      </w:pPr>
      <w:r w:rsidRPr="000250FA">
        <w:rPr>
          <w:b/>
          <w:sz w:val="22"/>
          <w:szCs w:val="22"/>
        </w:rPr>
        <w:t>69. §</w:t>
      </w:r>
      <w:r w:rsidRPr="000250FA">
        <w:rPr>
          <w:sz w:val="22"/>
          <w:szCs w:val="22"/>
        </w:rPr>
        <w:t xml:space="preserve"> (1) Tudományos munkatárssá az </w:t>
      </w:r>
      <w:proofErr w:type="spellStart"/>
      <w:r w:rsidRPr="000250FA">
        <w:rPr>
          <w:sz w:val="22"/>
          <w:szCs w:val="22"/>
        </w:rPr>
        <w:t>nevezethető</w:t>
      </w:r>
      <w:proofErr w:type="spellEnd"/>
      <w:r w:rsidRPr="000250FA">
        <w:rPr>
          <w:sz w:val="22"/>
          <w:szCs w:val="22"/>
        </w:rPr>
        <w:t xml:space="preserve"> ki, aki </w:t>
      </w:r>
    </w:p>
    <w:p w14:paraId="07A10D53" w14:textId="77777777" w:rsidR="00893D5B" w:rsidRPr="000250FA" w:rsidRDefault="00893D5B" w:rsidP="00893D5B">
      <w:pPr>
        <w:rPr>
          <w:sz w:val="22"/>
          <w:szCs w:val="22"/>
        </w:rPr>
      </w:pPr>
    </w:p>
    <w:p w14:paraId="4888ECF6" w14:textId="77777777" w:rsidR="00893D5B" w:rsidRPr="000250FA" w:rsidRDefault="00893D5B" w:rsidP="00912564">
      <w:pPr>
        <w:numPr>
          <w:ilvl w:val="0"/>
          <w:numId w:val="79"/>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valamint doktori fokozattal rendelkezik,</w:t>
      </w:r>
    </w:p>
    <w:p w14:paraId="47F781F8" w14:textId="77777777" w:rsidR="00893D5B" w:rsidRPr="000250FA" w:rsidRDefault="00893D5B" w:rsidP="00912564">
      <w:pPr>
        <w:numPr>
          <w:ilvl w:val="0"/>
          <w:numId w:val="79"/>
        </w:numPr>
        <w:jc w:val="both"/>
        <w:rPr>
          <w:sz w:val="22"/>
          <w:szCs w:val="22"/>
        </w:rPr>
      </w:pPr>
      <w:r w:rsidRPr="000250FA">
        <w:rPr>
          <w:sz w:val="22"/>
          <w:szCs w:val="22"/>
        </w:rPr>
        <w:t>rendszeres szakmai közéleti tevékenységet folytat,</w:t>
      </w:r>
    </w:p>
    <w:p w14:paraId="7D41D072" w14:textId="77777777" w:rsidR="00893D5B" w:rsidRPr="000250FA" w:rsidRDefault="00893D5B" w:rsidP="00912564">
      <w:pPr>
        <w:numPr>
          <w:ilvl w:val="0"/>
          <w:numId w:val="79"/>
        </w:numPr>
        <w:jc w:val="both"/>
        <w:rPr>
          <w:sz w:val="22"/>
          <w:szCs w:val="22"/>
        </w:rPr>
      </w:pPr>
      <w:r w:rsidRPr="000250FA">
        <w:rPr>
          <w:sz w:val="22"/>
          <w:szCs w:val="22"/>
        </w:rPr>
        <w:t>megfelelő publikációs tevékenységet végez idegen nyelven is,</w:t>
      </w:r>
    </w:p>
    <w:p w14:paraId="60E69EF2" w14:textId="77777777" w:rsidR="00893D5B" w:rsidRPr="000250FA" w:rsidRDefault="00893D5B" w:rsidP="00912564">
      <w:pPr>
        <w:numPr>
          <w:ilvl w:val="0"/>
          <w:numId w:val="79"/>
        </w:numPr>
        <w:jc w:val="both"/>
        <w:rPr>
          <w:sz w:val="22"/>
          <w:szCs w:val="22"/>
        </w:rPr>
      </w:pPr>
      <w:r w:rsidRPr="000250FA">
        <w:rPr>
          <w:sz w:val="22"/>
          <w:szCs w:val="22"/>
        </w:rPr>
        <w:t>képesség idegen nyelvű előadás tartására,</w:t>
      </w:r>
    </w:p>
    <w:p w14:paraId="0A6C9BBC" w14:textId="77777777" w:rsidR="00893D5B" w:rsidRPr="000250FA" w:rsidRDefault="00893D5B" w:rsidP="00912564">
      <w:pPr>
        <w:numPr>
          <w:ilvl w:val="0"/>
          <w:numId w:val="79"/>
        </w:numPr>
        <w:jc w:val="both"/>
        <w:rPr>
          <w:sz w:val="22"/>
          <w:szCs w:val="22"/>
        </w:rPr>
      </w:pPr>
      <w:r w:rsidRPr="000250FA">
        <w:rPr>
          <w:sz w:val="22"/>
          <w:szCs w:val="22"/>
        </w:rPr>
        <w:t>legalább öt év időtartamú eredményes kutatói, oktatói, illetve szakmai gyakorlattal rendelkezik.</w:t>
      </w:r>
    </w:p>
    <w:p w14:paraId="039F2B68" w14:textId="77777777" w:rsidR="00893D5B" w:rsidRPr="000250FA" w:rsidRDefault="00893D5B" w:rsidP="00893D5B">
      <w:pPr>
        <w:tabs>
          <w:tab w:val="left" w:pos="9781"/>
        </w:tabs>
        <w:ind w:right="-144"/>
        <w:rPr>
          <w:sz w:val="22"/>
          <w:szCs w:val="22"/>
        </w:rPr>
      </w:pPr>
    </w:p>
    <w:p w14:paraId="0C50D96D" w14:textId="77777777" w:rsidR="00893D5B" w:rsidRPr="000250FA" w:rsidRDefault="00893D5B" w:rsidP="00893D5B">
      <w:pPr>
        <w:rPr>
          <w:sz w:val="22"/>
          <w:szCs w:val="22"/>
        </w:rPr>
      </w:pPr>
      <w:r w:rsidRPr="000250FA">
        <w:rPr>
          <w:sz w:val="22"/>
          <w:szCs w:val="22"/>
        </w:rPr>
        <w:t>(2) A tudományos munkatárs folyamatos alkalmazásának követelményei:</w:t>
      </w:r>
    </w:p>
    <w:p w14:paraId="14B1D742" w14:textId="77777777" w:rsidR="00893D5B" w:rsidRPr="000250FA" w:rsidRDefault="00893D5B" w:rsidP="00893D5B">
      <w:pPr>
        <w:rPr>
          <w:sz w:val="22"/>
          <w:szCs w:val="22"/>
        </w:rPr>
      </w:pPr>
    </w:p>
    <w:p w14:paraId="059BBC59" w14:textId="77777777" w:rsidR="00893D5B" w:rsidRPr="000250FA" w:rsidRDefault="00893D5B" w:rsidP="00912564">
      <w:pPr>
        <w:numPr>
          <w:ilvl w:val="0"/>
          <w:numId w:val="80"/>
        </w:numPr>
        <w:jc w:val="both"/>
        <w:rPr>
          <w:sz w:val="22"/>
          <w:szCs w:val="22"/>
        </w:rPr>
      </w:pPr>
      <w:r w:rsidRPr="000250FA">
        <w:rPr>
          <w:sz w:val="22"/>
          <w:szCs w:val="22"/>
        </w:rPr>
        <w:t>az elért kutatási eredmények kiemelkedő színvonalú közzététele idegen nyelven is,</w:t>
      </w:r>
    </w:p>
    <w:p w14:paraId="42954CBE" w14:textId="77777777" w:rsidR="00893D5B" w:rsidRPr="000250FA" w:rsidRDefault="00893D5B" w:rsidP="00912564">
      <w:pPr>
        <w:numPr>
          <w:ilvl w:val="0"/>
          <w:numId w:val="80"/>
        </w:numPr>
        <w:jc w:val="both"/>
        <w:rPr>
          <w:sz w:val="22"/>
          <w:szCs w:val="22"/>
        </w:rPr>
      </w:pPr>
      <w:r w:rsidRPr="000250FA">
        <w:rPr>
          <w:sz w:val="22"/>
          <w:szCs w:val="22"/>
        </w:rPr>
        <w:t>önálló kutatások végzése, önálló projektvezetés,</w:t>
      </w:r>
    </w:p>
    <w:p w14:paraId="74ADE784" w14:textId="77777777" w:rsidR="00893D5B" w:rsidRPr="000250FA" w:rsidRDefault="00893D5B" w:rsidP="00912564">
      <w:pPr>
        <w:numPr>
          <w:ilvl w:val="0"/>
          <w:numId w:val="80"/>
        </w:numPr>
        <w:jc w:val="both"/>
        <w:rPr>
          <w:sz w:val="22"/>
          <w:szCs w:val="22"/>
        </w:rPr>
      </w:pPr>
      <w:r w:rsidRPr="000250FA">
        <w:rPr>
          <w:sz w:val="22"/>
          <w:szCs w:val="22"/>
        </w:rPr>
        <w:t xml:space="preserve">idegen nyelvek olyan magas szintű ismerete, hogy azok </w:t>
      </w:r>
      <w:proofErr w:type="gramStart"/>
      <w:r w:rsidRPr="000250FA">
        <w:rPr>
          <w:sz w:val="22"/>
          <w:szCs w:val="22"/>
        </w:rPr>
        <w:t>birtokában</w:t>
      </w:r>
      <w:proofErr w:type="gramEnd"/>
      <w:r w:rsidRPr="000250FA">
        <w:rPr>
          <w:sz w:val="22"/>
          <w:szCs w:val="22"/>
        </w:rPr>
        <w:t xml:space="preserve"> szakmai vitában részt vehessen, szakterületéről előadást tarthasson,</w:t>
      </w:r>
    </w:p>
    <w:p w14:paraId="4E97B2A1" w14:textId="77777777" w:rsidR="00893D5B" w:rsidRPr="000250FA" w:rsidRDefault="00893D5B" w:rsidP="00912564">
      <w:pPr>
        <w:numPr>
          <w:ilvl w:val="0"/>
          <w:numId w:val="80"/>
        </w:numPr>
        <w:jc w:val="both"/>
        <w:rPr>
          <w:sz w:val="22"/>
          <w:szCs w:val="22"/>
        </w:rPr>
      </w:pPr>
      <w:r w:rsidRPr="000250FA">
        <w:rPr>
          <w:sz w:val="22"/>
          <w:szCs w:val="22"/>
        </w:rPr>
        <w:t>oktatási, gyakorlatvezetési tevékenység.</w:t>
      </w:r>
    </w:p>
    <w:p w14:paraId="2CACB81C" w14:textId="77777777" w:rsidR="00893D5B" w:rsidRPr="000250FA" w:rsidRDefault="00893D5B" w:rsidP="00893D5B">
      <w:pPr>
        <w:tabs>
          <w:tab w:val="left" w:pos="9781"/>
        </w:tabs>
        <w:ind w:right="-144"/>
        <w:rPr>
          <w:b/>
          <w:sz w:val="22"/>
          <w:szCs w:val="22"/>
        </w:rPr>
      </w:pPr>
    </w:p>
    <w:p w14:paraId="791FDA0B" w14:textId="77777777" w:rsidR="00893D5B" w:rsidRPr="000250FA" w:rsidRDefault="00893D5B" w:rsidP="00893D5B">
      <w:pPr>
        <w:pStyle w:val="Cmsor4"/>
      </w:pPr>
      <w:bookmarkStart w:id="186" w:name="_Toc432753579"/>
      <w:r w:rsidRPr="000250FA">
        <w:t>A tudományos főmunkatárs</w:t>
      </w:r>
      <w:bookmarkEnd w:id="186"/>
    </w:p>
    <w:p w14:paraId="55FCC9F6" w14:textId="77777777" w:rsidR="00893D5B" w:rsidRPr="000250FA" w:rsidRDefault="00893D5B" w:rsidP="00893D5B">
      <w:pPr>
        <w:tabs>
          <w:tab w:val="left" w:pos="9781"/>
        </w:tabs>
        <w:ind w:right="-144"/>
        <w:jc w:val="both"/>
        <w:rPr>
          <w:sz w:val="22"/>
          <w:szCs w:val="22"/>
        </w:rPr>
      </w:pPr>
    </w:p>
    <w:p w14:paraId="5DDCC6D8" w14:textId="77777777" w:rsidR="00893D5B" w:rsidRPr="000250FA" w:rsidRDefault="00893D5B" w:rsidP="00893D5B">
      <w:pPr>
        <w:rPr>
          <w:sz w:val="22"/>
          <w:szCs w:val="22"/>
        </w:rPr>
      </w:pPr>
      <w:r w:rsidRPr="000250FA">
        <w:rPr>
          <w:b/>
          <w:sz w:val="22"/>
          <w:szCs w:val="22"/>
        </w:rPr>
        <w:t>70. §</w:t>
      </w:r>
      <w:r w:rsidRPr="000250FA">
        <w:rPr>
          <w:sz w:val="22"/>
          <w:szCs w:val="22"/>
        </w:rPr>
        <w:t xml:space="preserve"> (1) Tudományos főmunkatársnak az nevezhető ki, aki:</w:t>
      </w:r>
    </w:p>
    <w:p w14:paraId="79C53C8F" w14:textId="77777777" w:rsidR="00893D5B" w:rsidRPr="000250FA" w:rsidRDefault="00893D5B" w:rsidP="00893D5B">
      <w:pPr>
        <w:tabs>
          <w:tab w:val="left" w:pos="9781"/>
        </w:tabs>
        <w:ind w:left="561" w:right="-144"/>
        <w:jc w:val="both"/>
        <w:rPr>
          <w:sz w:val="22"/>
          <w:szCs w:val="22"/>
        </w:rPr>
      </w:pPr>
    </w:p>
    <w:p w14:paraId="1EB12FF7" w14:textId="77777777" w:rsidR="00893D5B" w:rsidRPr="000250FA" w:rsidRDefault="00893D5B" w:rsidP="00912564">
      <w:pPr>
        <w:numPr>
          <w:ilvl w:val="0"/>
          <w:numId w:val="81"/>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végzettséggel, valamint doktori fokozattal rendelkezik,</w:t>
      </w:r>
    </w:p>
    <w:p w14:paraId="0E89CD82" w14:textId="77777777" w:rsidR="00893D5B" w:rsidRPr="000250FA" w:rsidRDefault="00893D5B" w:rsidP="00912564">
      <w:pPr>
        <w:numPr>
          <w:ilvl w:val="0"/>
          <w:numId w:val="81"/>
        </w:numPr>
        <w:jc w:val="both"/>
        <w:rPr>
          <w:sz w:val="22"/>
          <w:szCs w:val="22"/>
        </w:rPr>
      </w:pPr>
      <w:r w:rsidRPr="000250FA">
        <w:rPr>
          <w:sz w:val="22"/>
          <w:szCs w:val="22"/>
        </w:rPr>
        <w:t xml:space="preserve">alkalmas a hallgatók, a tanársegédek és a tudományos utánpótlás kutatómunkájának vezetésére, </w:t>
      </w:r>
    </w:p>
    <w:p w14:paraId="579D9F3C" w14:textId="77777777" w:rsidR="00893D5B" w:rsidRPr="000250FA" w:rsidRDefault="00893D5B" w:rsidP="00912564">
      <w:pPr>
        <w:numPr>
          <w:ilvl w:val="0"/>
          <w:numId w:val="81"/>
        </w:numPr>
        <w:jc w:val="both"/>
        <w:rPr>
          <w:sz w:val="22"/>
          <w:szCs w:val="22"/>
        </w:rPr>
      </w:pPr>
      <w:r w:rsidRPr="000250FA">
        <w:rPr>
          <w:sz w:val="22"/>
          <w:szCs w:val="22"/>
        </w:rPr>
        <w:t>önálló kutatási gyakorlat alapján széleskörű hazai és nemzetközi kapcsolatrendszerrel rendelkezik,</w:t>
      </w:r>
    </w:p>
    <w:p w14:paraId="54F2A4AD" w14:textId="77777777" w:rsidR="00893D5B" w:rsidRPr="000250FA" w:rsidRDefault="00893D5B" w:rsidP="00912564">
      <w:pPr>
        <w:numPr>
          <w:ilvl w:val="0"/>
          <w:numId w:val="81"/>
        </w:numPr>
        <w:jc w:val="both"/>
        <w:rPr>
          <w:sz w:val="22"/>
          <w:szCs w:val="22"/>
        </w:rPr>
      </w:pPr>
      <w:r w:rsidRPr="000250FA">
        <w:rPr>
          <w:sz w:val="22"/>
          <w:szCs w:val="22"/>
        </w:rPr>
        <w:t>rendszeres szakmai közéleti tevékenységet folytat,</w:t>
      </w:r>
    </w:p>
    <w:p w14:paraId="7BA45F8E" w14:textId="77777777" w:rsidR="00893D5B" w:rsidRPr="000250FA" w:rsidRDefault="00893D5B" w:rsidP="00912564">
      <w:pPr>
        <w:numPr>
          <w:ilvl w:val="0"/>
          <w:numId w:val="81"/>
        </w:numPr>
        <w:jc w:val="both"/>
        <w:rPr>
          <w:sz w:val="22"/>
          <w:szCs w:val="22"/>
        </w:rPr>
      </w:pPr>
      <w:r w:rsidRPr="000250FA">
        <w:rPr>
          <w:sz w:val="22"/>
          <w:szCs w:val="22"/>
        </w:rPr>
        <w:t>megfelelő publikációs tevékenységet végez idegen nyelven is,</w:t>
      </w:r>
    </w:p>
    <w:p w14:paraId="6BF2BB33" w14:textId="77777777" w:rsidR="00893D5B" w:rsidRPr="000250FA" w:rsidRDefault="00893D5B" w:rsidP="00912564">
      <w:pPr>
        <w:numPr>
          <w:ilvl w:val="0"/>
          <w:numId w:val="81"/>
        </w:numPr>
        <w:jc w:val="both"/>
        <w:rPr>
          <w:sz w:val="22"/>
          <w:szCs w:val="22"/>
        </w:rPr>
      </w:pPr>
      <w:r w:rsidRPr="000250FA">
        <w:rPr>
          <w:sz w:val="22"/>
          <w:szCs w:val="22"/>
        </w:rPr>
        <w:t>képes idegen nyelvű előadás tartására,</w:t>
      </w:r>
    </w:p>
    <w:p w14:paraId="5A049407" w14:textId="77777777" w:rsidR="00893D5B" w:rsidRPr="000250FA" w:rsidRDefault="00893D5B" w:rsidP="00912564">
      <w:pPr>
        <w:numPr>
          <w:ilvl w:val="0"/>
          <w:numId w:val="81"/>
        </w:numPr>
        <w:jc w:val="both"/>
        <w:rPr>
          <w:sz w:val="22"/>
          <w:szCs w:val="22"/>
        </w:rPr>
      </w:pPr>
      <w:r w:rsidRPr="000250FA">
        <w:rPr>
          <w:sz w:val="22"/>
          <w:szCs w:val="22"/>
        </w:rPr>
        <w:t xml:space="preserve">legalább </w:t>
      </w:r>
      <w:proofErr w:type="gramStart"/>
      <w:r w:rsidRPr="000250FA">
        <w:rPr>
          <w:sz w:val="22"/>
          <w:szCs w:val="22"/>
        </w:rPr>
        <w:t>nyolc évi</w:t>
      </w:r>
      <w:proofErr w:type="gramEnd"/>
      <w:r w:rsidRPr="000250FA">
        <w:rPr>
          <w:sz w:val="22"/>
          <w:szCs w:val="22"/>
        </w:rPr>
        <w:t xml:space="preserve"> eredményes kutatói, oktatói, illetve szakmai gyakorlat,</w:t>
      </w:r>
    </w:p>
    <w:p w14:paraId="7CAFBE29" w14:textId="77777777" w:rsidR="00893D5B" w:rsidRPr="000250FA" w:rsidRDefault="00893D5B" w:rsidP="00893D5B">
      <w:pPr>
        <w:tabs>
          <w:tab w:val="left" w:pos="9781"/>
        </w:tabs>
        <w:ind w:right="-144"/>
        <w:rPr>
          <w:sz w:val="22"/>
          <w:szCs w:val="22"/>
        </w:rPr>
      </w:pPr>
    </w:p>
    <w:p w14:paraId="7D1F2121" w14:textId="77777777" w:rsidR="00893D5B" w:rsidRPr="000250FA" w:rsidRDefault="00893D5B" w:rsidP="00893D5B">
      <w:pPr>
        <w:rPr>
          <w:sz w:val="22"/>
          <w:szCs w:val="22"/>
        </w:rPr>
      </w:pPr>
      <w:r w:rsidRPr="000250FA">
        <w:rPr>
          <w:sz w:val="22"/>
          <w:szCs w:val="22"/>
        </w:rPr>
        <w:t>(2) A tudományos főmunkatárs folyamatos alkalmazásának követelményei:</w:t>
      </w:r>
    </w:p>
    <w:p w14:paraId="2E46E11B" w14:textId="77777777" w:rsidR="00893D5B" w:rsidRPr="000250FA" w:rsidRDefault="00893D5B" w:rsidP="00893D5B">
      <w:pPr>
        <w:rPr>
          <w:sz w:val="22"/>
          <w:szCs w:val="22"/>
        </w:rPr>
      </w:pPr>
    </w:p>
    <w:p w14:paraId="703694DC" w14:textId="77777777" w:rsidR="00893D5B" w:rsidRPr="000250FA" w:rsidRDefault="00893D5B" w:rsidP="00912564">
      <w:pPr>
        <w:numPr>
          <w:ilvl w:val="0"/>
          <w:numId w:val="82"/>
        </w:numPr>
        <w:jc w:val="both"/>
        <w:rPr>
          <w:sz w:val="22"/>
          <w:szCs w:val="22"/>
        </w:rPr>
      </w:pPr>
      <w:r w:rsidRPr="000250FA">
        <w:rPr>
          <w:sz w:val="22"/>
          <w:szCs w:val="22"/>
        </w:rPr>
        <w:t>tudományszakának átfogó ismerete, alkotó művelése, fejlesztése,</w:t>
      </w:r>
    </w:p>
    <w:p w14:paraId="78F9A3C5" w14:textId="77777777" w:rsidR="00893D5B" w:rsidRPr="000250FA" w:rsidRDefault="00893D5B" w:rsidP="00912564">
      <w:pPr>
        <w:numPr>
          <w:ilvl w:val="0"/>
          <w:numId w:val="82"/>
        </w:numPr>
        <w:jc w:val="both"/>
        <w:rPr>
          <w:sz w:val="22"/>
          <w:szCs w:val="22"/>
        </w:rPr>
      </w:pPr>
      <w:r w:rsidRPr="000250FA">
        <w:rPr>
          <w:sz w:val="22"/>
          <w:szCs w:val="22"/>
        </w:rPr>
        <w:t>meghatározó módon való részvétel a kutatóhely, a kar, az egyetem tudományos feladatainak kidolgozásában, a végrehajtás irányításában és ellenőrzésében, a kutatócsoport munkájának összefogása, irányítása,</w:t>
      </w:r>
    </w:p>
    <w:p w14:paraId="1C0CB37B" w14:textId="77777777" w:rsidR="00893D5B" w:rsidRPr="000250FA" w:rsidRDefault="00893D5B" w:rsidP="00912564">
      <w:pPr>
        <w:numPr>
          <w:ilvl w:val="0"/>
          <w:numId w:val="82"/>
        </w:numPr>
        <w:jc w:val="both"/>
        <w:rPr>
          <w:sz w:val="22"/>
          <w:szCs w:val="22"/>
        </w:rPr>
      </w:pPr>
      <w:r w:rsidRPr="000250FA">
        <w:rPr>
          <w:sz w:val="22"/>
          <w:szCs w:val="22"/>
        </w:rPr>
        <w:t>az elért kutatási eredmények kiemelkedő színvonalú közzététele idegen nyelven is,</w:t>
      </w:r>
    </w:p>
    <w:p w14:paraId="2E4E335A" w14:textId="77777777" w:rsidR="00893D5B" w:rsidRPr="000250FA" w:rsidRDefault="00893D5B" w:rsidP="00912564">
      <w:pPr>
        <w:numPr>
          <w:ilvl w:val="0"/>
          <w:numId w:val="82"/>
        </w:numPr>
        <w:jc w:val="both"/>
        <w:rPr>
          <w:sz w:val="22"/>
          <w:szCs w:val="22"/>
        </w:rPr>
      </w:pPr>
      <w:r w:rsidRPr="000250FA">
        <w:rPr>
          <w:sz w:val="22"/>
          <w:szCs w:val="22"/>
        </w:rPr>
        <w:t>rendszeres és sokrétű kapcsolat tartása tudományterületének gyakorlati tevékenységével, tudományos feladatok megoldásának irányítása, pályázati csoportok tevékenységének összefogása, kutatási/szakmai megbízások szerzése,</w:t>
      </w:r>
    </w:p>
    <w:p w14:paraId="0914C9FB" w14:textId="77777777" w:rsidR="00893D5B" w:rsidRPr="000250FA" w:rsidRDefault="00893D5B" w:rsidP="00912564">
      <w:pPr>
        <w:numPr>
          <w:ilvl w:val="0"/>
          <w:numId w:val="82"/>
        </w:numPr>
        <w:jc w:val="both"/>
        <w:rPr>
          <w:sz w:val="22"/>
          <w:szCs w:val="22"/>
        </w:rPr>
      </w:pPr>
      <w:r w:rsidRPr="000250FA">
        <w:rPr>
          <w:sz w:val="22"/>
          <w:szCs w:val="22"/>
        </w:rPr>
        <w:t>önálló kutatások végzése, önálló projektvezetés,</w:t>
      </w:r>
    </w:p>
    <w:p w14:paraId="7D956431" w14:textId="77777777" w:rsidR="00893D5B" w:rsidRPr="000250FA" w:rsidRDefault="00893D5B" w:rsidP="00912564">
      <w:pPr>
        <w:numPr>
          <w:ilvl w:val="0"/>
          <w:numId w:val="82"/>
        </w:numPr>
        <w:jc w:val="both"/>
        <w:rPr>
          <w:sz w:val="22"/>
          <w:szCs w:val="22"/>
        </w:rPr>
      </w:pPr>
      <w:r w:rsidRPr="000250FA">
        <w:rPr>
          <w:sz w:val="22"/>
          <w:szCs w:val="22"/>
        </w:rPr>
        <w:t xml:space="preserve">idegen nyelvek olyan magas szintű ismerete, hogy azok </w:t>
      </w:r>
      <w:proofErr w:type="gramStart"/>
      <w:r w:rsidRPr="000250FA">
        <w:rPr>
          <w:sz w:val="22"/>
          <w:szCs w:val="22"/>
        </w:rPr>
        <w:t>birtokában</w:t>
      </w:r>
      <w:proofErr w:type="gramEnd"/>
      <w:r w:rsidRPr="000250FA">
        <w:rPr>
          <w:sz w:val="22"/>
          <w:szCs w:val="22"/>
        </w:rPr>
        <w:t xml:space="preserve"> szakmai vitában részt vehessen, szakterületéről előadást tarthasson,</w:t>
      </w:r>
    </w:p>
    <w:p w14:paraId="6731ACFA" w14:textId="77777777" w:rsidR="00893D5B" w:rsidRPr="000250FA" w:rsidRDefault="00893D5B" w:rsidP="00912564">
      <w:pPr>
        <w:numPr>
          <w:ilvl w:val="0"/>
          <w:numId w:val="82"/>
        </w:numPr>
        <w:jc w:val="both"/>
        <w:rPr>
          <w:sz w:val="22"/>
          <w:szCs w:val="22"/>
        </w:rPr>
      </w:pPr>
      <w:r w:rsidRPr="000250FA">
        <w:rPr>
          <w:sz w:val="22"/>
          <w:szCs w:val="22"/>
        </w:rPr>
        <w:t>a hazai és a nemzetközi tudományos közéletben való részvétel,</w:t>
      </w:r>
    </w:p>
    <w:p w14:paraId="77C5D25A" w14:textId="77777777" w:rsidR="00893D5B" w:rsidRPr="000250FA" w:rsidRDefault="00893D5B" w:rsidP="00912564">
      <w:pPr>
        <w:numPr>
          <w:ilvl w:val="0"/>
          <w:numId w:val="82"/>
        </w:numPr>
        <w:jc w:val="both"/>
        <w:rPr>
          <w:sz w:val="22"/>
          <w:szCs w:val="22"/>
        </w:rPr>
      </w:pPr>
      <w:r w:rsidRPr="000250FA">
        <w:rPr>
          <w:sz w:val="22"/>
          <w:szCs w:val="22"/>
        </w:rPr>
        <w:t xml:space="preserve">közvetve vagy közvetlenül az egyetemi oktató-nevelő </w:t>
      </w:r>
      <w:proofErr w:type="gramStart"/>
      <w:r w:rsidRPr="000250FA">
        <w:rPr>
          <w:sz w:val="22"/>
          <w:szCs w:val="22"/>
        </w:rPr>
        <w:t>munka kezdeményező</w:t>
      </w:r>
      <w:proofErr w:type="gramEnd"/>
      <w:r w:rsidRPr="000250FA">
        <w:rPr>
          <w:sz w:val="22"/>
          <w:szCs w:val="22"/>
        </w:rPr>
        <w:t xml:space="preserve"> módon történő segítése, részvétel a doktorképzésben, doktori és habilitált tudományos főmunkatársak esetében a habilitációs eljárásokban,</w:t>
      </w:r>
    </w:p>
    <w:p w14:paraId="7B23B73C" w14:textId="77777777" w:rsidR="00893D5B" w:rsidRPr="000250FA" w:rsidRDefault="00893D5B" w:rsidP="00912564">
      <w:pPr>
        <w:numPr>
          <w:ilvl w:val="0"/>
          <w:numId w:val="82"/>
        </w:numPr>
        <w:jc w:val="both"/>
        <w:rPr>
          <w:sz w:val="22"/>
          <w:szCs w:val="22"/>
        </w:rPr>
      </w:pPr>
      <w:r w:rsidRPr="000250FA">
        <w:rPr>
          <w:sz w:val="22"/>
          <w:szCs w:val="22"/>
        </w:rPr>
        <w:t>oktatási, gyakorlatvezetési tevékenység.</w:t>
      </w:r>
    </w:p>
    <w:p w14:paraId="24397268" w14:textId="77777777" w:rsidR="00893D5B" w:rsidRPr="000250FA" w:rsidRDefault="00893D5B" w:rsidP="00893D5B">
      <w:pPr>
        <w:tabs>
          <w:tab w:val="left" w:pos="9781"/>
        </w:tabs>
        <w:ind w:right="-144"/>
        <w:jc w:val="both"/>
        <w:rPr>
          <w:sz w:val="22"/>
          <w:szCs w:val="22"/>
        </w:rPr>
      </w:pPr>
    </w:p>
    <w:p w14:paraId="4AE6D221" w14:textId="77777777" w:rsidR="00893D5B" w:rsidRPr="000250FA" w:rsidRDefault="00893D5B" w:rsidP="00893D5B">
      <w:pPr>
        <w:pStyle w:val="Cmsor4"/>
      </w:pPr>
      <w:bookmarkStart w:id="187" w:name="_Toc432753580"/>
      <w:r w:rsidRPr="000250FA">
        <w:t>A tudományos tanácsadó és a kutatóprofesszor</w:t>
      </w:r>
      <w:bookmarkEnd w:id="187"/>
    </w:p>
    <w:p w14:paraId="1418075F" w14:textId="77777777" w:rsidR="00893D5B" w:rsidRPr="000250FA" w:rsidRDefault="00893D5B" w:rsidP="00893D5B">
      <w:pPr>
        <w:tabs>
          <w:tab w:val="left" w:pos="9781"/>
        </w:tabs>
        <w:ind w:right="-144"/>
        <w:jc w:val="both"/>
        <w:rPr>
          <w:sz w:val="22"/>
          <w:szCs w:val="22"/>
        </w:rPr>
      </w:pPr>
    </w:p>
    <w:p w14:paraId="78DF70A5" w14:textId="77777777" w:rsidR="00EA7F2A" w:rsidRPr="00EA7F2A" w:rsidRDefault="00EA7F2A" w:rsidP="00EA7F2A">
      <w:pPr>
        <w:contextualSpacing/>
        <w:rPr>
          <w:sz w:val="22"/>
        </w:rPr>
      </w:pPr>
      <w:r w:rsidRPr="00EA7F2A">
        <w:rPr>
          <w:b/>
          <w:sz w:val="22"/>
        </w:rPr>
        <w:t>„71. §</w:t>
      </w:r>
      <w:r w:rsidRPr="00EA7F2A">
        <w:rPr>
          <w:sz w:val="22"/>
        </w:rPr>
        <w:t xml:space="preserve"> (1) A tudományos tanácsadónak és a kutató professzornak az nevezhető ki, aki:</w:t>
      </w:r>
    </w:p>
    <w:p w14:paraId="2EF15F6E" w14:textId="77777777" w:rsidR="00EA7F2A" w:rsidRPr="00EA7F2A" w:rsidRDefault="00EA7F2A" w:rsidP="00F83E93">
      <w:pPr>
        <w:numPr>
          <w:ilvl w:val="0"/>
          <w:numId w:val="186"/>
        </w:numPr>
        <w:contextualSpacing/>
        <w:jc w:val="both"/>
        <w:rPr>
          <w:sz w:val="22"/>
        </w:rPr>
      </w:pPr>
      <w:r>
        <w:rPr>
          <w:rStyle w:val="Lbjegyzet-hivatkozs"/>
          <w:sz w:val="22"/>
        </w:rPr>
        <w:footnoteReference w:id="278"/>
      </w:r>
      <w:r>
        <w:rPr>
          <w:sz w:val="22"/>
        </w:rPr>
        <w:t xml:space="preserve"> </w:t>
      </w:r>
      <w:r w:rsidRPr="00EA7F2A">
        <w:rPr>
          <w:sz w:val="22"/>
        </w:rPr>
        <w:t>MA/</w:t>
      </w:r>
      <w:proofErr w:type="spellStart"/>
      <w:r w:rsidRPr="00EA7F2A">
        <w:rPr>
          <w:sz w:val="22"/>
        </w:rPr>
        <w:t>MSc</w:t>
      </w:r>
      <w:proofErr w:type="spellEnd"/>
      <w:r w:rsidRPr="00EA7F2A">
        <w:rPr>
          <w:sz w:val="22"/>
        </w:rPr>
        <w:t xml:space="preserve"> vagy azzal egyenértékű végzettséggel, doktori fokozattal és habilitációval </w:t>
      </w:r>
      <w:r w:rsidRPr="00F742C0">
        <w:rPr>
          <w:sz w:val="22"/>
        </w:rPr>
        <w:t>vagy a habilitációval egyenértékű felsőoktatási kutatói-oktatói gyakorlattal rendelkezik</w:t>
      </w:r>
      <w:r w:rsidRPr="00EA7F2A">
        <w:rPr>
          <w:b/>
          <w:i/>
          <w:sz w:val="22"/>
        </w:rPr>
        <w:t xml:space="preserve">; </w:t>
      </w:r>
      <w:r w:rsidRPr="00F742C0">
        <w:rPr>
          <w:sz w:val="22"/>
        </w:rPr>
        <w:t xml:space="preserve">illetve </w:t>
      </w:r>
      <w:r w:rsidRPr="00EA7F2A">
        <w:rPr>
          <w:sz w:val="22"/>
        </w:rPr>
        <w:t xml:space="preserve">akadémiai doktori címmel </w:t>
      </w:r>
      <w:r w:rsidRPr="00F742C0">
        <w:rPr>
          <w:sz w:val="22"/>
        </w:rPr>
        <w:t>vagy az MTA doktori cím odaítéléséhez szükséges tudományos, vagy annak megfelelő művészeti teljesítménnyel</w:t>
      </w:r>
      <w:r w:rsidRPr="00EA7F2A">
        <w:rPr>
          <w:b/>
          <w:i/>
          <w:sz w:val="22"/>
        </w:rPr>
        <w:t xml:space="preserve"> </w:t>
      </w:r>
      <w:r w:rsidRPr="00EA7F2A">
        <w:rPr>
          <w:sz w:val="22"/>
        </w:rPr>
        <w:t>rendelkezik,</w:t>
      </w:r>
    </w:p>
    <w:p w14:paraId="7CE6D19A" w14:textId="77777777" w:rsidR="00EA7F2A" w:rsidRPr="00EA7F2A" w:rsidRDefault="00EA7F2A" w:rsidP="00F83E93">
      <w:pPr>
        <w:numPr>
          <w:ilvl w:val="0"/>
          <w:numId w:val="186"/>
        </w:numPr>
        <w:contextualSpacing/>
        <w:jc w:val="both"/>
        <w:rPr>
          <w:sz w:val="22"/>
        </w:rPr>
      </w:pPr>
      <w:r w:rsidRPr="00EA7F2A">
        <w:rPr>
          <w:sz w:val="22"/>
        </w:rPr>
        <w:t xml:space="preserve">alkalmas a hallgatók, a tanársegédek és a tudományos utánpótlás kutatómunkájának irányítására, </w:t>
      </w:r>
      <w:proofErr w:type="gramStart"/>
      <w:r w:rsidRPr="00EA7F2A">
        <w:rPr>
          <w:sz w:val="22"/>
        </w:rPr>
        <w:t>koordinálására</w:t>
      </w:r>
      <w:proofErr w:type="gramEnd"/>
      <w:r w:rsidRPr="00EA7F2A">
        <w:rPr>
          <w:sz w:val="22"/>
        </w:rPr>
        <w:t>, valamint kutatási projektek vezetésére,</w:t>
      </w:r>
    </w:p>
    <w:p w14:paraId="3E040E8F" w14:textId="77777777" w:rsidR="00EA7F2A" w:rsidRPr="00EA7F2A" w:rsidRDefault="00EA7F2A" w:rsidP="00F83E93">
      <w:pPr>
        <w:numPr>
          <w:ilvl w:val="0"/>
          <w:numId w:val="186"/>
        </w:numPr>
        <w:contextualSpacing/>
        <w:jc w:val="both"/>
        <w:rPr>
          <w:sz w:val="22"/>
        </w:rPr>
      </w:pPr>
      <w:r w:rsidRPr="00EA7F2A">
        <w:rPr>
          <w:sz w:val="22"/>
        </w:rPr>
        <w:t>önálló kutatási gyakorlat alapján széleskörű hazai és nemzetközi kapcsolatrendszerrel rendelkezik,</w:t>
      </w:r>
    </w:p>
    <w:p w14:paraId="3CAF697A" w14:textId="77777777" w:rsidR="00EA7F2A" w:rsidRPr="00EA7F2A" w:rsidRDefault="00EA7F2A" w:rsidP="00F83E93">
      <w:pPr>
        <w:numPr>
          <w:ilvl w:val="0"/>
          <w:numId w:val="186"/>
        </w:numPr>
        <w:contextualSpacing/>
        <w:jc w:val="both"/>
        <w:rPr>
          <w:sz w:val="22"/>
        </w:rPr>
      </w:pPr>
      <w:r w:rsidRPr="00EA7F2A">
        <w:rPr>
          <w:sz w:val="22"/>
        </w:rPr>
        <w:t>iskolateremtő oktatási, tudományos és szakmai munkássága, oktatási és tudományszervezői tapasztalata és irányítási készsége van,</w:t>
      </w:r>
    </w:p>
    <w:p w14:paraId="306E4BE2" w14:textId="77777777" w:rsidR="00EA7F2A" w:rsidRPr="00EA7F2A" w:rsidRDefault="00EA7F2A" w:rsidP="00F83E93">
      <w:pPr>
        <w:numPr>
          <w:ilvl w:val="0"/>
          <w:numId w:val="186"/>
        </w:numPr>
        <w:contextualSpacing/>
        <w:jc w:val="both"/>
        <w:rPr>
          <w:sz w:val="22"/>
        </w:rPr>
      </w:pPr>
      <w:r w:rsidRPr="00EA7F2A">
        <w:rPr>
          <w:sz w:val="22"/>
        </w:rPr>
        <w:t>rendszeres szakmai közéleti tevékenységet folytat,</w:t>
      </w:r>
    </w:p>
    <w:p w14:paraId="1261D96C" w14:textId="77777777" w:rsidR="00EA7F2A" w:rsidRPr="00EA7F2A" w:rsidRDefault="00EA7F2A" w:rsidP="00F83E93">
      <w:pPr>
        <w:numPr>
          <w:ilvl w:val="0"/>
          <w:numId w:val="186"/>
        </w:numPr>
        <w:contextualSpacing/>
        <w:jc w:val="both"/>
        <w:rPr>
          <w:sz w:val="22"/>
        </w:rPr>
      </w:pPr>
      <w:r w:rsidRPr="00EA7F2A">
        <w:rPr>
          <w:sz w:val="22"/>
        </w:rPr>
        <w:t>megfelelő publikációs tevékenységet végez idegen nyelven is,</w:t>
      </w:r>
    </w:p>
    <w:p w14:paraId="4EDEC02D" w14:textId="77777777" w:rsidR="00EA7F2A" w:rsidRPr="00EA7F2A" w:rsidRDefault="00EA7F2A" w:rsidP="00F83E93">
      <w:pPr>
        <w:numPr>
          <w:ilvl w:val="0"/>
          <w:numId w:val="186"/>
        </w:numPr>
        <w:contextualSpacing/>
        <w:jc w:val="both"/>
        <w:rPr>
          <w:sz w:val="22"/>
        </w:rPr>
      </w:pPr>
      <w:r w:rsidRPr="00EA7F2A">
        <w:rPr>
          <w:sz w:val="22"/>
        </w:rPr>
        <w:t>képes idegen nyelvű előadás tartására,</w:t>
      </w:r>
    </w:p>
    <w:p w14:paraId="527F642D" w14:textId="77777777" w:rsidR="00EA7F2A" w:rsidRPr="00EA7F2A" w:rsidRDefault="00EA7F2A" w:rsidP="00F83E93">
      <w:pPr>
        <w:numPr>
          <w:ilvl w:val="0"/>
          <w:numId w:val="186"/>
        </w:numPr>
        <w:contextualSpacing/>
        <w:jc w:val="both"/>
        <w:rPr>
          <w:sz w:val="22"/>
        </w:rPr>
      </w:pPr>
      <w:r w:rsidRPr="00EA7F2A">
        <w:rPr>
          <w:sz w:val="22"/>
        </w:rPr>
        <w:t>legalább 12 évi eredményes kutatói, oktatói, illetve szakmai gyakorlattal rendelkezik.</w:t>
      </w:r>
    </w:p>
    <w:p w14:paraId="7C32E66A" w14:textId="77777777" w:rsidR="00EA7F2A" w:rsidRPr="00EA7F2A" w:rsidRDefault="00EA7F2A" w:rsidP="00EA7F2A">
      <w:pPr>
        <w:tabs>
          <w:tab w:val="left" w:pos="9781"/>
        </w:tabs>
        <w:ind w:right="-144"/>
        <w:contextualSpacing/>
        <w:rPr>
          <w:sz w:val="22"/>
        </w:rPr>
      </w:pPr>
    </w:p>
    <w:p w14:paraId="47BE6911" w14:textId="77777777" w:rsidR="00EA7F2A" w:rsidRPr="00EA7F2A" w:rsidRDefault="00EA7F2A" w:rsidP="00EA7F2A">
      <w:pPr>
        <w:contextualSpacing/>
        <w:jc w:val="both"/>
        <w:rPr>
          <w:sz w:val="22"/>
        </w:rPr>
      </w:pPr>
      <w:r w:rsidRPr="00EA7F2A">
        <w:rPr>
          <w:sz w:val="22"/>
        </w:rPr>
        <w:t>(2) A tudományos tanácsadó és a kutató professzor folyamatos alkalmazásának követelményei:</w:t>
      </w:r>
    </w:p>
    <w:p w14:paraId="6ED1950D" w14:textId="77777777" w:rsidR="00EA7F2A" w:rsidRPr="00EA7F2A" w:rsidRDefault="00EA7F2A" w:rsidP="00F83E93">
      <w:pPr>
        <w:numPr>
          <w:ilvl w:val="0"/>
          <w:numId w:val="83"/>
        </w:numPr>
        <w:contextualSpacing/>
        <w:jc w:val="both"/>
        <w:rPr>
          <w:sz w:val="22"/>
        </w:rPr>
      </w:pPr>
      <w:r w:rsidRPr="00EA7F2A">
        <w:rPr>
          <w:sz w:val="22"/>
        </w:rPr>
        <w:t>tudományszakának átfogó ismerete, alkotó művelése, fejlesztése,</w:t>
      </w:r>
    </w:p>
    <w:p w14:paraId="795018CB" w14:textId="77777777" w:rsidR="00EA7F2A" w:rsidRPr="00EA7F2A" w:rsidRDefault="00EA7F2A" w:rsidP="00F83E93">
      <w:pPr>
        <w:numPr>
          <w:ilvl w:val="0"/>
          <w:numId w:val="83"/>
        </w:numPr>
        <w:contextualSpacing/>
        <w:jc w:val="both"/>
        <w:rPr>
          <w:sz w:val="22"/>
        </w:rPr>
      </w:pPr>
      <w:r w:rsidRPr="00EA7F2A">
        <w:rPr>
          <w:sz w:val="22"/>
        </w:rPr>
        <w:t>meghatározó módon való részvétel a kutatóhely, a kar, az egyetem tudományos feladatainak kidolgozásában, a végrehajtás irányításában és ellenőrzésében, a kutatócsoport munkájának összefogása, irányítása,</w:t>
      </w:r>
    </w:p>
    <w:p w14:paraId="10D4145E" w14:textId="77777777" w:rsidR="00EA7F2A" w:rsidRPr="00EA7F2A" w:rsidRDefault="00EA7F2A" w:rsidP="00F83E93">
      <w:pPr>
        <w:numPr>
          <w:ilvl w:val="0"/>
          <w:numId w:val="83"/>
        </w:numPr>
        <w:contextualSpacing/>
        <w:jc w:val="both"/>
        <w:rPr>
          <w:sz w:val="22"/>
        </w:rPr>
      </w:pPr>
      <w:r w:rsidRPr="00EA7F2A">
        <w:rPr>
          <w:sz w:val="22"/>
        </w:rPr>
        <w:t>az elért kutatási eredmények kiemelkedő színvonalú közzététele idegen nyelven is,</w:t>
      </w:r>
    </w:p>
    <w:p w14:paraId="331E0DED" w14:textId="77777777" w:rsidR="00EA7F2A" w:rsidRPr="00EA7F2A" w:rsidRDefault="00EA7F2A" w:rsidP="00F83E93">
      <w:pPr>
        <w:numPr>
          <w:ilvl w:val="0"/>
          <w:numId w:val="83"/>
        </w:numPr>
        <w:contextualSpacing/>
        <w:jc w:val="both"/>
        <w:rPr>
          <w:sz w:val="22"/>
        </w:rPr>
      </w:pPr>
      <w:r w:rsidRPr="00EA7F2A">
        <w:rPr>
          <w:sz w:val="22"/>
        </w:rPr>
        <w:t>rendszeres és sokrétű kapcsolat tartása tudományterületének gyakorlati tevékenységével, tudományos feladatok megoldásának irányítása, pályázati csoportok tevékenységének összefogása, kutatási/szakmai megbízások szerzése,</w:t>
      </w:r>
    </w:p>
    <w:p w14:paraId="23090448" w14:textId="77777777" w:rsidR="00EA7F2A" w:rsidRPr="00EA7F2A" w:rsidRDefault="00EA7F2A" w:rsidP="00F83E93">
      <w:pPr>
        <w:numPr>
          <w:ilvl w:val="0"/>
          <w:numId w:val="83"/>
        </w:numPr>
        <w:contextualSpacing/>
        <w:jc w:val="both"/>
        <w:rPr>
          <w:sz w:val="22"/>
        </w:rPr>
      </w:pPr>
      <w:proofErr w:type="gramStart"/>
      <w:r w:rsidRPr="00EA7F2A">
        <w:rPr>
          <w:sz w:val="22"/>
        </w:rPr>
        <w:t>aktív</w:t>
      </w:r>
      <w:proofErr w:type="gramEnd"/>
      <w:r w:rsidRPr="00EA7F2A">
        <w:rPr>
          <w:sz w:val="22"/>
        </w:rPr>
        <w:t xml:space="preserve"> tevékenység kifejtése a tudományszervezési feladatok végzésében,</w:t>
      </w:r>
    </w:p>
    <w:p w14:paraId="2BF60710" w14:textId="77777777" w:rsidR="00EA7F2A" w:rsidRPr="00EA7F2A" w:rsidRDefault="00EA7F2A" w:rsidP="00F83E93">
      <w:pPr>
        <w:numPr>
          <w:ilvl w:val="0"/>
          <w:numId w:val="83"/>
        </w:numPr>
        <w:contextualSpacing/>
        <w:jc w:val="both"/>
        <w:rPr>
          <w:sz w:val="22"/>
        </w:rPr>
      </w:pPr>
      <w:r w:rsidRPr="00EA7F2A">
        <w:rPr>
          <w:sz w:val="22"/>
        </w:rPr>
        <w:t>a hazai és a nemzetközi tudományos közéletben való részvétel,</w:t>
      </w:r>
    </w:p>
    <w:p w14:paraId="1879C08A" w14:textId="77777777" w:rsidR="00EA7F2A" w:rsidRPr="00EA7F2A" w:rsidRDefault="00EA7F2A" w:rsidP="00F83E93">
      <w:pPr>
        <w:numPr>
          <w:ilvl w:val="0"/>
          <w:numId w:val="83"/>
        </w:numPr>
        <w:contextualSpacing/>
        <w:jc w:val="both"/>
        <w:rPr>
          <w:sz w:val="22"/>
        </w:rPr>
      </w:pPr>
      <w:r w:rsidRPr="00EA7F2A">
        <w:rPr>
          <w:sz w:val="22"/>
        </w:rPr>
        <w:t xml:space="preserve">egyetemi szakmai közéleti tevékenység, </w:t>
      </w:r>
    </w:p>
    <w:p w14:paraId="11DC2BCD" w14:textId="77777777" w:rsidR="00EA7F2A" w:rsidRPr="00EA7F2A" w:rsidRDefault="00EA7F2A" w:rsidP="00F83E93">
      <w:pPr>
        <w:numPr>
          <w:ilvl w:val="0"/>
          <w:numId w:val="83"/>
        </w:numPr>
        <w:contextualSpacing/>
        <w:jc w:val="both"/>
        <w:rPr>
          <w:sz w:val="22"/>
        </w:rPr>
      </w:pPr>
      <w:r w:rsidRPr="00EA7F2A">
        <w:rPr>
          <w:sz w:val="22"/>
        </w:rPr>
        <w:t>intézményének, illetőleg országának szakmai képviselete,</w:t>
      </w:r>
    </w:p>
    <w:p w14:paraId="46891DC1" w14:textId="77777777" w:rsidR="00EA7F2A" w:rsidRPr="00EA7F2A" w:rsidRDefault="00EA7F2A" w:rsidP="00F83E93">
      <w:pPr>
        <w:numPr>
          <w:ilvl w:val="0"/>
          <w:numId w:val="83"/>
        </w:numPr>
        <w:contextualSpacing/>
        <w:jc w:val="both"/>
        <w:rPr>
          <w:sz w:val="22"/>
        </w:rPr>
      </w:pPr>
      <w:r w:rsidRPr="00EA7F2A">
        <w:rPr>
          <w:sz w:val="22"/>
        </w:rPr>
        <w:t xml:space="preserve">idegen nyelvek olyan magas szintű ismerete, hogy azok </w:t>
      </w:r>
      <w:proofErr w:type="gramStart"/>
      <w:r w:rsidRPr="00EA7F2A">
        <w:rPr>
          <w:sz w:val="22"/>
        </w:rPr>
        <w:t>birtokában</w:t>
      </w:r>
      <w:proofErr w:type="gramEnd"/>
      <w:r w:rsidRPr="00EA7F2A">
        <w:rPr>
          <w:sz w:val="22"/>
        </w:rPr>
        <w:t xml:space="preserve"> szakmai vitában részt vehessen, szakterületéről előadást tarthasson,</w:t>
      </w:r>
    </w:p>
    <w:p w14:paraId="15475D7E" w14:textId="77777777" w:rsidR="00EA7F2A" w:rsidRPr="00EA7F2A" w:rsidRDefault="00EA7F2A" w:rsidP="00F83E93">
      <w:pPr>
        <w:numPr>
          <w:ilvl w:val="0"/>
          <w:numId w:val="83"/>
        </w:numPr>
        <w:contextualSpacing/>
        <w:jc w:val="both"/>
        <w:rPr>
          <w:sz w:val="22"/>
        </w:rPr>
      </w:pPr>
      <w:r w:rsidRPr="00EA7F2A">
        <w:rPr>
          <w:sz w:val="22"/>
        </w:rPr>
        <w:t xml:space="preserve">közvetve vagy közvetlenül az egyetemi oktató-nevelő </w:t>
      </w:r>
      <w:proofErr w:type="gramStart"/>
      <w:r w:rsidRPr="00EA7F2A">
        <w:rPr>
          <w:sz w:val="22"/>
        </w:rPr>
        <w:t>munka kezdeményező</w:t>
      </w:r>
      <w:proofErr w:type="gramEnd"/>
      <w:r w:rsidRPr="00EA7F2A">
        <w:rPr>
          <w:sz w:val="22"/>
        </w:rPr>
        <w:t xml:space="preserve"> módon történő segítése, részvétel a doktorképzésben, doktori és habilitációs eljárásokban.</w:t>
      </w:r>
    </w:p>
    <w:p w14:paraId="6DDA5F39" w14:textId="77777777" w:rsidR="00EA7F2A" w:rsidRPr="00EA7F2A" w:rsidRDefault="00EA7F2A" w:rsidP="00EA7F2A">
      <w:pPr>
        <w:tabs>
          <w:tab w:val="left" w:pos="9781"/>
        </w:tabs>
        <w:ind w:right="-144"/>
        <w:contextualSpacing/>
        <w:jc w:val="both"/>
        <w:rPr>
          <w:sz w:val="22"/>
        </w:rPr>
      </w:pPr>
    </w:p>
    <w:p w14:paraId="6D83ED3D" w14:textId="77777777" w:rsidR="00EA7F2A" w:rsidRPr="00F742C0" w:rsidRDefault="00EA7F2A" w:rsidP="00EA7F2A">
      <w:pPr>
        <w:contextualSpacing/>
        <w:jc w:val="both"/>
        <w:rPr>
          <w:sz w:val="22"/>
          <w:u w:val="single"/>
        </w:rPr>
      </w:pPr>
      <w:r w:rsidRPr="00F742C0">
        <w:rPr>
          <w:sz w:val="22"/>
        </w:rPr>
        <w:t>(3)</w:t>
      </w:r>
      <w:r w:rsidRPr="00F742C0">
        <w:rPr>
          <w:rStyle w:val="Lbjegyzet-hivatkozs"/>
          <w:sz w:val="20"/>
        </w:rPr>
        <w:footnoteReference w:id="279"/>
      </w:r>
      <w:r w:rsidRPr="00F742C0">
        <w:rPr>
          <w:sz w:val="20"/>
        </w:rPr>
        <w:t xml:space="preserve"> </w:t>
      </w:r>
      <w:r w:rsidRPr="00F742C0">
        <w:rPr>
          <w:sz w:val="22"/>
        </w:rPr>
        <w:t>Az (1) bekezdés a) pontjában meghatározott vagylagos feltételek meglétét, illetve habilitáció vagy MTA doktori cím hiányában az egyenértékűség megállapítását és a jelölt habitusát az Egyetemi Habilitációs és Habitusvizsgáló Bizottság (EHHB) megvizsgálja.</w:t>
      </w:r>
    </w:p>
    <w:p w14:paraId="79312DC6" w14:textId="77777777" w:rsidR="00893D5B" w:rsidRPr="000250FA" w:rsidRDefault="00893D5B" w:rsidP="00893D5B">
      <w:pPr>
        <w:tabs>
          <w:tab w:val="left" w:pos="9781"/>
        </w:tabs>
        <w:ind w:right="-144"/>
        <w:jc w:val="both"/>
        <w:rPr>
          <w:sz w:val="22"/>
          <w:szCs w:val="22"/>
        </w:rPr>
      </w:pPr>
    </w:p>
    <w:p w14:paraId="6EB6056E" w14:textId="77777777" w:rsidR="00893D5B" w:rsidRPr="000250FA" w:rsidRDefault="00893D5B" w:rsidP="00893D5B">
      <w:pPr>
        <w:tabs>
          <w:tab w:val="left" w:pos="9781"/>
        </w:tabs>
        <w:ind w:right="-144"/>
        <w:jc w:val="both"/>
        <w:rPr>
          <w:sz w:val="22"/>
          <w:szCs w:val="22"/>
        </w:rPr>
      </w:pPr>
      <w:r w:rsidRPr="000250FA">
        <w:rPr>
          <w:b/>
          <w:sz w:val="22"/>
          <w:szCs w:val="22"/>
        </w:rPr>
        <w:t>72. §</w:t>
      </w:r>
      <w:r w:rsidRPr="000250FA">
        <w:rPr>
          <w:rStyle w:val="Lbjegyzet-hivatkozs"/>
          <w:b/>
          <w:sz w:val="22"/>
          <w:szCs w:val="22"/>
        </w:rPr>
        <w:footnoteReference w:id="280"/>
      </w:r>
      <w:r w:rsidRPr="000250FA">
        <w:rPr>
          <w:sz w:val="22"/>
          <w:szCs w:val="22"/>
        </w:rPr>
        <w:t xml:space="preserve"> (1) A kutatói munkakörök közül az Egyetemen kizárólag pályázati eljárás alapján tölthetők be az egy évnél hosszabb időre szóló:</w:t>
      </w:r>
    </w:p>
    <w:p w14:paraId="57FB3A94" w14:textId="77777777" w:rsidR="00893D5B" w:rsidRPr="000250FA" w:rsidRDefault="00893D5B" w:rsidP="00893D5B">
      <w:pPr>
        <w:tabs>
          <w:tab w:val="left" w:pos="9781"/>
        </w:tabs>
        <w:ind w:right="-144"/>
        <w:jc w:val="both"/>
        <w:rPr>
          <w:sz w:val="22"/>
          <w:szCs w:val="22"/>
        </w:rPr>
      </w:pPr>
    </w:p>
    <w:p w14:paraId="5C033613" w14:textId="77777777" w:rsidR="00893D5B" w:rsidRPr="000250FA" w:rsidRDefault="00893D5B" w:rsidP="00F83E93">
      <w:pPr>
        <w:numPr>
          <w:ilvl w:val="0"/>
          <w:numId w:val="84"/>
        </w:numPr>
        <w:jc w:val="both"/>
        <w:rPr>
          <w:sz w:val="22"/>
          <w:szCs w:val="22"/>
        </w:rPr>
      </w:pPr>
      <w:r w:rsidRPr="000250FA">
        <w:rPr>
          <w:sz w:val="22"/>
          <w:szCs w:val="22"/>
        </w:rPr>
        <w:t>kutatóprofesszori,</w:t>
      </w:r>
    </w:p>
    <w:p w14:paraId="023E6FD7" w14:textId="77777777" w:rsidR="00893D5B" w:rsidRPr="000250FA" w:rsidRDefault="00893D5B" w:rsidP="00F83E93">
      <w:pPr>
        <w:numPr>
          <w:ilvl w:val="0"/>
          <w:numId w:val="84"/>
        </w:numPr>
        <w:jc w:val="both"/>
        <w:rPr>
          <w:sz w:val="22"/>
          <w:szCs w:val="22"/>
        </w:rPr>
      </w:pPr>
      <w:r w:rsidRPr="000250FA">
        <w:rPr>
          <w:sz w:val="22"/>
          <w:szCs w:val="22"/>
        </w:rPr>
        <w:t xml:space="preserve">a tudományos tanácsadói, </w:t>
      </w:r>
    </w:p>
    <w:p w14:paraId="30554507" w14:textId="77777777" w:rsidR="00893D5B" w:rsidRPr="000250FA" w:rsidRDefault="00893D5B" w:rsidP="00F83E93">
      <w:pPr>
        <w:numPr>
          <w:ilvl w:val="0"/>
          <w:numId w:val="84"/>
        </w:numPr>
        <w:jc w:val="both"/>
        <w:rPr>
          <w:sz w:val="22"/>
          <w:szCs w:val="22"/>
        </w:rPr>
      </w:pPr>
      <w:r w:rsidRPr="000250FA">
        <w:rPr>
          <w:sz w:val="22"/>
          <w:szCs w:val="22"/>
        </w:rPr>
        <w:t xml:space="preserve">tudományos főmunkatársi </w:t>
      </w:r>
    </w:p>
    <w:p w14:paraId="5245E0AE" w14:textId="77777777" w:rsidR="00893D5B" w:rsidRPr="000250FA" w:rsidRDefault="00893D5B" w:rsidP="00893D5B">
      <w:pPr>
        <w:tabs>
          <w:tab w:val="left" w:pos="9781"/>
        </w:tabs>
        <w:ind w:right="-144"/>
        <w:jc w:val="both"/>
        <w:rPr>
          <w:sz w:val="22"/>
          <w:szCs w:val="22"/>
        </w:rPr>
      </w:pPr>
      <w:proofErr w:type="gramStart"/>
      <w:r w:rsidRPr="000250FA">
        <w:rPr>
          <w:sz w:val="22"/>
          <w:szCs w:val="22"/>
        </w:rPr>
        <w:t>munkakörök</w:t>
      </w:r>
      <w:proofErr w:type="gramEnd"/>
      <w:r w:rsidRPr="000250FA">
        <w:rPr>
          <w:sz w:val="22"/>
          <w:szCs w:val="22"/>
        </w:rPr>
        <w:t xml:space="preserve">. </w:t>
      </w:r>
    </w:p>
    <w:p w14:paraId="5DC95A76" w14:textId="77777777" w:rsidR="00893D5B" w:rsidRPr="000250FA" w:rsidRDefault="00893D5B" w:rsidP="00893D5B">
      <w:pPr>
        <w:tabs>
          <w:tab w:val="left" w:pos="9781"/>
        </w:tabs>
        <w:ind w:right="-144"/>
        <w:jc w:val="both"/>
        <w:rPr>
          <w:sz w:val="22"/>
          <w:szCs w:val="22"/>
        </w:rPr>
      </w:pPr>
    </w:p>
    <w:p w14:paraId="10A04640" w14:textId="77777777" w:rsidR="00893D5B" w:rsidRPr="000250FA" w:rsidRDefault="00893D5B" w:rsidP="00893D5B">
      <w:pPr>
        <w:tabs>
          <w:tab w:val="left" w:pos="9781"/>
        </w:tabs>
        <w:ind w:right="-144"/>
        <w:jc w:val="both"/>
        <w:rPr>
          <w:sz w:val="22"/>
          <w:szCs w:val="22"/>
        </w:rPr>
      </w:pPr>
      <w:r w:rsidRPr="000250FA">
        <w:rPr>
          <w:sz w:val="22"/>
          <w:szCs w:val="22"/>
        </w:rPr>
        <w:t>(2) A kutatói munkakörök közül</w:t>
      </w:r>
    </w:p>
    <w:p w14:paraId="6FB3AF82" w14:textId="77777777" w:rsidR="00893D5B" w:rsidRPr="000250FA" w:rsidRDefault="00893D5B" w:rsidP="00893D5B">
      <w:pPr>
        <w:tabs>
          <w:tab w:val="left" w:pos="9781"/>
        </w:tabs>
        <w:ind w:right="-144"/>
        <w:jc w:val="both"/>
        <w:rPr>
          <w:sz w:val="22"/>
          <w:szCs w:val="22"/>
        </w:rPr>
      </w:pPr>
    </w:p>
    <w:p w14:paraId="5B60F926" w14:textId="77777777" w:rsidR="00893D5B" w:rsidRPr="000250FA" w:rsidRDefault="00893D5B" w:rsidP="00F83E93">
      <w:pPr>
        <w:numPr>
          <w:ilvl w:val="0"/>
          <w:numId w:val="85"/>
        </w:numPr>
        <w:jc w:val="both"/>
        <w:rPr>
          <w:sz w:val="22"/>
          <w:szCs w:val="22"/>
        </w:rPr>
      </w:pPr>
      <w:r w:rsidRPr="000250FA">
        <w:rPr>
          <w:sz w:val="22"/>
          <w:szCs w:val="22"/>
        </w:rPr>
        <w:t>a tudományos munkatársi,</w:t>
      </w:r>
    </w:p>
    <w:p w14:paraId="32430870" w14:textId="77777777" w:rsidR="00893D5B" w:rsidRPr="000250FA" w:rsidRDefault="00893D5B" w:rsidP="00F83E93">
      <w:pPr>
        <w:numPr>
          <w:ilvl w:val="0"/>
          <w:numId w:val="85"/>
        </w:numPr>
        <w:jc w:val="both"/>
        <w:rPr>
          <w:sz w:val="22"/>
          <w:szCs w:val="22"/>
        </w:rPr>
      </w:pPr>
      <w:r w:rsidRPr="000250FA">
        <w:rPr>
          <w:sz w:val="22"/>
          <w:szCs w:val="22"/>
        </w:rPr>
        <w:t>a tudományos segédmunkatársi</w:t>
      </w:r>
    </w:p>
    <w:p w14:paraId="50A77E2A" w14:textId="77777777" w:rsidR="00893D5B" w:rsidRPr="000250FA" w:rsidRDefault="00893D5B" w:rsidP="00893D5B">
      <w:pPr>
        <w:tabs>
          <w:tab w:val="left" w:pos="9781"/>
        </w:tabs>
        <w:ind w:right="-144"/>
        <w:jc w:val="both"/>
        <w:rPr>
          <w:sz w:val="22"/>
          <w:szCs w:val="22"/>
        </w:rPr>
      </w:pPr>
      <w:proofErr w:type="gramStart"/>
      <w:r w:rsidRPr="000250FA">
        <w:rPr>
          <w:sz w:val="22"/>
          <w:szCs w:val="22"/>
        </w:rPr>
        <w:t>munkakörökre</w:t>
      </w:r>
      <w:proofErr w:type="gramEnd"/>
      <w:r w:rsidRPr="000250FA">
        <w:rPr>
          <w:sz w:val="22"/>
          <w:szCs w:val="22"/>
        </w:rPr>
        <w:t xml:space="preserve"> nyilvános pályázat írható ki. </w:t>
      </w:r>
    </w:p>
    <w:p w14:paraId="449FE40E" w14:textId="77777777" w:rsidR="00893D5B" w:rsidRPr="000250FA" w:rsidRDefault="00893D5B" w:rsidP="00893D5B">
      <w:pPr>
        <w:tabs>
          <w:tab w:val="left" w:pos="9781"/>
        </w:tabs>
        <w:ind w:right="-144"/>
        <w:jc w:val="both"/>
        <w:rPr>
          <w:sz w:val="22"/>
          <w:szCs w:val="22"/>
        </w:rPr>
      </w:pPr>
    </w:p>
    <w:p w14:paraId="44FCBBE9" w14:textId="77777777" w:rsidR="00893D5B" w:rsidRPr="000250FA" w:rsidRDefault="00893D5B" w:rsidP="00893D5B">
      <w:pPr>
        <w:tabs>
          <w:tab w:val="left" w:pos="9781"/>
        </w:tabs>
        <w:ind w:right="-144"/>
        <w:jc w:val="both"/>
        <w:rPr>
          <w:sz w:val="22"/>
          <w:szCs w:val="22"/>
        </w:rPr>
      </w:pPr>
      <w:r w:rsidRPr="000250FA">
        <w:rPr>
          <w:sz w:val="22"/>
          <w:szCs w:val="22"/>
        </w:rPr>
        <w:t>(3) A pályázati eljárásra az oktatókra vonatkozó pályázati eljárási szabályokat megfelelően kell alkalmazni.</w:t>
      </w:r>
    </w:p>
    <w:p w14:paraId="2EC1B6C8" w14:textId="77777777" w:rsidR="00893D5B" w:rsidRPr="000250FA" w:rsidRDefault="00893D5B" w:rsidP="00893D5B">
      <w:pPr>
        <w:tabs>
          <w:tab w:val="left" w:pos="9781"/>
        </w:tabs>
        <w:ind w:right="-144"/>
        <w:jc w:val="both"/>
        <w:rPr>
          <w:sz w:val="22"/>
          <w:szCs w:val="22"/>
        </w:rPr>
      </w:pPr>
    </w:p>
    <w:p w14:paraId="588DE807" w14:textId="77777777" w:rsidR="00893D5B" w:rsidRPr="000250FA" w:rsidRDefault="00893D5B" w:rsidP="00893D5B">
      <w:pPr>
        <w:jc w:val="both"/>
        <w:rPr>
          <w:sz w:val="22"/>
          <w:szCs w:val="22"/>
        </w:rPr>
      </w:pPr>
      <w:r w:rsidRPr="000250FA">
        <w:rPr>
          <w:sz w:val="22"/>
          <w:szCs w:val="22"/>
        </w:rPr>
        <w:t>(4)</w:t>
      </w:r>
      <w:r w:rsidRPr="000250FA">
        <w:rPr>
          <w:rStyle w:val="Lbjegyzet-hivatkozs"/>
          <w:sz w:val="22"/>
          <w:szCs w:val="22"/>
        </w:rPr>
        <w:footnoteReference w:id="281"/>
      </w:r>
      <w:r w:rsidRPr="000250FA">
        <w:rPr>
          <w:sz w:val="22"/>
          <w:szCs w:val="22"/>
        </w:rPr>
        <w:t xml:space="preserve"> A tudományos főmunkatárs, a tudományos tanácsadó és kutatóprofesszor munkakörben történő alkalmazáshoz szükséges feltételek meglétéről a Szenátus a</w:t>
      </w:r>
      <w:r w:rsidRPr="000250FA">
        <w:rPr>
          <w:bCs/>
          <w:sz w:val="22"/>
          <w:szCs w:val="22"/>
        </w:rPr>
        <w:t>z Egyetemen betölthető közalkalmazotti álláshelyek pályáztatásának részletes szabályairól</w:t>
      </w:r>
      <w:r w:rsidRPr="000250FA">
        <w:rPr>
          <w:sz w:val="22"/>
          <w:szCs w:val="22"/>
        </w:rPr>
        <w:t xml:space="preserve"> szóló vonatkozó utasításban felsorolt okiratok alapján győződik meg. </w:t>
      </w:r>
    </w:p>
    <w:p w14:paraId="570B386C" w14:textId="77777777" w:rsidR="00893D5B" w:rsidRPr="000250FA" w:rsidRDefault="00893D5B" w:rsidP="00893D5B">
      <w:pPr>
        <w:jc w:val="both"/>
        <w:rPr>
          <w:sz w:val="22"/>
          <w:szCs w:val="22"/>
        </w:rPr>
      </w:pPr>
    </w:p>
    <w:p w14:paraId="648065F1" w14:textId="77777777" w:rsidR="00F742C0" w:rsidRDefault="00F742C0">
      <w:pPr>
        <w:spacing w:after="160" w:line="259" w:lineRule="auto"/>
        <w:rPr>
          <w:b/>
          <w:sz w:val="22"/>
          <w:szCs w:val="22"/>
        </w:rPr>
      </w:pPr>
      <w:r>
        <w:rPr>
          <w:b/>
          <w:sz w:val="22"/>
          <w:szCs w:val="22"/>
        </w:rPr>
        <w:br w:type="page"/>
      </w:r>
    </w:p>
    <w:p w14:paraId="2CD3BF2B" w14:textId="77777777" w:rsidR="00893D5B" w:rsidRPr="000250FA" w:rsidRDefault="00893D5B" w:rsidP="00893D5B">
      <w:pPr>
        <w:tabs>
          <w:tab w:val="left" w:pos="9781"/>
        </w:tabs>
        <w:ind w:right="-144"/>
        <w:jc w:val="center"/>
        <w:rPr>
          <w:b/>
          <w:sz w:val="22"/>
          <w:szCs w:val="22"/>
        </w:rPr>
      </w:pPr>
    </w:p>
    <w:p w14:paraId="5259AEAF" w14:textId="77777777" w:rsidR="00893D5B" w:rsidRPr="000250FA" w:rsidRDefault="00893D5B" w:rsidP="00893D5B">
      <w:pPr>
        <w:pStyle w:val="Cmsor3"/>
      </w:pPr>
      <w:bookmarkStart w:id="188" w:name="_Toc432753581"/>
      <w:bookmarkStart w:id="189" w:name="_Toc444603561"/>
      <w:bookmarkStart w:id="190" w:name="_Toc445200821"/>
      <w:bookmarkStart w:id="191" w:name="_Toc58569543"/>
      <w:r w:rsidRPr="000250FA">
        <w:t>III. fejezet - A tanári munkakör létesítése a felsőoktatásban</w:t>
      </w:r>
      <w:bookmarkEnd w:id="188"/>
      <w:bookmarkEnd w:id="189"/>
      <w:bookmarkEnd w:id="190"/>
      <w:bookmarkEnd w:id="191"/>
    </w:p>
    <w:p w14:paraId="558F5626" w14:textId="77777777" w:rsidR="00893D5B" w:rsidRPr="000250FA" w:rsidRDefault="00893D5B" w:rsidP="00893D5B">
      <w:pPr>
        <w:tabs>
          <w:tab w:val="left" w:pos="9781"/>
        </w:tabs>
        <w:ind w:right="-144"/>
        <w:jc w:val="center"/>
        <w:rPr>
          <w:b/>
          <w:sz w:val="22"/>
          <w:szCs w:val="22"/>
        </w:rPr>
      </w:pPr>
    </w:p>
    <w:p w14:paraId="76E8E331" w14:textId="77777777" w:rsidR="00893D5B" w:rsidRPr="000250FA" w:rsidRDefault="00893D5B" w:rsidP="00893D5B">
      <w:pPr>
        <w:jc w:val="center"/>
        <w:rPr>
          <w:b/>
          <w:sz w:val="22"/>
          <w:szCs w:val="22"/>
        </w:rPr>
      </w:pPr>
      <w:r w:rsidRPr="000250FA">
        <w:rPr>
          <w:b/>
          <w:sz w:val="22"/>
          <w:szCs w:val="22"/>
        </w:rPr>
        <w:t>Általános szabályok</w:t>
      </w:r>
    </w:p>
    <w:p w14:paraId="5F60C483" w14:textId="77777777" w:rsidR="00893D5B" w:rsidRPr="000250FA" w:rsidRDefault="00893D5B" w:rsidP="00893D5B">
      <w:pPr>
        <w:jc w:val="both"/>
        <w:rPr>
          <w:sz w:val="22"/>
          <w:szCs w:val="22"/>
        </w:rPr>
      </w:pPr>
    </w:p>
    <w:p w14:paraId="1E5FBD38" w14:textId="77777777" w:rsidR="00893D5B" w:rsidRPr="000250FA" w:rsidRDefault="00893D5B" w:rsidP="00893D5B">
      <w:pPr>
        <w:jc w:val="both"/>
        <w:rPr>
          <w:bCs/>
          <w:sz w:val="22"/>
          <w:szCs w:val="22"/>
        </w:rPr>
      </w:pPr>
      <w:r w:rsidRPr="000250FA">
        <w:rPr>
          <w:b/>
          <w:sz w:val="22"/>
          <w:szCs w:val="22"/>
        </w:rPr>
        <w:t>73. §</w:t>
      </w:r>
      <w:r w:rsidRPr="000250FA">
        <w:rPr>
          <w:sz w:val="22"/>
          <w:szCs w:val="22"/>
        </w:rPr>
        <w:t xml:space="preserve"> </w:t>
      </w:r>
      <w:r w:rsidRPr="000250FA">
        <w:rPr>
          <w:bCs/>
          <w:sz w:val="22"/>
          <w:szCs w:val="22"/>
        </w:rPr>
        <w:t xml:space="preserve">(1) Az Egyetemen tanári feladat </w:t>
      </w:r>
      <w:r w:rsidRPr="000250FA">
        <w:rPr>
          <w:sz w:val="22"/>
          <w:szCs w:val="22"/>
        </w:rPr>
        <w:t>–</w:t>
      </w:r>
      <w:r w:rsidRPr="000250FA">
        <w:rPr>
          <w:bCs/>
          <w:sz w:val="22"/>
          <w:szCs w:val="22"/>
        </w:rPr>
        <w:t xml:space="preserve"> a (3) bekezdésben meghatározott kivétellel </w:t>
      </w:r>
      <w:r w:rsidRPr="000250FA">
        <w:rPr>
          <w:sz w:val="22"/>
          <w:szCs w:val="22"/>
        </w:rPr>
        <w:t>–</w:t>
      </w:r>
      <w:r w:rsidRPr="000250FA">
        <w:rPr>
          <w:bCs/>
          <w:sz w:val="22"/>
          <w:szCs w:val="22"/>
        </w:rPr>
        <w:t xml:space="preserve"> tanári munkakörben a tanári munkakörre létesített közalkalmazotti jogviszonyban látható el. </w:t>
      </w:r>
    </w:p>
    <w:p w14:paraId="59EAC8D6" w14:textId="77777777" w:rsidR="00893D5B" w:rsidRPr="000250FA" w:rsidRDefault="00893D5B" w:rsidP="00893D5B">
      <w:pPr>
        <w:jc w:val="both"/>
        <w:rPr>
          <w:sz w:val="22"/>
          <w:szCs w:val="22"/>
        </w:rPr>
      </w:pPr>
    </w:p>
    <w:p w14:paraId="1F279C20" w14:textId="77777777" w:rsidR="00893D5B" w:rsidRPr="000250FA" w:rsidRDefault="00893D5B" w:rsidP="00893D5B">
      <w:pPr>
        <w:jc w:val="both"/>
        <w:rPr>
          <w:bCs/>
          <w:sz w:val="22"/>
          <w:szCs w:val="22"/>
        </w:rPr>
      </w:pPr>
      <w:r w:rsidRPr="000250FA">
        <w:rPr>
          <w:bCs/>
          <w:sz w:val="22"/>
          <w:szCs w:val="22"/>
        </w:rPr>
        <w:t>(2) Tanári munkakörben nem magyar állampolgár is alkalmazható. Az e szabályzatban meghatározott követelményeket a nem magyar állampolgárokra is megfelelően alkalmazni kell.</w:t>
      </w:r>
    </w:p>
    <w:p w14:paraId="4D9D3E0F" w14:textId="77777777" w:rsidR="00893D5B" w:rsidRPr="000250FA" w:rsidRDefault="00893D5B" w:rsidP="00893D5B">
      <w:pPr>
        <w:jc w:val="both"/>
        <w:rPr>
          <w:sz w:val="22"/>
          <w:szCs w:val="22"/>
        </w:rPr>
      </w:pPr>
    </w:p>
    <w:p w14:paraId="24629566" w14:textId="77777777" w:rsidR="00893D5B" w:rsidRPr="000250FA" w:rsidRDefault="00893D5B" w:rsidP="00893D5B">
      <w:pPr>
        <w:jc w:val="both"/>
        <w:rPr>
          <w:bCs/>
          <w:sz w:val="22"/>
          <w:szCs w:val="22"/>
        </w:rPr>
      </w:pPr>
      <w:r w:rsidRPr="000250FA">
        <w:rPr>
          <w:bCs/>
          <w:sz w:val="22"/>
          <w:szCs w:val="22"/>
        </w:rPr>
        <w:t>(3)</w:t>
      </w:r>
      <w:r w:rsidRPr="000250FA">
        <w:rPr>
          <w:rStyle w:val="Lbjegyzet-hivatkozs"/>
          <w:bCs/>
          <w:sz w:val="22"/>
          <w:szCs w:val="22"/>
        </w:rPr>
        <w:footnoteReference w:id="282"/>
      </w:r>
      <w:r w:rsidRPr="000250FA">
        <w:rPr>
          <w:bCs/>
          <w:sz w:val="22"/>
          <w:szCs w:val="22"/>
        </w:rPr>
        <w:t xml:space="preserve"> Megbízási jogviszony keretében a tanári feladat akkor látható el, ha a tanár által ellátott tevékenység jellege ezt megengedi, továbbá a végzett munkára fordított idő nem haladja meg a teljes munkaidő hatvan százalékát (a továbbiakban: óraadó tanár). Az óraadó tanár foglalkoztatásánál az e szabályzatban tanárokra megállapított alkalmazási követelményeket az óraadó tanár tekintetében is alkalmazni kell. </w:t>
      </w:r>
    </w:p>
    <w:p w14:paraId="750A3C9F" w14:textId="77777777" w:rsidR="00893D5B" w:rsidRPr="000250FA" w:rsidRDefault="00893D5B" w:rsidP="00893D5B">
      <w:pPr>
        <w:rPr>
          <w:sz w:val="22"/>
          <w:szCs w:val="22"/>
        </w:rPr>
      </w:pPr>
    </w:p>
    <w:p w14:paraId="24C4A669" w14:textId="77777777" w:rsidR="00893D5B" w:rsidRPr="000250FA" w:rsidRDefault="00893D5B" w:rsidP="00893D5B">
      <w:pPr>
        <w:pStyle w:val="Cmsor4"/>
      </w:pPr>
      <w:bookmarkStart w:id="192" w:name="_Toc432753582"/>
      <w:r w:rsidRPr="000250FA">
        <w:t>Tanári munkakörök, a tanári munkakör létesítésének feltételei</w:t>
      </w:r>
      <w:bookmarkEnd w:id="192"/>
    </w:p>
    <w:p w14:paraId="2730CD5B" w14:textId="77777777" w:rsidR="00893D5B" w:rsidRPr="000250FA" w:rsidRDefault="00893D5B" w:rsidP="00893D5B">
      <w:pPr>
        <w:rPr>
          <w:sz w:val="22"/>
          <w:szCs w:val="22"/>
        </w:rPr>
      </w:pPr>
    </w:p>
    <w:p w14:paraId="1642F347" w14:textId="77777777" w:rsidR="00893D5B" w:rsidRPr="000250FA" w:rsidRDefault="00893D5B" w:rsidP="00893D5B">
      <w:pPr>
        <w:spacing w:after="160" w:line="259" w:lineRule="auto"/>
        <w:rPr>
          <w:b/>
          <w:i/>
          <w:sz w:val="22"/>
          <w:szCs w:val="22"/>
        </w:rPr>
      </w:pPr>
      <w:r w:rsidRPr="000250FA">
        <w:rPr>
          <w:b/>
          <w:sz w:val="22"/>
          <w:szCs w:val="22"/>
        </w:rPr>
        <w:t>74. §</w:t>
      </w:r>
      <w:r w:rsidRPr="000250FA">
        <w:rPr>
          <w:sz w:val="22"/>
          <w:szCs w:val="22"/>
        </w:rPr>
        <w:t xml:space="preserve"> </w:t>
      </w:r>
      <w:r w:rsidRPr="000250FA">
        <w:rPr>
          <w:rStyle w:val="Lbjegyzet-hivatkozs"/>
          <w:sz w:val="22"/>
          <w:szCs w:val="22"/>
        </w:rPr>
        <w:footnoteReference w:id="283"/>
      </w:r>
      <w:r w:rsidRPr="000250FA">
        <w:rPr>
          <w:b/>
          <w:bCs/>
          <w:sz w:val="22"/>
          <w:szCs w:val="22"/>
        </w:rPr>
        <w:t>(</w:t>
      </w:r>
      <w:r w:rsidRPr="000250FA">
        <w:rPr>
          <w:bCs/>
          <w:sz w:val="22"/>
          <w:szCs w:val="22"/>
        </w:rPr>
        <w:t>1) Az Egyetemen létesíthető felsőoktatási tanári munkakörök a következők:</w:t>
      </w:r>
    </w:p>
    <w:p w14:paraId="217BAEC1" w14:textId="77777777" w:rsidR="00893D5B" w:rsidRPr="000250FA" w:rsidRDefault="00893D5B" w:rsidP="00F83E93">
      <w:pPr>
        <w:numPr>
          <w:ilvl w:val="0"/>
          <w:numId w:val="86"/>
        </w:numPr>
        <w:jc w:val="both"/>
        <w:rPr>
          <w:sz w:val="22"/>
          <w:szCs w:val="22"/>
        </w:rPr>
      </w:pPr>
      <w:r w:rsidRPr="000250FA">
        <w:rPr>
          <w:sz w:val="22"/>
          <w:szCs w:val="22"/>
        </w:rPr>
        <w:t>nyelvtanár,</w:t>
      </w:r>
    </w:p>
    <w:p w14:paraId="20EBF24A" w14:textId="77777777" w:rsidR="00893D5B" w:rsidRPr="000250FA" w:rsidRDefault="00893D5B" w:rsidP="00F83E93">
      <w:pPr>
        <w:numPr>
          <w:ilvl w:val="0"/>
          <w:numId w:val="86"/>
        </w:numPr>
        <w:jc w:val="both"/>
        <w:rPr>
          <w:sz w:val="22"/>
          <w:szCs w:val="22"/>
        </w:rPr>
      </w:pPr>
      <w:r w:rsidRPr="000250FA">
        <w:rPr>
          <w:sz w:val="22"/>
          <w:szCs w:val="22"/>
        </w:rPr>
        <w:t>testnevelő tanár,</w:t>
      </w:r>
    </w:p>
    <w:p w14:paraId="16BAC200" w14:textId="77777777" w:rsidR="00893D5B" w:rsidRPr="000250FA" w:rsidRDefault="00893D5B" w:rsidP="00F83E93">
      <w:pPr>
        <w:numPr>
          <w:ilvl w:val="0"/>
          <w:numId w:val="86"/>
        </w:numPr>
        <w:jc w:val="both"/>
        <w:rPr>
          <w:sz w:val="22"/>
          <w:szCs w:val="22"/>
        </w:rPr>
      </w:pPr>
      <w:r w:rsidRPr="000250FA">
        <w:rPr>
          <w:sz w:val="22"/>
          <w:szCs w:val="22"/>
        </w:rPr>
        <w:t>művésztanár,</w:t>
      </w:r>
    </w:p>
    <w:p w14:paraId="15B1278F" w14:textId="77777777" w:rsidR="00893D5B" w:rsidRPr="000250FA" w:rsidRDefault="00893D5B" w:rsidP="00F83E93">
      <w:pPr>
        <w:numPr>
          <w:ilvl w:val="0"/>
          <w:numId w:val="86"/>
        </w:numPr>
        <w:jc w:val="both"/>
        <w:rPr>
          <w:sz w:val="22"/>
          <w:szCs w:val="22"/>
        </w:rPr>
      </w:pPr>
      <w:r w:rsidRPr="000250FA">
        <w:rPr>
          <w:sz w:val="22"/>
          <w:szCs w:val="22"/>
        </w:rPr>
        <w:t xml:space="preserve">mérnöktanár, </w:t>
      </w:r>
    </w:p>
    <w:p w14:paraId="48475D35" w14:textId="77777777" w:rsidR="00893D5B" w:rsidRPr="000250FA" w:rsidRDefault="00893D5B" w:rsidP="00F83E93">
      <w:pPr>
        <w:numPr>
          <w:ilvl w:val="0"/>
          <w:numId w:val="86"/>
        </w:numPr>
        <w:jc w:val="both"/>
        <w:rPr>
          <w:sz w:val="22"/>
          <w:szCs w:val="22"/>
        </w:rPr>
      </w:pPr>
      <w:r w:rsidRPr="000250FA">
        <w:rPr>
          <w:sz w:val="22"/>
          <w:szCs w:val="22"/>
        </w:rPr>
        <w:t>műszaki tanár,</w:t>
      </w:r>
    </w:p>
    <w:p w14:paraId="74CFA64C" w14:textId="77777777" w:rsidR="00893D5B" w:rsidRPr="000250FA" w:rsidRDefault="00893D5B" w:rsidP="00F83E93">
      <w:pPr>
        <w:numPr>
          <w:ilvl w:val="0"/>
          <w:numId w:val="86"/>
        </w:numPr>
        <w:jc w:val="both"/>
        <w:rPr>
          <w:sz w:val="22"/>
          <w:szCs w:val="22"/>
        </w:rPr>
      </w:pPr>
      <w:r w:rsidRPr="000250FA">
        <w:rPr>
          <w:sz w:val="22"/>
          <w:szCs w:val="22"/>
        </w:rPr>
        <w:t>mestertanár,</w:t>
      </w:r>
    </w:p>
    <w:p w14:paraId="5D2BAEF7" w14:textId="77777777" w:rsidR="00893D5B" w:rsidRPr="000250FA" w:rsidRDefault="00893D5B" w:rsidP="00F83E93">
      <w:pPr>
        <w:numPr>
          <w:ilvl w:val="0"/>
          <w:numId w:val="86"/>
        </w:numPr>
        <w:jc w:val="both"/>
        <w:rPr>
          <w:sz w:val="22"/>
          <w:szCs w:val="22"/>
        </w:rPr>
      </w:pPr>
      <w:r w:rsidRPr="000250FA">
        <w:rPr>
          <w:sz w:val="22"/>
          <w:szCs w:val="22"/>
        </w:rPr>
        <w:t>kollégiumi tanár,</w:t>
      </w:r>
    </w:p>
    <w:p w14:paraId="6FE40F39" w14:textId="77777777" w:rsidR="00893D5B" w:rsidRPr="000250FA" w:rsidRDefault="00893D5B" w:rsidP="00893D5B">
      <w:pPr>
        <w:ind w:left="360"/>
        <w:jc w:val="both"/>
        <w:rPr>
          <w:sz w:val="22"/>
          <w:szCs w:val="22"/>
        </w:rPr>
      </w:pPr>
      <w:proofErr w:type="gramStart"/>
      <w:r w:rsidRPr="000250FA">
        <w:rPr>
          <w:sz w:val="22"/>
          <w:szCs w:val="22"/>
        </w:rPr>
        <w:t>h</w:t>
      </w:r>
      <w:proofErr w:type="gramEnd"/>
      <w:r w:rsidRPr="000250FA">
        <w:rPr>
          <w:sz w:val="22"/>
          <w:szCs w:val="22"/>
        </w:rPr>
        <w:t>)</w:t>
      </w:r>
      <w:r w:rsidRPr="000250FA">
        <w:rPr>
          <w:sz w:val="22"/>
          <w:szCs w:val="22"/>
          <w:vertAlign w:val="superscript"/>
        </w:rPr>
        <w:footnoteReference w:id="284"/>
      </w:r>
      <w:r w:rsidRPr="000250FA">
        <w:rPr>
          <w:sz w:val="22"/>
          <w:szCs w:val="22"/>
          <w:vertAlign w:val="superscript"/>
        </w:rPr>
        <w:t xml:space="preserve"> </w:t>
      </w:r>
      <w:r w:rsidRPr="000250FA">
        <w:rPr>
          <w:sz w:val="22"/>
          <w:szCs w:val="22"/>
        </w:rPr>
        <w:t>pedagógus-szakmódszertan tanár.</w:t>
      </w:r>
    </w:p>
    <w:p w14:paraId="1B28E137" w14:textId="77777777" w:rsidR="00893D5B" w:rsidRPr="000250FA" w:rsidRDefault="00893D5B" w:rsidP="00893D5B">
      <w:pPr>
        <w:jc w:val="both"/>
        <w:rPr>
          <w:sz w:val="22"/>
          <w:szCs w:val="22"/>
        </w:rPr>
      </w:pPr>
    </w:p>
    <w:p w14:paraId="0A54B6DA"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w:t>
      </w:r>
      <w:r w:rsidRPr="0037430A">
        <w:rPr>
          <w:sz w:val="22"/>
          <w:szCs w:val="22"/>
        </w:rPr>
        <w:t>)</w:t>
      </w:r>
      <w:r w:rsidRPr="000250FA">
        <w:rPr>
          <w:b/>
          <w:i/>
        </w:rPr>
        <w:t xml:space="preserve"> </w:t>
      </w:r>
      <w:r w:rsidRPr="000250FA">
        <w:rPr>
          <w:sz w:val="22"/>
          <w:szCs w:val="22"/>
        </w:rPr>
        <w:t>Felsőoktatási</w:t>
      </w:r>
      <w:r w:rsidRPr="000250FA">
        <w:rPr>
          <w:bCs/>
          <w:sz w:val="22"/>
          <w:szCs w:val="22"/>
        </w:rPr>
        <w:t xml:space="preserve"> </w:t>
      </w:r>
      <w:r w:rsidRPr="000250FA">
        <w:rPr>
          <w:sz w:val="22"/>
          <w:szCs w:val="22"/>
        </w:rPr>
        <w:t xml:space="preserve">tanári munkakörben az nevezhető ki, aki az e § (3) bekezdésében meghatározott általános feltételeken túl megfelel a 74. § - 81. §-okban meghatározott </w:t>
      </w:r>
      <w:proofErr w:type="gramStart"/>
      <w:r w:rsidRPr="000250FA">
        <w:rPr>
          <w:sz w:val="22"/>
          <w:szCs w:val="22"/>
        </w:rPr>
        <w:t>speciális</w:t>
      </w:r>
      <w:proofErr w:type="gramEnd"/>
      <w:r w:rsidRPr="000250FA">
        <w:rPr>
          <w:sz w:val="22"/>
          <w:szCs w:val="22"/>
        </w:rPr>
        <w:t xml:space="preserve"> követelményeknek.</w:t>
      </w:r>
    </w:p>
    <w:p w14:paraId="6EF781B0" w14:textId="77777777" w:rsidR="00893D5B" w:rsidRPr="000250FA" w:rsidRDefault="00893D5B" w:rsidP="00893D5B">
      <w:pPr>
        <w:jc w:val="both"/>
        <w:rPr>
          <w:sz w:val="22"/>
          <w:szCs w:val="22"/>
        </w:rPr>
      </w:pPr>
    </w:p>
    <w:p w14:paraId="28373B7E" w14:textId="77777777" w:rsidR="00893D5B" w:rsidRPr="000250FA" w:rsidRDefault="00893D5B" w:rsidP="00893D5B">
      <w:pPr>
        <w:jc w:val="both"/>
        <w:rPr>
          <w:sz w:val="22"/>
          <w:szCs w:val="22"/>
        </w:rPr>
      </w:pPr>
      <w:r w:rsidRPr="000250FA">
        <w:rPr>
          <w:sz w:val="22"/>
          <w:szCs w:val="22"/>
        </w:rPr>
        <w:t>(3) Felsőoktatási</w:t>
      </w:r>
      <w:r w:rsidRPr="000250FA">
        <w:rPr>
          <w:bCs/>
          <w:sz w:val="22"/>
          <w:szCs w:val="22"/>
        </w:rPr>
        <w:t xml:space="preserve"> </w:t>
      </w:r>
      <w:r w:rsidRPr="000250FA">
        <w:rPr>
          <w:sz w:val="22"/>
          <w:szCs w:val="22"/>
        </w:rPr>
        <w:t>tanári munkakörben az foglalkoztatható, aki felsőfokú végzettséggel és szakképzettséggel rendelkezik.</w:t>
      </w:r>
    </w:p>
    <w:p w14:paraId="69F222AB" w14:textId="77777777" w:rsidR="00893D5B" w:rsidRPr="000250FA" w:rsidRDefault="00893D5B" w:rsidP="00893D5B">
      <w:pPr>
        <w:tabs>
          <w:tab w:val="left" w:pos="9781"/>
        </w:tabs>
        <w:ind w:right="-144"/>
        <w:jc w:val="both"/>
        <w:rPr>
          <w:i/>
          <w:sz w:val="22"/>
          <w:szCs w:val="22"/>
        </w:rPr>
      </w:pPr>
    </w:p>
    <w:p w14:paraId="0928E86B" w14:textId="77777777" w:rsidR="00893D5B" w:rsidRPr="000250FA" w:rsidRDefault="00893D5B" w:rsidP="00893D5B">
      <w:pPr>
        <w:pStyle w:val="Cmsor4"/>
      </w:pPr>
      <w:bookmarkStart w:id="193" w:name="_Toc432753583"/>
      <w:r w:rsidRPr="000250FA">
        <w:t>A nyelvtanár</w:t>
      </w:r>
      <w:bookmarkEnd w:id="193"/>
    </w:p>
    <w:p w14:paraId="016912BD" w14:textId="77777777" w:rsidR="00893D5B" w:rsidRPr="000250FA" w:rsidRDefault="00893D5B" w:rsidP="00893D5B">
      <w:pPr>
        <w:rPr>
          <w:sz w:val="22"/>
          <w:szCs w:val="22"/>
        </w:rPr>
      </w:pPr>
    </w:p>
    <w:p w14:paraId="3700832D" w14:textId="77777777" w:rsidR="00893D5B" w:rsidRPr="000250FA" w:rsidRDefault="00893D5B" w:rsidP="00893D5B">
      <w:pPr>
        <w:rPr>
          <w:sz w:val="22"/>
          <w:szCs w:val="22"/>
        </w:rPr>
      </w:pPr>
      <w:r w:rsidRPr="000250FA">
        <w:rPr>
          <w:b/>
          <w:sz w:val="22"/>
          <w:szCs w:val="22"/>
        </w:rPr>
        <w:t xml:space="preserve">75. § </w:t>
      </w:r>
      <w:r w:rsidRPr="000250FA">
        <w:rPr>
          <w:sz w:val="22"/>
          <w:szCs w:val="22"/>
        </w:rPr>
        <w:t>(1) A nyelvtanár kinevezésének feltételei:</w:t>
      </w:r>
    </w:p>
    <w:p w14:paraId="29B516C3" w14:textId="77777777" w:rsidR="00893D5B" w:rsidRPr="000250FA" w:rsidRDefault="00893D5B" w:rsidP="00893D5B">
      <w:pPr>
        <w:rPr>
          <w:sz w:val="22"/>
          <w:szCs w:val="22"/>
        </w:rPr>
      </w:pPr>
    </w:p>
    <w:p w14:paraId="23370BBC" w14:textId="77777777" w:rsidR="00893D5B" w:rsidRPr="000250FA" w:rsidRDefault="00893D5B" w:rsidP="00F83E93">
      <w:pPr>
        <w:numPr>
          <w:ilvl w:val="0"/>
          <w:numId w:val="87"/>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végzettség az oktatandó nyelvből,</w:t>
      </w:r>
    </w:p>
    <w:p w14:paraId="11C9FD6C" w14:textId="77777777" w:rsidR="00893D5B" w:rsidRPr="000250FA" w:rsidRDefault="00893D5B" w:rsidP="00F83E93">
      <w:pPr>
        <w:numPr>
          <w:ilvl w:val="0"/>
          <w:numId w:val="87"/>
        </w:numPr>
        <w:jc w:val="both"/>
        <w:rPr>
          <w:sz w:val="22"/>
          <w:szCs w:val="22"/>
        </w:rPr>
      </w:pPr>
      <w:r w:rsidRPr="000250FA">
        <w:rPr>
          <w:sz w:val="22"/>
          <w:szCs w:val="22"/>
        </w:rPr>
        <w:t>legalább kétéves oktatási gyakorlat.</w:t>
      </w:r>
    </w:p>
    <w:p w14:paraId="0D0BCEB6" w14:textId="77777777" w:rsidR="00893D5B" w:rsidRPr="000250FA" w:rsidRDefault="00893D5B" w:rsidP="00893D5B">
      <w:pPr>
        <w:rPr>
          <w:sz w:val="22"/>
          <w:szCs w:val="22"/>
        </w:rPr>
      </w:pPr>
    </w:p>
    <w:p w14:paraId="1905D19E" w14:textId="77777777" w:rsidR="00893D5B" w:rsidRPr="000250FA" w:rsidRDefault="00893D5B" w:rsidP="00893D5B">
      <w:pPr>
        <w:rPr>
          <w:sz w:val="22"/>
          <w:szCs w:val="22"/>
        </w:rPr>
      </w:pPr>
      <w:r w:rsidRPr="000250FA">
        <w:rPr>
          <w:sz w:val="22"/>
          <w:szCs w:val="22"/>
        </w:rPr>
        <w:t>(2) A nyelvtanár folyamatos alkalmazásának követelményei:</w:t>
      </w:r>
    </w:p>
    <w:p w14:paraId="0F476867" w14:textId="77777777" w:rsidR="00893D5B" w:rsidRPr="000250FA" w:rsidRDefault="00893D5B" w:rsidP="00893D5B">
      <w:pPr>
        <w:rPr>
          <w:sz w:val="22"/>
          <w:szCs w:val="22"/>
        </w:rPr>
      </w:pPr>
    </w:p>
    <w:p w14:paraId="417CEE44" w14:textId="77777777" w:rsidR="00893D5B" w:rsidRPr="000250FA" w:rsidRDefault="00893D5B" w:rsidP="00F83E93">
      <w:pPr>
        <w:numPr>
          <w:ilvl w:val="0"/>
          <w:numId w:val="88"/>
        </w:numPr>
        <w:jc w:val="both"/>
        <w:rPr>
          <w:sz w:val="22"/>
          <w:szCs w:val="22"/>
        </w:rPr>
      </w:pPr>
      <w:r w:rsidRPr="000250FA">
        <w:rPr>
          <w:sz w:val="22"/>
          <w:szCs w:val="22"/>
        </w:rPr>
        <w:t>az oktatott nyelv alapos és széleskörű ismerete, a gyakorlati foglalkozások anyagának összeállításához a foglalkozások vezetéséhez és a vizsgáztatáshoz szükséges felkészültség,</w:t>
      </w:r>
    </w:p>
    <w:p w14:paraId="70CD7F0A" w14:textId="77777777" w:rsidR="00893D5B" w:rsidRPr="000250FA" w:rsidRDefault="00893D5B" w:rsidP="00F83E93">
      <w:pPr>
        <w:numPr>
          <w:ilvl w:val="0"/>
          <w:numId w:val="88"/>
        </w:numPr>
        <w:jc w:val="both"/>
        <w:rPr>
          <w:sz w:val="22"/>
          <w:szCs w:val="22"/>
        </w:rPr>
      </w:pPr>
      <w:r w:rsidRPr="000250FA">
        <w:rPr>
          <w:sz w:val="22"/>
          <w:szCs w:val="22"/>
        </w:rPr>
        <w:t>közreműködés oktatási segédletek, jegyzetek megírásában,</w:t>
      </w:r>
    </w:p>
    <w:p w14:paraId="168FA8C2" w14:textId="77777777" w:rsidR="00893D5B" w:rsidRPr="000250FA" w:rsidRDefault="00893D5B" w:rsidP="00F83E93">
      <w:pPr>
        <w:numPr>
          <w:ilvl w:val="0"/>
          <w:numId w:val="88"/>
        </w:numPr>
        <w:jc w:val="both"/>
        <w:rPr>
          <w:sz w:val="22"/>
          <w:szCs w:val="22"/>
        </w:rPr>
      </w:pPr>
      <w:r w:rsidRPr="000250FA">
        <w:rPr>
          <w:sz w:val="22"/>
          <w:szCs w:val="22"/>
        </w:rPr>
        <w:lastRenderedPageBreak/>
        <w:t>a nyelvek, a nyelvhasználat iránti mélyebb érdeklődés felkeltése, az idegen nyelvet eszközként használó hallgatók munkájának támogatása,</w:t>
      </w:r>
    </w:p>
    <w:p w14:paraId="2049D359" w14:textId="77777777" w:rsidR="00893D5B" w:rsidRPr="000250FA" w:rsidRDefault="00893D5B" w:rsidP="00F83E93">
      <w:pPr>
        <w:numPr>
          <w:ilvl w:val="0"/>
          <w:numId w:val="88"/>
        </w:numPr>
        <w:jc w:val="both"/>
        <w:rPr>
          <w:sz w:val="22"/>
          <w:szCs w:val="22"/>
        </w:rPr>
      </w:pPr>
      <w:r w:rsidRPr="000250FA">
        <w:rPr>
          <w:sz w:val="22"/>
          <w:szCs w:val="22"/>
        </w:rPr>
        <w:t>tevékeny részvétel az oktatóhelyi, lektorátusi és a szakmai közéletben.</w:t>
      </w:r>
    </w:p>
    <w:p w14:paraId="4B3DD200" w14:textId="77777777" w:rsidR="00893D5B" w:rsidRPr="000250FA" w:rsidRDefault="00893D5B" w:rsidP="00893D5B">
      <w:pPr>
        <w:tabs>
          <w:tab w:val="left" w:pos="9781"/>
        </w:tabs>
        <w:ind w:right="-144"/>
        <w:rPr>
          <w:sz w:val="22"/>
          <w:szCs w:val="22"/>
        </w:rPr>
      </w:pPr>
    </w:p>
    <w:p w14:paraId="1DAE2D95" w14:textId="77777777" w:rsidR="00893D5B" w:rsidRPr="000250FA" w:rsidRDefault="00893D5B" w:rsidP="00893D5B">
      <w:pPr>
        <w:tabs>
          <w:tab w:val="left" w:pos="9781"/>
        </w:tabs>
        <w:ind w:right="-144"/>
        <w:jc w:val="both"/>
        <w:rPr>
          <w:sz w:val="22"/>
          <w:szCs w:val="22"/>
        </w:rPr>
      </w:pPr>
      <w:r w:rsidRPr="000250FA">
        <w:rPr>
          <w:sz w:val="22"/>
          <w:szCs w:val="22"/>
        </w:rPr>
        <w:t>(3) A nyelvtanárokkal szemben támasztott követelményeket a lektorokkal szemben megfelelően kell alkalmazni.</w:t>
      </w:r>
    </w:p>
    <w:p w14:paraId="3E176FF7" w14:textId="77777777" w:rsidR="00893D5B" w:rsidRPr="000250FA" w:rsidRDefault="00893D5B" w:rsidP="00893D5B">
      <w:pPr>
        <w:tabs>
          <w:tab w:val="left" w:pos="9781"/>
        </w:tabs>
        <w:ind w:right="-144"/>
        <w:jc w:val="both"/>
        <w:rPr>
          <w:sz w:val="22"/>
          <w:szCs w:val="22"/>
        </w:rPr>
      </w:pPr>
    </w:p>
    <w:p w14:paraId="242F3178" w14:textId="77777777" w:rsidR="00893D5B" w:rsidRPr="000250FA" w:rsidRDefault="00893D5B" w:rsidP="00893D5B">
      <w:pPr>
        <w:pStyle w:val="Cmsor4"/>
      </w:pPr>
      <w:bookmarkStart w:id="194" w:name="_Toc432753584"/>
      <w:r w:rsidRPr="000250FA">
        <w:t>A testnevelő tanár</w:t>
      </w:r>
      <w:bookmarkEnd w:id="194"/>
    </w:p>
    <w:p w14:paraId="4189A129" w14:textId="77777777" w:rsidR="00893D5B" w:rsidRPr="000250FA" w:rsidRDefault="00893D5B" w:rsidP="00893D5B">
      <w:pPr>
        <w:rPr>
          <w:sz w:val="22"/>
          <w:szCs w:val="22"/>
        </w:rPr>
      </w:pPr>
    </w:p>
    <w:p w14:paraId="57F87032" w14:textId="77777777" w:rsidR="00893D5B" w:rsidRPr="000250FA" w:rsidRDefault="00893D5B" w:rsidP="00893D5B">
      <w:pPr>
        <w:rPr>
          <w:sz w:val="22"/>
          <w:szCs w:val="22"/>
        </w:rPr>
      </w:pPr>
      <w:r w:rsidRPr="000250FA">
        <w:rPr>
          <w:b/>
          <w:sz w:val="22"/>
          <w:szCs w:val="22"/>
        </w:rPr>
        <w:t>76. §</w:t>
      </w:r>
      <w:r w:rsidRPr="000250FA">
        <w:rPr>
          <w:sz w:val="22"/>
          <w:szCs w:val="22"/>
        </w:rPr>
        <w:t xml:space="preserve"> (1) A testnevelő tanár kinevezésének feltételei:</w:t>
      </w:r>
    </w:p>
    <w:p w14:paraId="70F500E2" w14:textId="77777777" w:rsidR="00893D5B" w:rsidRPr="000250FA" w:rsidRDefault="00893D5B" w:rsidP="00893D5B">
      <w:pPr>
        <w:rPr>
          <w:sz w:val="22"/>
          <w:szCs w:val="22"/>
        </w:rPr>
      </w:pPr>
    </w:p>
    <w:p w14:paraId="022FCC53" w14:textId="77777777" w:rsidR="00893D5B" w:rsidRPr="000250FA" w:rsidRDefault="00893D5B" w:rsidP="00F83E93">
      <w:pPr>
        <w:numPr>
          <w:ilvl w:val="0"/>
          <w:numId w:val="89"/>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és szakirányú végzettséget tanúsító oklevél,</w:t>
      </w:r>
    </w:p>
    <w:p w14:paraId="7EBE471E" w14:textId="77777777" w:rsidR="00893D5B" w:rsidRPr="000250FA" w:rsidRDefault="00893D5B" w:rsidP="00F83E93">
      <w:pPr>
        <w:numPr>
          <w:ilvl w:val="0"/>
          <w:numId w:val="89"/>
        </w:numPr>
        <w:jc w:val="both"/>
        <w:rPr>
          <w:sz w:val="22"/>
          <w:szCs w:val="22"/>
        </w:rPr>
      </w:pPr>
      <w:r w:rsidRPr="000250FA">
        <w:rPr>
          <w:sz w:val="22"/>
          <w:szCs w:val="22"/>
        </w:rPr>
        <w:t>legalább kétéves oktatási tapasztalat;</w:t>
      </w:r>
    </w:p>
    <w:p w14:paraId="64BB483A" w14:textId="77777777" w:rsidR="00893D5B" w:rsidRPr="000250FA" w:rsidRDefault="00893D5B" w:rsidP="00F83E93">
      <w:pPr>
        <w:numPr>
          <w:ilvl w:val="0"/>
          <w:numId w:val="89"/>
        </w:numPr>
        <w:jc w:val="both"/>
        <w:rPr>
          <w:sz w:val="22"/>
          <w:szCs w:val="22"/>
        </w:rPr>
      </w:pPr>
      <w:r w:rsidRPr="000250FA">
        <w:rPr>
          <w:sz w:val="22"/>
          <w:szCs w:val="22"/>
        </w:rPr>
        <w:t xml:space="preserve">legalább egy idegen </w:t>
      </w:r>
      <w:proofErr w:type="gramStart"/>
      <w:r w:rsidRPr="000250FA">
        <w:rPr>
          <w:sz w:val="22"/>
          <w:szCs w:val="22"/>
        </w:rPr>
        <w:t>nyelv oktatáshoz</w:t>
      </w:r>
      <w:proofErr w:type="gramEnd"/>
      <w:r w:rsidRPr="000250FA">
        <w:rPr>
          <w:sz w:val="22"/>
          <w:szCs w:val="22"/>
        </w:rPr>
        <w:t xml:space="preserve"> és sportszervezéshez szükséges társalgási szintű ismerete.</w:t>
      </w:r>
    </w:p>
    <w:p w14:paraId="7FCED36D" w14:textId="77777777" w:rsidR="00893D5B" w:rsidRPr="000250FA" w:rsidRDefault="00893D5B" w:rsidP="00893D5B">
      <w:pPr>
        <w:rPr>
          <w:sz w:val="22"/>
          <w:szCs w:val="22"/>
        </w:rPr>
      </w:pPr>
    </w:p>
    <w:p w14:paraId="3C91EE31" w14:textId="77777777" w:rsidR="00893D5B" w:rsidRPr="000250FA" w:rsidRDefault="00893D5B" w:rsidP="00893D5B">
      <w:pPr>
        <w:rPr>
          <w:sz w:val="22"/>
          <w:szCs w:val="22"/>
        </w:rPr>
      </w:pPr>
      <w:r w:rsidRPr="000250FA">
        <w:rPr>
          <w:sz w:val="22"/>
          <w:szCs w:val="22"/>
        </w:rPr>
        <w:t>(2) A testnevelő tanárok folyamatos alkalmazásának követelményei:</w:t>
      </w:r>
    </w:p>
    <w:p w14:paraId="456B8F5D" w14:textId="77777777" w:rsidR="00893D5B" w:rsidRPr="000250FA" w:rsidRDefault="00893D5B" w:rsidP="00893D5B">
      <w:pPr>
        <w:rPr>
          <w:sz w:val="22"/>
          <w:szCs w:val="22"/>
        </w:rPr>
      </w:pPr>
    </w:p>
    <w:p w14:paraId="4A67BA27" w14:textId="77777777" w:rsidR="00893D5B" w:rsidRPr="000250FA" w:rsidRDefault="00893D5B" w:rsidP="00F83E93">
      <w:pPr>
        <w:numPr>
          <w:ilvl w:val="0"/>
          <w:numId w:val="90"/>
        </w:numPr>
        <w:jc w:val="both"/>
        <w:rPr>
          <w:sz w:val="22"/>
          <w:szCs w:val="22"/>
        </w:rPr>
      </w:pPr>
      <w:r w:rsidRPr="000250FA">
        <w:rPr>
          <w:sz w:val="22"/>
          <w:szCs w:val="22"/>
        </w:rPr>
        <w:t>az oktatott szakágak (sportágak) magas szintű elméleti és gyakorlati ismeretének folyamatos fejlesztése,</w:t>
      </w:r>
    </w:p>
    <w:p w14:paraId="085D3C11" w14:textId="77777777" w:rsidR="00893D5B" w:rsidRPr="000250FA" w:rsidRDefault="00893D5B" w:rsidP="00F83E93">
      <w:pPr>
        <w:numPr>
          <w:ilvl w:val="0"/>
          <w:numId w:val="90"/>
        </w:numPr>
        <w:jc w:val="both"/>
        <w:rPr>
          <w:sz w:val="22"/>
          <w:szCs w:val="22"/>
        </w:rPr>
      </w:pPr>
      <w:r w:rsidRPr="000250FA">
        <w:rPr>
          <w:sz w:val="22"/>
          <w:szCs w:val="22"/>
        </w:rPr>
        <w:t>általános tájékozottság a testnevelés és sport adott szakági gyakorlatában és szakirodalmában,</w:t>
      </w:r>
    </w:p>
    <w:p w14:paraId="7BD6201B" w14:textId="77777777" w:rsidR="00893D5B" w:rsidRPr="000250FA" w:rsidRDefault="00893D5B" w:rsidP="00F83E93">
      <w:pPr>
        <w:numPr>
          <w:ilvl w:val="0"/>
          <w:numId w:val="90"/>
        </w:numPr>
        <w:jc w:val="both"/>
        <w:rPr>
          <w:sz w:val="22"/>
          <w:szCs w:val="22"/>
        </w:rPr>
      </w:pPr>
      <w:r w:rsidRPr="000250FA">
        <w:rPr>
          <w:sz w:val="22"/>
          <w:szCs w:val="22"/>
        </w:rPr>
        <w:t>a nyelvtudás folyamatos szinten tartása illetve fejlesztése,</w:t>
      </w:r>
    </w:p>
    <w:p w14:paraId="609A9408" w14:textId="77777777" w:rsidR="00893D5B" w:rsidRPr="000250FA" w:rsidRDefault="00893D5B" w:rsidP="00F83E93">
      <w:pPr>
        <w:numPr>
          <w:ilvl w:val="0"/>
          <w:numId w:val="90"/>
        </w:numPr>
        <w:jc w:val="both"/>
        <w:rPr>
          <w:sz w:val="22"/>
          <w:szCs w:val="22"/>
        </w:rPr>
      </w:pPr>
      <w:r w:rsidRPr="000250FA">
        <w:rPr>
          <w:sz w:val="22"/>
          <w:szCs w:val="22"/>
        </w:rPr>
        <w:t xml:space="preserve">a tanórán kívüli testnevelésben, az egyetemi sportmunkában való </w:t>
      </w:r>
      <w:proofErr w:type="gramStart"/>
      <w:r w:rsidRPr="000250FA">
        <w:rPr>
          <w:sz w:val="22"/>
          <w:szCs w:val="22"/>
        </w:rPr>
        <w:t>aktív</w:t>
      </w:r>
      <w:proofErr w:type="gramEnd"/>
      <w:r w:rsidRPr="000250FA">
        <w:rPr>
          <w:sz w:val="22"/>
          <w:szCs w:val="22"/>
        </w:rPr>
        <w:t xml:space="preserve"> részvétel,</w:t>
      </w:r>
    </w:p>
    <w:p w14:paraId="252DEA39" w14:textId="77777777" w:rsidR="00893D5B" w:rsidRPr="000250FA" w:rsidRDefault="00893D5B" w:rsidP="00F83E93">
      <w:pPr>
        <w:numPr>
          <w:ilvl w:val="0"/>
          <w:numId w:val="90"/>
        </w:numPr>
        <w:jc w:val="both"/>
        <w:rPr>
          <w:sz w:val="22"/>
          <w:szCs w:val="22"/>
        </w:rPr>
      </w:pPr>
      <w:r w:rsidRPr="000250FA">
        <w:rPr>
          <w:sz w:val="22"/>
          <w:szCs w:val="22"/>
        </w:rPr>
        <w:t>bekapcsolódás az egyetemi sportegyesület sportéletének vitelébe.</w:t>
      </w:r>
    </w:p>
    <w:p w14:paraId="6D7F5516" w14:textId="77777777" w:rsidR="00893D5B" w:rsidRPr="000250FA" w:rsidRDefault="00893D5B" w:rsidP="00893D5B">
      <w:pPr>
        <w:tabs>
          <w:tab w:val="left" w:pos="9781"/>
        </w:tabs>
        <w:ind w:right="-144"/>
        <w:jc w:val="center"/>
        <w:rPr>
          <w:b/>
          <w:sz w:val="22"/>
          <w:szCs w:val="22"/>
        </w:rPr>
      </w:pPr>
    </w:p>
    <w:p w14:paraId="48F018AA" w14:textId="77777777" w:rsidR="00893D5B" w:rsidRPr="000250FA" w:rsidRDefault="00893D5B" w:rsidP="00893D5B">
      <w:pPr>
        <w:pStyle w:val="Cmsor4"/>
      </w:pPr>
      <w:bookmarkStart w:id="195" w:name="_Toc432753585"/>
      <w:r w:rsidRPr="000250FA">
        <w:t>A művésztanár</w:t>
      </w:r>
      <w:bookmarkEnd w:id="195"/>
    </w:p>
    <w:p w14:paraId="3DEF0C59" w14:textId="77777777" w:rsidR="00893D5B" w:rsidRPr="000250FA" w:rsidRDefault="00893D5B" w:rsidP="00893D5B">
      <w:pPr>
        <w:rPr>
          <w:sz w:val="22"/>
          <w:szCs w:val="22"/>
        </w:rPr>
      </w:pPr>
    </w:p>
    <w:p w14:paraId="16B97CF7" w14:textId="77777777" w:rsidR="00893D5B" w:rsidRPr="000250FA" w:rsidRDefault="00893D5B" w:rsidP="00893D5B">
      <w:pPr>
        <w:rPr>
          <w:sz w:val="22"/>
          <w:szCs w:val="22"/>
        </w:rPr>
      </w:pPr>
      <w:r w:rsidRPr="000250FA">
        <w:rPr>
          <w:b/>
          <w:sz w:val="22"/>
          <w:szCs w:val="22"/>
        </w:rPr>
        <w:t xml:space="preserve">77. </w:t>
      </w:r>
      <w:r w:rsidRPr="000250FA">
        <w:rPr>
          <w:sz w:val="22"/>
          <w:szCs w:val="22"/>
        </w:rPr>
        <w:t>§ (1) A művésztanárok kinevezésének feltételei:</w:t>
      </w:r>
    </w:p>
    <w:p w14:paraId="64FBBFE8" w14:textId="77777777" w:rsidR="00893D5B" w:rsidRPr="000250FA" w:rsidRDefault="00893D5B" w:rsidP="00893D5B">
      <w:pPr>
        <w:rPr>
          <w:sz w:val="22"/>
          <w:szCs w:val="22"/>
        </w:rPr>
      </w:pPr>
    </w:p>
    <w:p w14:paraId="28FE1F9E" w14:textId="77777777" w:rsidR="00893D5B" w:rsidRPr="000250FA" w:rsidRDefault="00893D5B" w:rsidP="00F83E93">
      <w:pPr>
        <w:numPr>
          <w:ilvl w:val="0"/>
          <w:numId w:val="91"/>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és szakirányú végzettséget tanúsító oklevél,</w:t>
      </w:r>
    </w:p>
    <w:p w14:paraId="380FBF4C" w14:textId="77777777" w:rsidR="00893D5B" w:rsidRPr="000250FA" w:rsidRDefault="00893D5B" w:rsidP="00F83E93">
      <w:pPr>
        <w:numPr>
          <w:ilvl w:val="0"/>
          <w:numId w:val="91"/>
        </w:numPr>
        <w:jc w:val="both"/>
        <w:rPr>
          <w:sz w:val="22"/>
          <w:szCs w:val="22"/>
        </w:rPr>
      </w:pPr>
      <w:r w:rsidRPr="000250FA">
        <w:rPr>
          <w:sz w:val="22"/>
          <w:szCs w:val="22"/>
        </w:rPr>
        <w:t>legalább kétéves oktatási tapasztalat,</w:t>
      </w:r>
    </w:p>
    <w:p w14:paraId="4F2AAAB7" w14:textId="77777777" w:rsidR="00893D5B" w:rsidRPr="000250FA" w:rsidRDefault="00893D5B" w:rsidP="00F83E93">
      <w:pPr>
        <w:numPr>
          <w:ilvl w:val="0"/>
          <w:numId w:val="91"/>
        </w:numPr>
        <w:jc w:val="both"/>
        <w:rPr>
          <w:sz w:val="22"/>
          <w:szCs w:val="22"/>
        </w:rPr>
      </w:pPr>
      <w:r w:rsidRPr="000250FA">
        <w:rPr>
          <w:sz w:val="22"/>
          <w:szCs w:val="22"/>
        </w:rPr>
        <w:t xml:space="preserve">legalább egy idegen </w:t>
      </w:r>
      <w:proofErr w:type="gramStart"/>
      <w:r w:rsidRPr="000250FA">
        <w:rPr>
          <w:sz w:val="22"/>
          <w:szCs w:val="22"/>
        </w:rPr>
        <w:t>nyelv oktatáshoz</w:t>
      </w:r>
      <w:proofErr w:type="gramEnd"/>
      <w:r w:rsidRPr="000250FA">
        <w:rPr>
          <w:sz w:val="22"/>
          <w:szCs w:val="22"/>
        </w:rPr>
        <w:t xml:space="preserve"> szükséges társalgási szintű ismerete.</w:t>
      </w:r>
    </w:p>
    <w:p w14:paraId="32E3FBBC" w14:textId="77777777" w:rsidR="00893D5B" w:rsidRPr="000250FA" w:rsidRDefault="00893D5B" w:rsidP="00893D5B">
      <w:pPr>
        <w:jc w:val="both"/>
        <w:rPr>
          <w:sz w:val="22"/>
          <w:szCs w:val="22"/>
        </w:rPr>
      </w:pPr>
    </w:p>
    <w:p w14:paraId="6F3D192F" w14:textId="77777777" w:rsidR="00893D5B" w:rsidRPr="000250FA" w:rsidRDefault="00893D5B" w:rsidP="00893D5B">
      <w:pPr>
        <w:rPr>
          <w:sz w:val="22"/>
          <w:szCs w:val="22"/>
        </w:rPr>
      </w:pPr>
      <w:r w:rsidRPr="000250FA">
        <w:rPr>
          <w:sz w:val="22"/>
          <w:szCs w:val="22"/>
        </w:rPr>
        <w:t>(2) A művésztanárok folyamatos alkalmazásának követelményei:</w:t>
      </w:r>
    </w:p>
    <w:p w14:paraId="15FC21A1" w14:textId="77777777" w:rsidR="00893D5B" w:rsidRPr="000250FA" w:rsidRDefault="00893D5B" w:rsidP="00893D5B">
      <w:pPr>
        <w:rPr>
          <w:sz w:val="22"/>
          <w:szCs w:val="22"/>
        </w:rPr>
      </w:pPr>
    </w:p>
    <w:p w14:paraId="04A2D337" w14:textId="77777777" w:rsidR="00893D5B" w:rsidRPr="000250FA" w:rsidRDefault="00893D5B" w:rsidP="00F83E93">
      <w:pPr>
        <w:numPr>
          <w:ilvl w:val="0"/>
          <w:numId w:val="92"/>
        </w:numPr>
        <w:jc w:val="both"/>
        <w:rPr>
          <w:sz w:val="22"/>
          <w:szCs w:val="22"/>
        </w:rPr>
      </w:pPr>
      <w:r w:rsidRPr="000250FA">
        <w:rPr>
          <w:sz w:val="22"/>
          <w:szCs w:val="22"/>
        </w:rPr>
        <w:t>az oktatott művészeti ág magas szintű elméleti és gyakorlati ismerete, folyamatos fejlesztése,</w:t>
      </w:r>
    </w:p>
    <w:p w14:paraId="758DA185" w14:textId="77777777" w:rsidR="00893D5B" w:rsidRPr="000250FA" w:rsidRDefault="00893D5B" w:rsidP="00F83E93">
      <w:pPr>
        <w:numPr>
          <w:ilvl w:val="0"/>
          <w:numId w:val="92"/>
        </w:numPr>
        <w:jc w:val="both"/>
        <w:rPr>
          <w:sz w:val="22"/>
          <w:szCs w:val="22"/>
        </w:rPr>
      </w:pPr>
      <w:r w:rsidRPr="000250FA">
        <w:rPr>
          <w:sz w:val="22"/>
          <w:szCs w:val="22"/>
        </w:rPr>
        <w:t>általános tájékozottság a művészeti ág gyakorlatában és szakirodalmában,</w:t>
      </w:r>
    </w:p>
    <w:p w14:paraId="557A6287" w14:textId="77777777" w:rsidR="00893D5B" w:rsidRPr="000250FA" w:rsidRDefault="00893D5B" w:rsidP="00F83E93">
      <w:pPr>
        <w:numPr>
          <w:ilvl w:val="0"/>
          <w:numId w:val="92"/>
        </w:numPr>
        <w:jc w:val="both"/>
        <w:rPr>
          <w:sz w:val="22"/>
          <w:szCs w:val="22"/>
        </w:rPr>
      </w:pPr>
      <w:r w:rsidRPr="000250FA">
        <w:rPr>
          <w:sz w:val="22"/>
          <w:szCs w:val="22"/>
        </w:rPr>
        <w:t>a nyelvtudás folyamatos szinten tartása illetve fejlesztése.</w:t>
      </w:r>
    </w:p>
    <w:p w14:paraId="5322AE95" w14:textId="77777777" w:rsidR="00893D5B" w:rsidRPr="000250FA" w:rsidRDefault="00893D5B" w:rsidP="00893D5B">
      <w:pPr>
        <w:tabs>
          <w:tab w:val="left" w:pos="9781"/>
        </w:tabs>
        <w:ind w:right="-144"/>
        <w:jc w:val="center"/>
        <w:rPr>
          <w:sz w:val="22"/>
          <w:szCs w:val="22"/>
        </w:rPr>
      </w:pPr>
    </w:p>
    <w:p w14:paraId="7490664A" w14:textId="77777777" w:rsidR="00893D5B" w:rsidRPr="000250FA" w:rsidRDefault="00893D5B" w:rsidP="00893D5B">
      <w:pPr>
        <w:pStyle w:val="Cmsor4"/>
      </w:pPr>
      <w:bookmarkStart w:id="196" w:name="_Toc432753586"/>
      <w:r w:rsidRPr="000250FA">
        <w:t>A mérnöktanár, műszaki tanár</w:t>
      </w:r>
      <w:bookmarkEnd w:id="196"/>
    </w:p>
    <w:p w14:paraId="62B10EC1" w14:textId="77777777" w:rsidR="00893D5B" w:rsidRPr="000250FA" w:rsidRDefault="00893D5B" w:rsidP="00893D5B">
      <w:pPr>
        <w:rPr>
          <w:sz w:val="22"/>
          <w:szCs w:val="22"/>
        </w:rPr>
      </w:pPr>
    </w:p>
    <w:p w14:paraId="3D8FF547" w14:textId="77777777" w:rsidR="00893D5B" w:rsidRPr="000250FA" w:rsidRDefault="00893D5B" w:rsidP="00893D5B">
      <w:pPr>
        <w:jc w:val="both"/>
        <w:rPr>
          <w:sz w:val="22"/>
          <w:szCs w:val="22"/>
        </w:rPr>
      </w:pPr>
      <w:r w:rsidRPr="000250FA">
        <w:rPr>
          <w:b/>
          <w:sz w:val="22"/>
          <w:szCs w:val="22"/>
        </w:rPr>
        <w:t>78. §</w:t>
      </w:r>
      <w:r w:rsidRPr="000250FA">
        <w:rPr>
          <w:sz w:val="22"/>
          <w:szCs w:val="22"/>
        </w:rPr>
        <w:t xml:space="preserve"> (1) A mérnöktanár, műszaki tanárok</w:t>
      </w:r>
      <w:r w:rsidRPr="000250FA">
        <w:rPr>
          <w:i/>
          <w:sz w:val="22"/>
          <w:szCs w:val="22"/>
        </w:rPr>
        <w:t xml:space="preserve"> </w:t>
      </w:r>
      <w:r w:rsidRPr="000250FA">
        <w:rPr>
          <w:sz w:val="22"/>
          <w:szCs w:val="22"/>
        </w:rPr>
        <w:t>kinevezésének feltételei:</w:t>
      </w:r>
    </w:p>
    <w:p w14:paraId="56C18599" w14:textId="77777777" w:rsidR="00893D5B" w:rsidRPr="000250FA" w:rsidRDefault="00893D5B" w:rsidP="00893D5B">
      <w:pPr>
        <w:rPr>
          <w:sz w:val="22"/>
          <w:szCs w:val="22"/>
        </w:rPr>
      </w:pPr>
    </w:p>
    <w:p w14:paraId="592F327F" w14:textId="77777777" w:rsidR="00893D5B" w:rsidRPr="000250FA" w:rsidRDefault="00893D5B" w:rsidP="00F83E93">
      <w:pPr>
        <w:numPr>
          <w:ilvl w:val="0"/>
          <w:numId w:val="93"/>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és szakirányú végzettséget tanúsító oklevél,</w:t>
      </w:r>
    </w:p>
    <w:p w14:paraId="02B10BE8" w14:textId="77777777" w:rsidR="00893D5B" w:rsidRPr="000250FA" w:rsidRDefault="00893D5B" w:rsidP="00F83E93">
      <w:pPr>
        <w:numPr>
          <w:ilvl w:val="0"/>
          <w:numId w:val="93"/>
        </w:numPr>
        <w:jc w:val="both"/>
        <w:rPr>
          <w:sz w:val="22"/>
          <w:szCs w:val="22"/>
        </w:rPr>
      </w:pPr>
      <w:r w:rsidRPr="000250FA">
        <w:rPr>
          <w:sz w:val="22"/>
          <w:szCs w:val="22"/>
        </w:rPr>
        <w:t>legalább kétéves oktatási tapasztalat,</w:t>
      </w:r>
    </w:p>
    <w:p w14:paraId="5D22679F" w14:textId="77777777" w:rsidR="00893D5B" w:rsidRPr="000250FA" w:rsidRDefault="00893D5B" w:rsidP="00F83E93">
      <w:pPr>
        <w:numPr>
          <w:ilvl w:val="0"/>
          <w:numId w:val="93"/>
        </w:numPr>
        <w:jc w:val="both"/>
        <w:rPr>
          <w:sz w:val="22"/>
          <w:szCs w:val="22"/>
        </w:rPr>
      </w:pPr>
      <w:r w:rsidRPr="000250FA">
        <w:rPr>
          <w:sz w:val="22"/>
          <w:szCs w:val="22"/>
        </w:rPr>
        <w:t xml:space="preserve">legalább egy idegen </w:t>
      </w:r>
      <w:proofErr w:type="gramStart"/>
      <w:r w:rsidRPr="000250FA">
        <w:rPr>
          <w:sz w:val="22"/>
          <w:szCs w:val="22"/>
        </w:rPr>
        <w:t>nyelv oktatáshoz</w:t>
      </w:r>
      <w:proofErr w:type="gramEnd"/>
      <w:r w:rsidRPr="000250FA">
        <w:rPr>
          <w:sz w:val="22"/>
          <w:szCs w:val="22"/>
        </w:rPr>
        <w:t xml:space="preserve"> szükséges társalgási szintű ismerete.</w:t>
      </w:r>
    </w:p>
    <w:p w14:paraId="0BEE1C47" w14:textId="77777777" w:rsidR="00893D5B" w:rsidRPr="000250FA" w:rsidRDefault="00893D5B" w:rsidP="00893D5B">
      <w:pPr>
        <w:jc w:val="both"/>
        <w:rPr>
          <w:sz w:val="22"/>
          <w:szCs w:val="22"/>
        </w:rPr>
      </w:pPr>
    </w:p>
    <w:p w14:paraId="48BF8E48" w14:textId="77777777" w:rsidR="00893D5B" w:rsidRPr="000250FA" w:rsidRDefault="00893D5B" w:rsidP="00893D5B">
      <w:pPr>
        <w:jc w:val="both"/>
        <w:rPr>
          <w:sz w:val="22"/>
          <w:szCs w:val="22"/>
        </w:rPr>
      </w:pPr>
      <w:r w:rsidRPr="000250FA">
        <w:rPr>
          <w:sz w:val="22"/>
          <w:szCs w:val="22"/>
        </w:rPr>
        <w:t>(2) A mérnöktanárok, műszaki tanárok folyamatos alkalmazásának követelményei:</w:t>
      </w:r>
    </w:p>
    <w:p w14:paraId="77C24CB9" w14:textId="77777777" w:rsidR="00893D5B" w:rsidRPr="000250FA" w:rsidRDefault="00893D5B" w:rsidP="00893D5B">
      <w:pPr>
        <w:rPr>
          <w:sz w:val="22"/>
          <w:szCs w:val="22"/>
        </w:rPr>
      </w:pPr>
    </w:p>
    <w:p w14:paraId="74065CF9" w14:textId="77777777" w:rsidR="00893D5B" w:rsidRPr="000250FA" w:rsidRDefault="00893D5B" w:rsidP="00F83E93">
      <w:pPr>
        <w:numPr>
          <w:ilvl w:val="0"/>
          <w:numId w:val="94"/>
        </w:numPr>
        <w:jc w:val="both"/>
        <w:rPr>
          <w:sz w:val="22"/>
          <w:szCs w:val="22"/>
        </w:rPr>
      </w:pPr>
      <w:r w:rsidRPr="000250FA">
        <w:rPr>
          <w:sz w:val="22"/>
          <w:szCs w:val="22"/>
        </w:rPr>
        <w:t>az oktatott szakma magas szintű elméleti és gyakorlati ismerete, folyamatos fejlesztése,</w:t>
      </w:r>
    </w:p>
    <w:p w14:paraId="3329C1C1" w14:textId="77777777" w:rsidR="00893D5B" w:rsidRPr="000250FA" w:rsidRDefault="00893D5B" w:rsidP="00F83E93">
      <w:pPr>
        <w:numPr>
          <w:ilvl w:val="0"/>
          <w:numId w:val="94"/>
        </w:numPr>
        <w:jc w:val="both"/>
        <w:rPr>
          <w:sz w:val="22"/>
          <w:szCs w:val="22"/>
        </w:rPr>
      </w:pPr>
      <w:r w:rsidRPr="000250FA">
        <w:rPr>
          <w:sz w:val="22"/>
          <w:szCs w:val="22"/>
        </w:rPr>
        <w:t>általános tájékozottság a szakma gyakorlatában és szakirodalmában,</w:t>
      </w:r>
    </w:p>
    <w:p w14:paraId="63FAE858" w14:textId="77777777" w:rsidR="00893D5B" w:rsidRPr="000250FA" w:rsidRDefault="00893D5B" w:rsidP="00F83E93">
      <w:pPr>
        <w:numPr>
          <w:ilvl w:val="0"/>
          <w:numId w:val="94"/>
        </w:numPr>
        <w:jc w:val="both"/>
        <w:rPr>
          <w:sz w:val="22"/>
          <w:szCs w:val="22"/>
        </w:rPr>
      </w:pPr>
      <w:r w:rsidRPr="000250FA">
        <w:rPr>
          <w:sz w:val="22"/>
          <w:szCs w:val="22"/>
        </w:rPr>
        <w:t>a nyelvtudás folyamatos szinten tartása illetve fejlesztése.</w:t>
      </w:r>
    </w:p>
    <w:p w14:paraId="2BB07301" w14:textId="77777777" w:rsidR="00893D5B" w:rsidRPr="000250FA" w:rsidRDefault="00893D5B" w:rsidP="00893D5B">
      <w:pPr>
        <w:tabs>
          <w:tab w:val="left" w:pos="9781"/>
        </w:tabs>
        <w:ind w:right="-144"/>
        <w:jc w:val="both"/>
        <w:rPr>
          <w:i/>
          <w:sz w:val="22"/>
          <w:szCs w:val="22"/>
        </w:rPr>
      </w:pPr>
    </w:p>
    <w:p w14:paraId="2B38AA95" w14:textId="77777777" w:rsidR="00893D5B" w:rsidRPr="000250FA" w:rsidRDefault="00893D5B" w:rsidP="00893D5B">
      <w:pPr>
        <w:spacing w:after="160" w:line="256" w:lineRule="auto"/>
        <w:jc w:val="center"/>
        <w:rPr>
          <w:i/>
          <w:sz w:val="22"/>
          <w:szCs w:val="22"/>
        </w:rPr>
      </w:pPr>
      <w:bookmarkStart w:id="197" w:name="_Toc432753587"/>
      <w:r w:rsidRPr="000250FA">
        <w:rPr>
          <w:b/>
          <w:sz w:val="22"/>
          <w:szCs w:val="22"/>
        </w:rPr>
        <w:t>A műszaki (gazdasági) oktató és egyéb szakoktató</w:t>
      </w:r>
      <w:r w:rsidRPr="000250FA">
        <w:rPr>
          <w:rStyle w:val="Lbjegyzet-hivatkozs"/>
          <w:b/>
          <w:sz w:val="22"/>
          <w:szCs w:val="22"/>
        </w:rPr>
        <w:footnoteReference w:id="285"/>
      </w:r>
      <w:r w:rsidRPr="000250FA">
        <w:rPr>
          <w:sz w:val="22"/>
          <w:szCs w:val="22"/>
        </w:rPr>
        <w:t xml:space="preserve"> </w:t>
      </w:r>
      <w:r w:rsidRPr="000250FA">
        <w:rPr>
          <w:rStyle w:val="Lbjegyzet-hivatkozs"/>
          <w:b/>
          <w:sz w:val="22"/>
          <w:szCs w:val="22"/>
        </w:rPr>
        <w:footnoteReference w:id="286"/>
      </w:r>
      <w:bookmarkEnd w:id="197"/>
    </w:p>
    <w:p w14:paraId="37F4D8F7" w14:textId="77777777" w:rsidR="00893D5B" w:rsidRPr="000250FA" w:rsidRDefault="00893D5B" w:rsidP="00893D5B">
      <w:pPr>
        <w:tabs>
          <w:tab w:val="left" w:pos="2340"/>
        </w:tabs>
        <w:spacing w:line="280" w:lineRule="atLeast"/>
        <w:ind w:right="-144"/>
        <w:jc w:val="both"/>
        <w:rPr>
          <w:b/>
          <w:bCs/>
          <w:strike/>
          <w:sz w:val="22"/>
          <w:szCs w:val="22"/>
        </w:rPr>
      </w:pPr>
    </w:p>
    <w:p w14:paraId="47345678" w14:textId="77777777" w:rsidR="00893D5B" w:rsidRPr="000250FA" w:rsidRDefault="00893D5B" w:rsidP="00893D5B">
      <w:pPr>
        <w:tabs>
          <w:tab w:val="left" w:pos="9781"/>
        </w:tabs>
        <w:spacing w:line="280" w:lineRule="atLeast"/>
        <w:ind w:right="-144"/>
        <w:jc w:val="both"/>
      </w:pPr>
      <w:r w:rsidRPr="000250FA">
        <w:rPr>
          <w:b/>
          <w:sz w:val="22"/>
          <w:szCs w:val="22"/>
        </w:rPr>
        <w:t>79/</w:t>
      </w:r>
      <w:proofErr w:type="gramStart"/>
      <w:r w:rsidRPr="000250FA">
        <w:rPr>
          <w:b/>
          <w:sz w:val="22"/>
          <w:szCs w:val="22"/>
        </w:rPr>
        <w:t>A.</w:t>
      </w:r>
      <w:proofErr w:type="gramEnd"/>
      <w:r w:rsidRPr="000250FA">
        <w:rPr>
          <w:b/>
          <w:sz w:val="22"/>
          <w:szCs w:val="22"/>
        </w:rPr>
        <w:t xml:space="preserve"> §</w:t>
      </w:r>
      <w:r w:rsidRPr="000250FA">
        <w:rPr>
          <w:rStyle w:val="Lbjegyzet-hivatkozs"/>
          <w:b/>
          <w:sz w:val="22"/>
          <w:szCs w:val="22"/>
        </w:rPr>
        <w:footnoteReference w:id="287"/>
      </w:r>
    </w:p>
    <w:p w14:paraId="3DE61229" w14:textId="77777777" w:rsidR="00893D5B" w:rsidRPr="000250FA" w:rsidRDefault="00893D5B" w:rsidP="00893D5B">
      <w:pPr>
        <w:pStyle w:val="Cmsor4"/>
      </w:pPr>
      <w:bookmarkStart w:id="198" w:name="_Toc432753588"/>
      <w:r w:rsidRPr="000250FA">
        <w:t>A mestertanár</w:t>
      </w:r>
      <w:bookmarkEnd w:id="198"/>
    </w:p>
    <w:p w14:paraId="3E537D32" w14:textId="77777777" w:rsidR="00893D5B" w:rsidRPr="000250FA" w:rsidRDefault="00893D5B" w:rsidP="00893D5B">
      <w:pPr>
        <w:tabs>
          <w:tab w:val="left" w:pos="9781"/>
        </w:tabs>
        <w:ind w:right="-144"/>
        <w:jc w:val="center"/>
        <w:rPr>
          <w:sz w:val="22"/>
          <w:szCs w:val="22"/>
        </w:rPr>
      </w:pPr>
    </w:p>
    <w:p w14:paraId="23F6B9E3" w14:textId="77777777" w:rsidR="00893D5B" w:rsidRPr="000250FA" w:rsidRDefault="00893D5B" w:rsidP="00893D5B">
      <w:pPr>
        <w:jc w:val="both"/>
        <w:rPr>
          <w:bCs/>
          <w:sz w:val="22"/>
          <w:szCs w:val="22"/>
        </w:rPr>
      </w:pPr>
      <w:r w:rsidRPr="000250FA">
        <w:rPr>
          <w:b/>
          <w:sz w:val="22"/>
          <w:szCs w:val="22"/>
        </w:rPr>
        <w:t>80. §</w:t>
      </w:r>
      <w:r w:rsidRPr="000250FA">
        <w:rPr>
          <w:sz w:val="22"/>
          <w:szCs w:val="22"/>
        </w:rPr>
        <w:t xml:space="preserve"> (1) </w:t>
      </w:r>
      <w:r w:rsidRPr="000250FA">
        <w:rPr>
          <w:bCs/>
          <w:sz w:val="22"/>
          <w:szCs w:val="22"/>
        </w:rPr>
        <w:t>Mestertanár munkakörbe lehet átsorolni azt a mesterfokozattal rendelkező adjunktus oktatói munkakörben foglalkoztatott közalkalmazottat, aki a felsőoktatási intézmény által folytatott alapképzésben, szakmai-elméleti és gyakorlati oktatásban vesz részt, és megfelel a (2) bekezdésben meghatározott</w:t>
      </w:r>
      <w:r w:rsidRPr="000250FA">
        <w:rPr>
          <w:bCs/>
          <w:i/>
          <w:sz w:val="22"/>
          <w:szCs w:val="22"/>
        </w:rPr>
        <w:t xml:space="preserve"> </w:t>
      </w:r>
      <w:r w:rsidRPr="000250FA">
        <w:rPr>
          <w:bCs/>
          <w:sz w:val="22"/>
          <w:szCs w:val="22"/>
        </w:rPr>
        <w:t>követelményeknek.</w:t>
      </w:r>
    </w:p>
    <w:p w14:paraId="4B460152" w14:textId="77777777" w:rsidR="00893D5B" w:rsidRPr="000250FA" w:rsidRDefault="00893D5B" w:rsidP="00893D5B">
      <w:pPr>
        <w:tabs>
          <w:tab w:val="left" w:pos="6210"/>
          <w:tab w:val="left" w:pos="9781"/>
        </w:tabs>
        <w:autoSpaceDE w:val="0"/>
        <w:autoSpaceDN w:val="0"/>
        <w:adjustRightInd w:val="0"/>
        <w:ind w:right="-144"/>
        <w:jc w:val="both"/>
        <w:rPr>
          <w:sz w:val="22"/>
          <w:szCs w:val="22"/>
        </w:rPr>
      </w:pPr>
    </w:p>
    <w:p w14:paraId="57AD880B" w14:textId="77777777" w:rsidR="00893D5B" w:rsidRPr="000250FA" w:rsidRDefault="00893D5B" w:rsidP="00893D5B">
      <w:pPr>
        <w:tabs>
          <w:tab w:val="left" w:pos="9781"/>
        </w:tabs>
        <w:autoSpaceDE w:val="0"/>
        <w:autoSpaceDN w:val="0"/>
        <w:adjustRightInd w:val="0"/>
        <w:ind w:right="-144"/>
        <w:rPr>
          <w:sz w:val="22"/>
          <w:szCs w:val="22"/>
        </w:rPr>
      </w:pPr>
      <w:r w:rsidRPr="000250FA">
        <w:rPr>
          <w:sz w:val="22"/>
          <w:szCs w:val="22"/>
        </w:rPr>
        <w:t xml:space="preserve">(2) Mestertanár munkakörbe az sorolható át, aki: </w:t>
      </w:r>
    </w:p>
    <w:p w14:paraId="3749055C" w14:textId="77777777" w:rsidR="00893D5B" w:rsidRPr="000250FA" w:rsidRDefault="00893D5B" w:rsidP="00893D5B">
      <w:pPr>
        <w:tabs>
          <w:tab w:val="left" w:pos="9781"/>
        </w:tabs>
        <w:autoSpaceDE w:val="0"/>
        <w:autoSpaceDN w:val="0"/>
        <w:adjustRightInd w:val="0"/>
        <w:ind w:right="-144"/>
        <w:rPr>
          <w:sz w:val="22"/>
          <w:szCs w:val="22"/>
        </w:rPr>
      </w:pPr>
    </w:p>
    <w:p w14:paraId="075F5B77" w14:textId="77777777" w:rsidR="00893D5B" w:rsidRPr="000250FA" w:rsidRDefault="00893D5B" w:rsidP="00F83E93">
      <w:pPr>
        <w:numPr>
          <w:ilvl w:val="0"/>
          <w:numId w:val="95"/>
        </w:numPr>
        <w:jc w:val="both"/>
        <w:rPr>
          <w:sz w:val="22"/>
          <w:szCs w:val="22"/>
        </w:rPr>
      </w:pPr>
      <w:r w:rsidRPr="000250FA">
        <w:rPr>
          <w:sz w:val="22"/>
          <w:szCs w:val="22"/>
        </w:rPr>
        <w:t>legalább 15 éve az Egyetemmel közalkalmazotti jogviszonyban áll,</w:t>
      </w:r>
    </w:p>
    <w:p w14:paraId="70448AD1" w14:textId="77777777" w:rsidR="00893D5B" w:rsidRPr="000250FA" w:rsidRDefault="00893D5B" w:rsidP="00F83E93">
      <w:pPr>
        <w:numPr>
          <w:ilvl w:val="0"/>
          <w:numId w:val="95"/>
        </w:numPr>
        <w:jc w:val="both"/>
        <w:rPr>
          <w:sz w:val="22"/>
          <w:szCs w:val="22"/>
        </w:rPr>
      </w:pPr>
      <w:r w:rsidRPr="000250FA">
        <w:rPr>
          <w:sz w:val="22"/>
          <w:szCs w:val="22"/>
        </w:rPr>
        <w:t>egyetemi doktori címmel vagy egyetemi tudományos fokozattal rendelkezik,</w:t>
      </w:r>
    </w:p>
    <w:p w14:paraId="108E62AC" w14:textId="77777777" w:rsidR="00893D5B" w:rsidRPr="000250FA" w:rsidRDefault="00893D5B" w:rsidP="00F83E93">
      <w:pPr>
        <w:numPr>
          <w:ilvl w:val="0"/>
          <w:numId w:val="95"/>
        </w:numPr>
        <w:jc w:val="both"/>
        <w:rPr>
          <w:sz w:val="22"/>
          <w:szCs w:val="22"/>
        </w:rPr>
      </w:pPr>
      <w:r w:rsidRPr="000250FA">
        <w:rPr>
          <w:sz w:val="22"/>
          <w:szCs w:val="22"/>
        </w:rPr>
        <w:t>kiemelkedő gyakorlati oktatást végez,</w:t>
      </w:r>
    </w:p>
    <w:p w14:paraId="416C25F1" w14:textId="77777777" w:rsidR="00893D5B" w:rsidRPr="000250FA" w:rsidRDefault="00893D5B" w:rsidP="00F83E93">
      <w:pPr>
        <w:numPr>
          <w:ilvl w:val="0"/>
          <w:numId w:val="95"/>
        </w:numPr>
        <w:jc w:val="both"/>
      </w:pPr>
      <w:r w:rsidRPr="000250FA">
        <w:rPr>
          <w:sz w:val="22"/>
          <w:szCs w:val="22"/>
        </w:rPr>
        <w:t>szerzője és/vagy társszerzője a hallgatók széles köre által használta legalább három tankkönyvnek, jegyzetnek, oktatási segédletnek.</w:t>
      </w:r>
    </w:p>
    <w:p w14:paraId="6CF87700" w14:textId="77777777" w:rsidR="00893D5B" w:rsidRPr="000250FA" w:rsidRDefault="00893D5B" w:rsidP="00893D5B">
      <w:pPr>
        <w:tabs>
          <w:tab w:val="left" w:pos="9781"/>
        </w:tabs>
        <w:ind w:right="-144"/>
        <w:rPr>
          <w:sz w:val="22"/>
          <w:szCs w:val="22"/>
        </w:rPr>
      </w:pPr>
    </w:p>
    <w:p w14:paraId="12FA1CC9" w14:textId="77777777" w:rsidR="00893D5B" w:rsidRPr="000250FA" w:rsidRDefault="00893D5B" w:rsidP="00893D5B">
      <w:pPr>
        <w:pStyle w:val="Cmsor4"/>
      </w:pPr>
      <w:bookmarkStart w:id="199" w:name="_Toc432753589"/>
      <w:r w:rsidRPr="000250FA">
        <w:t>A kollégiumi nevelőtanár</w:t>
      </w:r>
      <w:bookmarkEnd w:id="199"/>
    </w:p>
    <w:p w14:paraId="202F0025" w14:textId="77777777" w:rsidR="00893D5B" w:rsidRPr="000250FA" w:rsidRDefault="00893D5B" w:rsidP="00893D5B">
      <w:pPr>
        <w:rPr>
          <w:sz w:val="22"/>
          <w:szCs w:val="22"/>
        </w:rPr>
      </w:pPr>
    </w:p>
    <w:p w14:paraId="46255CF7" w14:textId="77777777" w:rsidR="00893D5B" w:rsidRPr="000250FA" w:rsidRDefault="00893D5B" w:rsidP="00893D5B">
      <w:pPr>
        <w:jc w:val="both"/>
        <w:rPr>
          <w:sz w:val="22"/>
          <w:szCs w:val="22"/>
        </w:rPr>
      </w:pPr>
      <w:r w:rsidRPr="000250FA">
        <w:rPr>
          <w:b/>
          <w:sz w:val="22"/>
          <w:szCs w:val="22"/>
        </w:rPr>
        <w:t xml:space="preserve">81. § </w:t>
      </w:r>
      <w:r w:rsidRPr="000250FA">
        <w:rPr>
          <w:sz w:val="22"/>
          <w:szCs w:val="22"/>
        </w:rPr>
        <w:t>(1) A kollégiumi nevelőtanár kinevezésének feltétele a MA/</w:t>
      </w:r>
      <w:proofErr w:type="spellStart"/>
      <w:r w:rsidRPr="000250FA">
        <w:rPr>
          <w:sz w:val="22"/>
          <w:szCs w:val="22"/>
        </w:rPr>
        <w:t>MSc</w:t>
      </w:r>
      <w:proofErr w:type="spellEnd"/>
      <w:r w:rsidRPr="000250FA">
        <w:rPr>
          <w:sz w:val="22"/>
          <w:szCs w:val="22"/>
        </w:rPr>
        <w:t xml:space="preserve"> vagy ezekkel egyenértékű végzettség.</w:t>
      </w:r>
    </w:p>
    <w:p w14:paraId="226C3B2F" w14:textId="77777777" w:rsidR="00893D5B" w:rsidRPr="000250FA" w:rsidRDefault="00893D5B" w:rsidP="00893D5B">
      <w:pPr>
        <w:rPr>
          <w:sz w:val="22"/>
          <w:szCs w:val="22"/>
        </w:rPr>
      </w:pPr>
    </w:p>
    <w:p w14:paraId="2D27508B" w14:textId="77777777" w:rsidR="00893D5B" w:rsidRPr="000250FA" w:rsidRDefault="00893D5B" w:rsidP="00893D5B">
      <w:pPr>
        <w:jc w:val="both"/>
        <w:rPr>
          <w:sz w:val="22"/>
          <w:szCs w:val="22"/>
        </w:rPr>
      </w:pPr>
      <w:r w:rsidRPr="000250FA">
        <w:rPr>
          <w:sz w:val="22"/>
          <w:szCs w:val="22"/>
        </w:rPr>
        <w:t>(2) A kollégiumi nevelő tanárok folyamatos alkalmazásának követelményei:</w:t>
      </w:r>
    </w:p>
    <w:p w14:paraId="5849AF80" w14:textId="77777777" w:rsidR="00893D5B" w:rsidRPr="000250FA" w:rsidRDefault="00893D5B" w:rsidP="00893D5B">
      <w:pPr>
        <w:rPr>
          <w:sz w:val="22"/>
          <w:szCs w:val="22"/>
        </w:rPr>
      </w:pPr>
    </w:p>
    <w:p w14:paraId="1DDE9486" w14:textId="77777777" w:rsidR="00893D5B" w:rsidRPr="000250FA" w:rsidRDefault="00893D5B" w:rsidP="00F83E93">
      <w:pPr>
        <w:numPr>
          <w:ilvl w:val="0"/>
          <w:numId w:val="96"/>
        </w:numPr>
        <w:jc w:val="both"/>
        <w:rPr>
          <w:sz w:val="22"/>
          <w:szCs w:val="22"/>
        </w:rPr>
      </w:pPr>
      <w:r w:rsidRPr="000250FA">
        <w:rPr>
          <w:sz w:val="22"/>
          <w:szCs w:val="22"/>
        </w:rPr>
        <w:t>a rábízott közösség tanulmányi, közművelődési tevékenységének segítése,</w:t>
      </w:r>
    </w:p>
    <w:p w14:paraId="7EF4960B" w14:textId="77777777" w:rsidR="00893D5B" w:rsidRPr="000250FA" w:rsidRDefault="00893D5B" w:rsidP="00F83E93">
      <w:pPr>
        <w:numPr>
          <w:ilvl w:val="0"/>
          <w:numId w:val="96"/>
        </w:numPr>
        <w:jc w:val="both"/>
        <w:rPr>
          <w:sz w:val="22"/>
          <w:szCs w:val="22"/>
        </w:rPr>
      </w:pPr>
      <w:r w:rsidRPr="000250FA">
        <w:rPr>
          <w:sz w:val="22"/>
          <w:szCs w:val="22"/>
        </w:rPr>
        <w:t>a kollégiumi közösség életmódjának, életvitelének – az együttélés normáinak megfelelő – formálása,</w:t>
      </w:r>
    </w:p>
    <w:p w14:paraId="082D1B23" w14:textId="77777777" w:rsidR="00893D5B" w:rsidRPr="000250FA" w:rsidRDefault="00893D5B" w:rsidP="00F83E93">
      <w:pPr>
        <w:numPr>
          <w:ilvl w:val="0"/>
          <w:numId w:val="96"/>
        </w:numPr>
        <w:jc w:val="both"/>
        <w:rPr>
          <w:sz w:val="22"/>
          <w:szCs w:val="22"/>
        </w:rPr>
      </w:pPr>
      <w:r w:rsidRPr="000250FA">
        <w:rPr>
          <w:sz w:val="22"/>
          <w:szCs w:val="22"/>
        </w:rPr>
        <w:t>a kollégiumi tanári felügyelet ellátása,</w:t>
      </w:r>
    </w:p>
    <w:p w14:paraId="4576B9FF" w14:textId="77777777" w:rsidR="00893D5B" w:rsidRPr="000250FA" w:rsidRDefault="00893D5B" w:rsidP="00F83E93">
      <w:pPr>
        <w:numPr>
          <w:ilvl w:val="0"/>
          <w:numId w:val="96"/>
        </w:numPr>
        <w:jc w:val="both"/>
        <w:rPr>
          <w:sz w:val="22"/>
          <w:szCs w:val="22"/>
        </w:rPr>
      </w:pPr>
      <w:r w:rsidRPr="000250FA">
        <w:rPr>
          <w:sz w:val="22"/>
          <w:szCs w:val="22"/>
        </w:rPr>
        <w:t>együttműködés a kollégium önkormányzati testületeivel.</w:t>
      </w:r>
    </w:p>
    <w:p w14:paraId="76CA52E3" w14:textId="77777777" w:rsidR="00893D5B" w:rsidRPr="000250FA" w:rsidRDefault="00893D5B" w:rsidP="00893D5B">
      <w:pPr>
        <w:tabs>
          <w:tab w:val="left" w:pos="9781"/>
        </w:tabs>
        <w:ind w:right="-144"/>
        <w:rPr>
          <w:b/>
          <w:sz w:val="22"/>
          <w:szCs w:val="22"/>
        </w:rPr>
      </w:pPr>
    </w:p>
    <w:p w14:paraId="4ADAB3D8" w14:textId="77777777" w:rsidR="00893D5B" w:rsidRPr="000250FA" w:rsidRDefault="00893D5B" w:rsidP="00893D5B">
      <w:pPr>
        <w:pStyle w:val="Cmsor4"/>
      </w:pPr>
      <w:bookmarkStart w:id="200" w:name="_Toc432753590"/>
      <w:r w:rsidRPr="000250FA">
        <w:t>A pedagógus-szakmódszertan tanár</w:t>
      </w:r>
      <w:bookmarkEnd w:id="200"/>
    </w:p>
    <w:p w14:paraId="4332362B" w14:textId="77777777" w:rsidR="00893D5B" w:rsidRPr="000250FA" w:rsidRDefault="00893D5B" w:rsidP="00893D5B">
      <w:pPr>
        <w:tabs>
          <w:tab w:val="left" w:pos="9781"/>
        </w:tabs>
        <w:ind w:right="-144"/>
        <w:rPr>
          <w:b/>
          <w:i/>
          <w:sz w:val="22"/>
          <w:szCs w:val="22"/>
        </w:rPr>
      </w:pPr>
    </w:p>
    <w:p w14:paraId="7854DB25" w14:textId="77777777" w:rsidR="00893D5B" w:rsidRPr="000250FA" w:rsidRDefault="00893D5B" w:rsidP="00385CF2">
      <w:pPr>
        <w:jc w:val="both"/>
        <w:rPr>
          <w:sz w:val="22"/>
          <w:szCs w:val="22"/>
        </w:rPr>
      </w:pPr>
      <w:r w:rsidRPr="000250FA">
        <w:rPr>
          <w:b/>
          <w:sz w:val="22"/>
          <w:szCs w:val="22"/>
        </w:rPr>
        <w:t>81/</w:t>
      </w:r>
      <w:proofErr w:type="gramStart"/>
      <w:r w:rsidRPr="000250FA">
        <w:rPr>
          <w:b/>
          <w:sz w:val="22"/>
          <w:szCs w:val="22"/>
        </w:rPr>
        <w:t>A.</w:t>
      </w:r>
      <w:proofErr w:type="gramEnd"/>
      <w:r w:rsidRPr="000250FA">
        <w:rPr>
          <w:b/>
          <w:sz w:val="22"/>
          <w:szCs w:val="22"/>
        </w:rPr>
        <w:t xml:space="preserve"> §</w:t>
      </w:r>
      <w:r w:rsidRPr="000250FA">
        <w:rPr>
          <w:rStyle w:val="Lbjegyzet-hivatkozs"/>
          <w:b/>
          <w:sz w:val="22"/>
          <w:szCs w:val="22"/>
        </w:rPr>
        <w:footnoteReference w:id="288"/>
      </w:r>
      <w:r w:rsidRPr="000250FA">
        <w:rPr>
          <w:b/>
          <w:i/>
          <w:sz w:val="22"/>
          <w:szCs w:val="22"/>
        </w:rPr>
        <w:t xml:space="preserve"> </w:t>
      </w:r>
      <w:r w:rsidRPr="000250FA">
        <w:rPr>
          <w:sz w:val="22"/>
          <w:szCs w:val="22"/>
        </w:rPr>
        <w:t>(1) A pedagógus-szakmódszertan tanári munkakörbe</w:t>
      </w:r>
      <w:r w:rsidR="00385CF2">
        <w:rPr>
          <w:sz w:val="22"/>
          <w:szCs w:val="22"/>
        </w:rPr>
        <w:t xml:space="preserve">n történő alkalmazás feltétele </w:t>
      </w:r>
    </w:p>
    <w:p w14:paraId="6A681E3D" w14:textId="77777777" w:rsidR="00893D5B" w:rsidRPr="000250FA" w:rsidRDefault="00893D5B" w:rsidP="00F83E93">
      <w:pPr>
        <w:numPr>
          <w:ilvl w:val="0"/>
          <w:numId w:val="97"/>
        </w:numPr>
        <w:jc w:val="both"/>
        <w:rPr>
          <w:sz w:val="22"/>
          <w:szCs w:val="22"/>
        </w:rPr>
      </w:pPr>
      <w:r w:rsidRPr="000250FA">
        <w:rPr>
          <w:sz w:val="22"/>
          <w:szCs w:val="22"/>
        </w:rPr>
        <w:t>MA/</w:t>
      </w:r>
      <w:proofErr w:type="spellStart"/>
      <w:r w:rsidRPr="000250FA">
        <w:rPr>
          <w:sz w:val="22"/>
          <w:szCs w:val="22"/>
        </w:rPr>
        <w:t>MSc</w:t>
      </w:r>
      <w:proofErr w:type="spellEnd"/>
      <w:r w:rsidRPr="000250FA">
        <w:rPr>
          <w:sz w:val="22"/>
          <w:szCs w:val="22"/>
        </w:rPr>
        <w:t xml:space="preserve"> vagy azzal egyenértékű és szakirányú végzettséget tanúsító oklevél,</w:t>
      </w:r>
    </w:p>
    <w:p w14:paraId="375CF77B" w14:textId="77777777" w:rsidR="00893D5B" w:rsidRPr="000250FA" w:rsidRDefault="00893D5B" w:rsidP="00F83E93">
      <w:pPr>
        <w:numPr>
          <w:ilvl w:val="0"/>
          <w:numId w:val="97"/>
        </w:numPr>
        <w:jc w:val="both"/>
        <w:rPr>
          <w:sz w:val="22"/>
          <w:szCs w:val="22"/>
        </w:rPr>
      </w:pPr>
      <w:r w:rsidRPr="000250FA">
        <w:rPr>
          <w:sz w:val="22"/>
          <w:szCs w:val="22"/>
        </w:rPr>
        <w:t>legalább ötéves oktatási tapasztalat,</w:t>
      </w:r>
    </w:p>
    <w:p w14:paraId="048F040D" w14:textId="77777777" w:rsidR="00893D5B" w:rsidRPr="000250FA" w:rsidRDefault="00893D5B" w:rsidP="00F83E93">
      <w:pPr>
        <w:numPr>
          <w:ilvl w:val="0"/>
          <w:numId w:val="97"/>
        </w:numPr>
        <w:jc w:val="both"/>
        <w:rPr>
          <w:sz w:val="22"/>
          <w:szCs w:val="22"/>
        </w:rPr>
      </w:pPr>
      <w:r w:rsidRPr="000250FA">
        <w:rPr>
          <w:sz w:val="22"/>
          <w:szCs w:val="22"/>
        </w:rPr>
        <w:t xml:space="preserve">legalább egy idegen </w:t>
      </w:r>
      <w:proofErr w:type="gramStart"/>
      <w:r w:rsidRPr="000250FA">
        <w:rPr>
          <w:sz w:val="22"/>
          <w:szCs w:val="22"/>
        </w:rPr>
        <w:t>nyelv oktatáshoz</w:t>
      </w:r>
      <w:proofErr w:type="gramEnd"/>
      <w:r w:rsidRPr="000250FA">
        <w:rPr>
          <w:sz w:val="22"/>
          <w:szCs w:val="22"/>
        </w:rPr>
        <w:t xml:space="preserve"> szükséges társalgási szintű ismerete.</w:t>
      </w:r>
    </w:p>
    <w:p w14:paraId="7D9B1C71" w14:textId="77777777" w:rsidR="00893D5B" w:rsidRPr="000250FA" w:rsidRDefault="00893D5B" w:rsidP="00893D5B">
      <w:pPr>
        <w:tabs>
          <w:tab w:val="left" w:pos="9781"/>
        </w:tabs>
        <w:ind w:right="-144"/>
        <w:rPr>
          <w:sz w:val="22"/>
          <w:szCs w:val="22"/>
        </w:rPr>
      </w:pPr>
    </w:p>
    <w:p w14:paraId="429F2452" w14:textId="77777777" w:rsidR="00893D5B" w:rsidRPr="000250FA" w:rsidRDefault="00893D5B" w:rsidP="00893D5B">
      <w:pPr>
        <w:tabs>
          <w:tab w:val="left" w:pos="9781"/>
        </w:tabs>
        <w:ind w:right="-144"/>
        <w:jc w:val="both"/>
        <w:rPr>
          <w:sz w:val="22"/>
          <w:szCs w:val="22"/>
        </w:rPr>
      </w:pPr>
      <w:r w:rsidRPr="000250FA">
        <w:rPr>
          <w:sz w:val="22"/>
          <w:szCs w:val="22"/>
        </w:rPr>
        <w:t>(2) A pedagógus szakmódszertan tanár folyamato</w:t>
      </w:r>
      <w:r w:rsidR="00385CF2">
        <w:rPr>
          <w:sz w:val="22"/>
          <w:szCs w:val="22"/>
        </w:rPr>
        <w:t>s alkalmazásának követelményei:</w:t>
      </w:r>
    </w:p>
    <w:p w14:paraId="6E412EA2" w14:textId="77777777" w:rsidR="00893D5B" w:rsidRPr="00660171" w:rsidRDefault="00893D5B" w:rsidP="00F83E93">
      <w:pPr>
        <w:pStyle w:val="Listaszerbekezds"/>
        <w:numPr>
          <w:ilvl w:val="0"/>
          <w:numId w:val="177"/>
        </w:numPr>
        <w:tabs>
          <w:tab w:val="left" w:pos="9781"/>
        </w:tabs>
        <w:ind w:right="-144"/>
        <w:jc w:val="both"/>
        <w:rPr>
          <w:rFonts w:ascii="Times New Roman" w:hAnsi="Times New Roman"/>
        </w:rPr>
      </w:pPr>
      <w:r w:rsidRPr="00660171">
        <w:rPr>
          <w:rFonts w:ascii="Times New Roman" w:hAnsi="Times New Roman"/>
        </w:rPr>
        <w:t>az oktatott szakmódszertan magas szintű elméleti és gyakorlati ismerete, folyamatos fejlesztése,</w:t>
      </w:r>
    </w:p>
    <w:p w14:paraId="55A6FCAE" w14:textId="77777777" w:rsidR="00893D5B" w:rsidRPr="00660171" w:rsidRDefault="00893D5B" w:rsidP="00F83E93">
      <w:pPr>
        <w:pStyle w:val="Listaszerbekezds"/>
        <w:numPr>
          <w:ilvl w:val="0"/>
          <w:numId w:val="177"/>
        </w:numPr>
        <w:tabs>
          <w:tab w:val="left" w:pos="9781"/>
        </w:tabs>
        <w:ind w:right="-144"/>
        <w:jc w:val="both"/>
        <w:rPr>
          <w:rFonts w:ascii="Times New Roman" w:hAnsi="Times New Roman"/>
        </w:rPr>
      </w:pPr>
      <w:r w:rsidRPr="00660171">
        <w:rPr>
          <w:rFonts w:ascii="Times New Roman" w:hAnsi="Times New Roman"/>
        </w:rPr>
        <w:t>tevékeny részvétel a szakmai közéletben, a kari, egyetemi feladatok megoldásában,</w:t>
      </w:r>
    </w:p>
    <w:p w14:paraId="0238748F" w14:textId="77777777" w:rsidR="00893D5B" w:rsidRPr="00660171" w:rsidRDefault="00893D5B" w:rsidP="00F83E93">
      <w:pPr>
        <w:pStyle w:val="Listaszerbekezds"/>
        <w:numPr>
          <w:ilvl w:val="0"/>
          <w:numId w:val="177"/>
        </w:numPr>
        <w:tabs>
          <w:tab w:val="left" w:pos="9781"/>
        </w:tabs>
        <w:ind w:right="-144"/>
        <w:jc w:val="both"/>
        <w:rPr>
          <w:rFonts w:ascii="Times New Roman" w:hAnsi="Times New Roman"/>
        </w:rPr>
      </w:pPr>
      <w:r w:rsidRPr="00660171">
        <w:rPr>
          <w:rFonts w:ascii="Times New Roman" w:hAnsi="Times New Roman"/>
        </w:rPr>
        <w:t>oktatási és oktatást közvetlenül segítő tevékenység magas színvonalú ellátása,</w:t>
      </w:r>
    </w:p>
    <w:p w14:paraId="4ADC4127" w14:textId="77777777" w:rsidR="00893D5B" w:rsidRPr="00660171" w:rsidRDefault="00893D5B" w:rsidP="00F83E93">
      <w:pPr>
        <w:pStyle w:val="Listaszerbekezds"/>
        <w:numPr>
          <w:ilvl w:val="0"/>
          <w:numId w:val="177"/>
        </w:numPr>
        <w:tabs>
          <w:tab w:val="left" w:pos="9781"/>
        </w:tabs>
        <w:ind w:right="-144"/>
        <w:jc w:val="both"/>
        <w:rPr>
          <w:rFonts w:ascii="Times New Roman" w:hAnsi="Times New Roman"/>
        </w:rPr>
      </w:pPr>
      <w:r w:rsidRPr="00660171">
        <w:rPr>
          <w:rFonts w:ascii="Times New Roman" w:hAnsi="Times New Roman"/>
        </w:rPr>
        <w:lastRenderedPageBreak/>
        <w:t xml:space="preserve">bekapcsolódás az oktatóhelyi gyakorlatokba, a hallgatói feladatok </w:t>
      </w:r>
      <w:proofErr w:type="gramStart"/>
      <w:r w:rsidRPr="00660171">
        <w:rPr>
          <w:rFonts w:ascii="Times New Roman" w:hAnsi="Times New Roman"/>
        </w:rPr>
        <w:t>konzultálásába</w:t>
      </w:r>
      <w:proofErr w:type="gramEnd"/>
      <w:r w:rsidRPr="00660171">
        <w:rPr>
          <w:rFonts w:ascii="Times New Roman" w:hAnsi="Times New Roman"/>
        </w:rPr>
        <w:t xml:space="preserve"> és ellenőrzésébe,</w:t>
      </w:r>
    </w:p>
    <w:p w14:paraId="7EBC5FA4" w14:textId="77777777" w:rsidR="00893D5B" w:rsidRPr="00660171" w:rsidRDefault="00893D5B" w:rsidP="00F83E93">
      <w:pPr>
        <w:pStyle w:val="Listaszerbekezds"/>
        <w:numPr>
          <w:ilvl w:val="0"/>
          <w:numId w:val="177"/>
        </w:numPr>
        <w:tabs>
          <w:tab w:val="left" w:pos="9781"/>
        </w:tabs>
        <w:ind w:right="-144"/>
        <w:jc w:val="both"/>
        <w:rPr>
          <w:rFonts w:ascii="Times New Roman" w:hAnsi="Times New Roman"/>
        </w:rPr>
      </w:pPr>
      <w:r w:rsidRPr="00660171">
        <w:rPr>
          <w:rFonts w:ascii="Times New Roman" w:hAnsi="Times New Roman"/>
        </w:rPr>
        <w:t>a nyelvtudás folyamatos szinten tartása illetve fejlesztése.</w:t>
      </w:r>
    </w:p>
    <w:p w14:paraId="1BAE0BB2" w14:textId="77777777" w:rsidR="00893D5B" w:rsidRPr="000250FA" w:rsidRDefault="00893D5B" w:rsidP="00893D5B">
      <w:pPr>
        <w:tabs>
          <w:tab w:val="left" w:pos="9781"/>
        </w:tabs>
        <w:ind w:right="-144"/>
        <w:rPr>
          <w:b/>
          <w:sz w:val="22"/>
          <w:szCs w:val="22"/>
        </w:rPr>
      </w:pPr>
    </w:p>
    <w:p w14:paraId="7F035B8A" w14:textId="77777777" w:rsidR="00893D5B" w:rsidRPr="000250FA" w:rsidRDefault="00893D5B" w:rsidP="00893D5B">
      <w:pPr>
        <w:pStyle w:val="Cmsor3"/>
      </w:pPr>
      <w:bookmarkStart w:id="201" w:name="_Toc432753591"/>
      <w:bookmarkStart w:id="202" w:name="_Toc444603562"/>
      <w:bookmarkStart w:id="203" w:name="_Toc445200822"/>
      <w:bookmarkStart w:id="204" w:name="_Toc58569544"/>
      <w:r w:rsidRPr="000250FA">
        <w:t>IV. fejezet - Az oktatók, kutatók és tanárok jogai és kötelességei</w:t>
      </w:r>
      <w:bookmarkEnd w:id="201"/>
      <w:bookmarkEnd w:id="202"/>
      <w:bookmarkEnd w:id="203"/>
      <w:bookmarkEnd w:id="204"/>
    </w:p>
    <w:p w14:paraId="3EDBBFF5" w14:textId="77777777" w:rsidR="00893D5B" w:rsidRPr="000250FA" w:rsidRDefault="00893D5B" w:rsidP="00893D5B">
      <w:pPr>
        <w:rPr>
          <w:sz w:val="22"/>
          <w:szCs w:val="22"/>
        </w:rPr>
      </w:pPr>
    </w:p>
    <w:p w14:paraId="0F5FF98A" w14:textId="77777777" w:rsidR="00893D5B" w:rsidRPr="000250FA" w:rsidRDefault="00893D5B" w:rsidP="00893D5B">
      <w:pPr>
        <w:jc w:val="both"/>
        <w:rPr>
          <w:sz w:val="22"/>
          <w:szCs w:val="22"/>
        </w:rPr>
      </w:pPr>
      <w:r w:rsidRPr="000250FA">
        <w:rPr>
          <w:b/>
          <w:sz w:val="22"/>
          <w:szCs w:val="22"/>
        </w:rPr>
        <w:t>82. §</w:t>
      </w:r>
      <w:r w:rsidRPr="000250FA">
        <w:rPr>
          <w:sz w:val="22"/>
          <w:szCs w:val="22"/>
        </w:rPr>
        <w:t xml:space="preserve"> Az oktatók, kutatók és tanárok jogait és kötelezettségeit az Egyetem szervezeti és működési szabályzata határozza meg.</w:t>
      </w:r>
    </w:p>
    <w:p w14:paraId="6FF4ED4F" w14:textId="77777777" w:rsidR="00893D5B" w:rsidRPr="000250FA" w:rsidRDefault="00893D5B" w:rsidP="00893D5B">
      <w:pPr>
        <w:rPr>
          <w:sz w:val="22"/>
          <w:szCs w:val="22"/>
        </w:rPr>
      </w:pPr>
    </w:p>
    <w:p w14:paraId="2240E929" w14:textId="77777777" w:rsidR="00893D5B" w:rsidRDefault="00893D5B" w:rsidP="00893D5B">
      <w:pPr>
        <w:jc w:val="both"/>
        <w:rPr>
          <w:bCs/>
          <w:sz w:val="22"/>
          <w:szCs w:val="22"/>
        </w:rPr>
      </w:pPr>
      <w:r w:rsidRPr="000250FA">
        <w:rPr>
          <w:b/>
          <w:sz w:val="22"/>
          <w:szCs w:val="22"/>
        </w:rPr>
        <w:t>83. §</w:t>
      </w:r>
      <w:r w:rsidRPr="000250FA">
        <w:rPr>
          <w:rStyle w:val="Lbjegyzet-hivatkozs"/>
          <w:sz w:val="22"/>
          <w:szCs w:val="22"/>
        </w:rPr>
        <w:footnoteReference w:id="289"/>
      </w:r>
      <w:r w:rsidRPr="000250FA">
        <w:rPr>
          <w:sz w:val="22"/>
          <w:szCs w:val="22"/>
        </w:rPr>
        <w:t xml:space="preserve"> </w:t>
      </w:r>
      <w:r w:rsidRPr="000250FA">
        <w:rPr>
          <w:rStyle w:val="Lbjegyzet-hivatkozs"/>
          <w:sz w:val="22"/>
          <w:szCs w:val="22"/>
        </w:rPr>
        <w:footnoteReference w:id="290"/>
      </w:r>
      <w:r>
        <w:rPr>
          <w:sz w:val="22"/>
          <w:szCs w:val="22"/>
        </w:rPr>
        <w:t xml:space="preserve"> </w:t>
      </w:r>
      <w:r w:rsidRPr="000250FA">
        <w:rPr>
          <w:bCs/>
          <w:sz w:val="22"/>
          <w:szCs w:val="22"/>
        </w:rPr>
        <w:t>(1)</w:t>
      </w:r>
      <w:r>
        <w:rPr>
          <w:bCs/>
          <w:sz w:val="22"/>
          <w:szCs w:val="22"/>
        </w:rPr>
        <w:t xml:space="preserve"> </w:t>
      </w:r>
      <w:r>
        <w:rPr>
          <w:rStyle w:val="Lbjegyzet-hivatkozs"/>
          <w:bCs/>
          <w:sz w:val="22"/>
          <w:szCs w:val="22"/>
        </w:rPr>
        <w:footnoteReference w:id="291"/>
      </w:r>
      <w:r w:rsidRPr="000250FA">
        <w:rPr>
          <w:bCs/>
          <w:sz w:val="22"/>
          <w:szCs w:val="22"/>
        </w:rPr>
        <w:t xml:space="preserve"> Az oktató a heti teljes </w:t>
      </w:r>
      <w:proofErr w:type="spellStart"/>
      <w:r w:rsidRPr="000250FA">
        <w:rPr>
          <w:bCs/>
          <w:sz w:val="22"/>
          <w:szCs w:val="22"/>
        </w:rPr>
        <w:t>munkaidejéből</w:t>
      </w:r>
      <w:proofErr w:type="spellEnd"/>
      <w:r w:rsidRPr="000250FA">
        <w:rPr>
          <w:bCs/>
          <w:sz w:val="22"/>
          <w:szCs w:val="22"/>
        </w:rPr>
        <w:t xml:space="preserve"> - két egymást követő tanulmányi félév átlagában - egyetemi vagy főiskolai tanári munkakörben legalább heti nyolc, docensi munkakörben legalább heti tíz, adjunktus, tanársegéd és mesteroktató munkakörben legalább heti tizenkét órát köteles a hallgatók felkészítését szolgáló előadás, szeminárium, gyakorlat, </w:t>
      </w:r>
      <w:proofErr w:type="gramStart"/>
      <w:r w:rsidRPr="000250FA">
        <w:rPr>
          <w:bCs/>
          <w:sz w:val="22"/>
          <w:szCs w:val="22"/>
        </w:rPr>
        <w:t>konzultáció</w:t>
      </w:r>
      <w:proofErr w:type="gramEnd"/>
      <w:r w:rsidRPr="000250FA">
        <w:rPr>
          <w:bCs/>
          <w:sz w:val="22"/>
          <w:szCs w:val="22"/>
        </w:rPr>
        <w:t xml:space="preserve"> megtartására (a továbbiakban: taní</w:t>
      </w:r>
      <w:r>
        <w:rPr>
          <w:bCs/>
          <w:sz w:val="22"/>
          <w:szCs w:val="22"/>
        </w:rPr>
        <w:t xml:space="preserve">tásra fordított idő) fordítani. </w:t>
      </w:r>
      <w:r w:rsidRPr="000250FA">
        <w:rPr>
          <w:bCs/>
          <w:sz w:val="22"/>
          <w:szCs w:val="22"/>
        </w:rPr>
        <w:t>Az oktató munkaideje legalább húsz százalékában tudományos kutatást - a művészet, művészetközvetítés és sporttudomány képzési területen művészeti vagy sportszakmai tevékenységet - folytat, továbbá a hallgatókkal való foglalkozással, tudományos kutatással le nem kötött munkaidőben - munkaköri feladatként - a munkáltató rendelkezései szerint ellátja mindazokat a feladatokat, amelyek összefüggnek a felsőoktatási intézmény működésével és igénylik az oktató szakértelmét.</w:t>
      </w:r>
    </w:p>
    <w:p w14:paraId="2F3D8E4E" w14:textId="77777777" w:rsidR="00893D5B" w:rsidRPr="000250FA" w:rsidRDefault="00893D5B" w:rsidP="00893D5B">
      <w:pPr>
        <w:jc w:val="both"/>
        <w:rPr>
          <w:b/>
          <w:bCs/>
          <w:i/>
          <w:sz w:val="22"/>
          <w:szCs w:val="22"/>
        </w:rPr>
      </w:pPr>
    </w:p>
    <w:p w14:paraId="678919F4" w14:textId="77777777" w:rsidR="00893D5B" w:rsidRPr="000250FA" w:rsidRDefault="00893D5B" w:rsidP="00893D5B">
      <w:pPr>
        <w:jc w:val="both"/>
        <w:rPr>
          <w:bCs/>
          <w:sz w:val="22"/>
          <w:szCs w:val="22"/>
        </w:rPr>
      </w:pPr>
      <w:r w:rsidRPr="000250FA">
        <w:rPr>
          <w:bCs/>
          <w:sz w:val="22"/>
          <w:szCs w:val="22"/>
        </w:rPr>
        <w:t>(2) A munkáltatói jogkör gyakorlója a tanításra fordított időt negyven</w:t>
      </w:r>
      <w:r w:rsidRPr="000250FA">
        <w:rPr>
          <w:bCs/>
          <w:i/>
          <w:sz w:val="22"/>
          <w:szCs w:val="22"/>
        </w:rPr>
        <w:t xml:space="preserve"> </w:t>
      </w:r>
      <w:r w:rsidRPr="000250FA">
        <w:rPr>
          <w:bCs/>
          <w:sz w:val="22"/>
          <w:szCs w:val="22"/>
        </w:rPr>
        <w:t>százalékkal megemelheti, illetve huszonöt százalékkal csökkentheti. A csökkentés, emelés összefüggő időtartama legfeljebb két félévre szólhat.</w:t>
      </w:r>
    </w:p>
    <w:p w14:paraId="11B59AC2" w14:textId="77777777" w:rsidR="00893D5B" w:rsidRPr="000250FA" w:rsidRDefault="00893D5B" w:rsidP="00893D5B">
      <w:pPr>
        <w:jc w:val="both"/>
        <w:rPr>
          <w:sz w:val="22"/>
          <w:szCs w:val="22"/>
        </w:rPr>
      </w:pPr>
    </w:p>
    <w:p w14:paraId="7EFEB447" w14:textId="77777777" w:rsidR="00893D5B" w:rsidRPr="000250FA" w:rsidRDefault="00893D5B" w:rsidP="00893D5B">
      <w:pPr>
        <w:jc w:val="both"/>
        <w:rPr>
          <w:bCs/>
          <w:sz w:val="22"/>
          <w:szCs w:val="22"/>
        </w:rPr>
      </w:pPr>
      <w:r w:rsidRPr="000250FA">
        <w:rPr>
          <w:bCs/>
          <w:sz w:val="22"/>
          <w:szCs w:val="22"/>
        </w:rPr>
        <w:t>(3) Ha az oktatót nem teljes munkaidőben foglalkoztatják, a tanításra fordított időt, illetve annak csökkentését a munkaidővel arányosan kell meghatározni.</w:t>
      </w:r>
    </w:p>
    <w:p w14:paraId="0C5703A7" w14:textId="77777777" w:rsidR="00893D5B" w:rsidRPr="000250FA" w:rsidRDefault="00893D5B" w:rsidP="00893D5B">
      <w:pPr>
        <w:jc w:val="both"/>
        <w:rPr>
          <w:sz w:val="22"/>
          <w:szCs w:val="22"/>
        </w:rPr>
      </w:pPr>
    </w:p>
    <w:p w14:paraId="0133DAE3" w14:textId="77777777" w:rsidR="00893D5B" w:rsidRPr="000250FA" w:rsidRDefault="00893D5B" w:rsidP="00893D5B">
      <w:pPr>
        <w:jc w:val="both"/>
        <w:rPr>
          <w:sz w:val="22"/>
          <w:szCs w:val="22"/>
        </w:rPr>
      </w:pPr>
      <w:r w:rsidRPr="000250FA">
        <w:rPr>
          <w:sz w:val="22"/>
          <w:szCs w:val="22"/>
        </w:rPr>
        <w:t>(4)</w:t>
      </w:r>
      <w:r w:rsidRPr="000250FA">
        <w:rPr>
          <w:rStyle w:val="Lbjegyzet-hivatkozs"/>
          <w:sz w:val="22"/>
          <w:szCs w:val="22"/>
        </w:rPr>
        <w:footnoteReference w:id="292"/>
      </w:r>
      <w:r w:rsidRPr="000250FA">
        <w:rPr>
          <w:sz w:val="22"/>
          <w:szCs w:val="22"/>
        </w:rPr>
        <w:t xml:space="preserve"> A tanításra fordított időbe beszámítandó az adott képzésre vonatkozó, a képzési és kimeneti követelmények alapján a képzési program részét képező tantervben rögzített:</w:t>
      </w:r>
    </w:p>
    <w:p w14:paraId="3D60F94D" w14:textId="77777777" w:rsidR="00893D5B" w:rsidRPr="000250FA" w:rsidRDefault="00893D5B" w:rsidP="00893D5B">
      <w:pPr>
        <w:rPr>
          <w:sz w:val="22"/>
          <w:szCs w:val="22"/>
        </w:rPr>
      </w:pPr>
    </w:p>
    <w:p w14:paraId="4C48D9B6" w14:textId="77777777" w:rsidR="00893D5B" w:rsidRPr="000250FA" w:rsidRDefault="00893D5B" w:rsidP="00F83E93">
      <w:pPr>
        <w:numPr>
          <w:ilvl w:val="0"/>
          <w:numId w:val="98"/>
        </w:numPr>
        <w:jc w:val="both"/>
        <w:rPr>
          <w:sz w:val="22"/>
          <w:szCs w:val="22"/>
        </w:rPr>
      </w:pPr>
      <w:r w:rsidRPr="000250FA">
        <w:rPr>
          <w:sz w:val="22"/>
          <w:szCs w:val="22"/>
        </w:rPr>
        <w:t>előadás,</w:t>
      </w:r>
    </w:p>
    <w:p w14:paraId="21D4FF26" w14:textId="77777777" w:rsidR="00893D5B" w:rsidRPr="000250FA" w:rsidRDefault="00893D5B" w:rsidP="00F83E93">
      <w:pPr>
        <w:numPr>
          <w:ilvl w:val="0"/>
          <w:numId w:val="98"/>
        </w:numPr>
        <w:jc w:val="both"/>
        <w:rPr>
          <w:sz w:val="22"/>
          <w:szCs w:val="22"/>
        </w:rPr>
      </w:pPr>
      <w:r w:rsidRPr="000250FA">
        <w:rPr>
          <w:sz w:val="22"/>
          <w:szCs w:val="22"/>
        </w:rPr>
        <w:t>szeminárium,</w:t>
      </w:r>
    </w:p>
    <w:p w14:paraId="034D1B17" w14:textId="77777777" w:rsidR="00893D5B" w:rsidRPr="000250FA" w:rsidRDefault="00893D5B" w:rsidP="00F83E93">
      <w:pPr>
        <w:numPr>
          <w:ilvl w:val="0"/>
          <w:numId w:val="98"/>
        </w:numPr>
        <w:jc w:val="both"/>
        <w:rPr>
          <w:sz w:val="22"/>
          <w:szCs w:val="22"/>
        </w:rPr>
      </w:pPr>
      <w:r w:rsidRPr="000250FA">
        <w:rPr>
          <w:sz w:val="22"/>
          <w:szCs w:val="22"/>
        </w:rPr>
        <w:t>gyakorlat,</w:t>
      </w:r>
    </w:p>
    <w:p w14:paraId="4015035E" w14:textId="77777777" w:rsidR="00893D5B" w:rsidRPr="000250FA" w:rsidRDefault="00893D5B" w:rsidP="00F83E93">
      <w:pPr>
        <w:numPr>
          <w:ilvl w:val="0"/>
          <w:numId w:val="98"/>
        </w:numPr>
        <w:jc w:val="both"/>
        <w:rPr>
          <w:sz w:val="22"/>
          <w:szCs w:val="22"/>
        </w:rPr>
      </w:pPr>
      <w:proofErr w:type="gramStart"/>
      <w:r w:rsidRPr="000250FA">
        <w:rPr>
          <w:sz w:val="22"/>
          <w:szCs w:val="22"/>
        </w:rPr>
        <w:t>konzultáció</w:t>
      </w:r>
      <w:proofErr w:type="gramEnd"/>
      <w:r w:rsidRPr="000250FA">
        <w:rPr>
          <w:sz w:val="22"/>
          <w:szCs w:val="22"/>
        </w:rPr>
        <w:t xml:space="preserve"> (az oktató által a hallgató részére biztosított, a hallgató tanulmányaival kapcsolatos személyes megbeszélés lehetősége).</w:t>
      </w:r>
    </w:p>
    <w:p w14:paraId="012F07F8" w14:textId="77777777" w:rsidR="00893D5B" w:rsidRPr="000250FA" w:rsidRDefault="00893D5B" w:rsidP="00893D5B">
      <w:pPr>
        <w:rPr>
          <w:strike/>
          <w:sz w:val="22"/>
          <w:szCs w:val="22"/>
        </w:rPr>
      </w:pPr>
    </w:p>
    <w:p w14:paraId="04515EE8" w14:textId="77777777" w:rsidR="00893D5B" w:rsidRPr="000250FA" w:rsidRDefault="00893D5B" w:rsidP="00893D5B">
      <w:pPr>
        <w:jc w:val="both"/>
        <w:rPr>
          <w:sz w:val="22"/>
          <w:szCs w:val="22"/>
        </w:rPr>
      </w:pPr>
      <w:r w:rsidRPr="000250FA">
        <w:rPr>
          <w:sz w:val="22"/>
          <w:szCs w:val="22"/>
        </w:rPr>
        <w:t xml:space="preserve">(5) </w:t>
      </w:r>
      <w:r w:rsidRPr="000250FA">
        <w:rPr>
          <w:rStyle w:val="Lbjegyzet-hivatkozs"/>
          <w:sz w:val="22"/>
          <w:szCs w:val="22"/>
        </w:rPr>
        <w:footnoteReference w:id="293"/>
      </w:r>
      <w:r w:rsidRPr="000250FA">
        <w:rPr>
          <w:sz w:val="22"/>
          <w:szCs w:val="22"/>
        </w:rPr>
        <w:t xml:space="preserve"> </w:t>
      </w:r>
      <w:r w:rsidRPr="000250FA">
        <w:rPr>
          <w:rStyle w:val="Lbjegyzet-hivatkozs"/>
          <w:sz w:val="22"/>
          <w:szCs w:val="22"/>
        </w:rPr>
        <w:footnoteReference w:id="294"/>
      </w:r>
      <w:r w:rsidRPr="000250FA">
        <w:rPr>
          <w:sz w:val="22"/>
          <w:szCs w:val="22"/>
        </w:rPr>
        <w:t xml:space="preserve"> Az 52. § (1) bekezdés b) és c) pontjában meghatározott minősítési szempontok körében értékelhető  </w:t>
      </w:r>
    </w:p>
    <w:p w14:paraId="40B2AB65" w14:textId="77777777" w:rsidR="00893D5B" w:rsidRPr="000250FA" w:rsidRDefault="00893D5B" w:rsidP="00660171">
      <w:pPr>
        <w:ind w:left="426"/>
        <w:jc w:val="both"/>
        <w:rPr>
          <w:sz w:val="22"/>
          <w:szCs w:val="22"/>
        </w:rPr>
      </w:pPr>
      <w:proofErr w:type="gramStart"/>
      <w:r w:rsidRPr="000250FA">
        <w:rPr>
          <w:sz w:val="22"/>
          <w:szCs w:val="22"/>
        </w:rPr>
        <w:t>a</w:t>
      </w:r>
      <w:proofErr w:type="gramEnd"/>
      <w:r w:rsidRPr="000250FA">
        <w:rPr>
          <w:sz w:val="22"/>
          <w:szCs w:val="22"/>
        </w:rPr>
        <w:t>) a vizsgáztatás (az oktatási alaptevékenység részét képező, az oktatás során közvetített ismeretek, készségek, képességek elsajátításának értékeléssel egybekötött írásbeli, szóbeli, vagy egyéb ellenőrzési formája, ideértve az írásbeli számonkérés javítására fordított időt is);</w:t>
      </w:r>
    </w:p>
    <w:p w14:paraId="2166211C" w14:textId="77777777" w:rsidR="00893D5B" w:rsidRPr="000250FA" w:rsidRDefault="00893D5B" w:rsidP="00660171">
      <w:pPr>
        <w:ind w:left="426"/>
        <w:jc w:val="both"/>
        <w:rPr>
          <w:sz w:val="22"/>
          <w:szCs w:val="22"/>
        </w:rPr>
      </w:pPr>
      <w:r w:rsidRPr="000250FA">
        <w:rPr>
          <w:sz w:val="22"/>
          <w:szCs w:val="22"/>
        </w:rPr>
        <w:t xml:space="preserve">b) a </w:t>
      </w:r>
      <w:proofErr w:type="gramStart"/>
      <w:r w:rsidRPr="000250FA">
        <w:rPr>
          <w:sz w:val="22"/>
          <w:szCs w:val="22"/>
        </w:rPr>
        <w:t>tananyag fejlesztés</w:t>
      </w:r>
      <w:proofErr w:type="gramEnd"/>
      <w:r w:rsidRPr="000250FA">
        <w:rPr>
          <w:sz w:val="22"/>
          <w:szCs w:val="22"/>
        </w:rPr>
        <w:t>;</w:t>
      </w:r>
    </w:p>
    <w:p w14:paraId="6610FA79" w14:textId="77777777" w:rsidR="00893D5B" w:rsidRPr="000250FA" w:rsidRDefault="00893D5B" w:rsidP="00660171">
      <w:pPr>
        <w:ind w:left="426"/>
        <w:jc w:val="both"/>
        <w:rPr>
          <w:sz w:val="22"/>
          <w:szCs w:val="22"/>
        </w:rPr>
      </w:pPr>
      <w:r w:rsidRPr="000250FA">
        <w:rPr>
          <w:sz w:val="22"/>
          <w:szCs w:val="22"/>
        </w:rPr>
        <w:t xml:space="preserve">c) a tankönyv és </w:t>
      </w:r>
      <w:proofErr w:type="gramStart"/>
      <w:r w:rsidRPr="000250FA">
        <w:rPr>
          <w:sz w:val="22"/>
          <w:szCs w:val="22"/>
        </w:rPr>
        <w:t>segédlet készítés</w:t>
      </w:r>
      <w:proofErr w:type="gramEnd"/>
      <w:r w:rsidRPr="000250FA">
        <w:rPr>
          <w:sz w:val="22"/>
          <w:szCs w:val="22"/>
        </w:rPr>
        <w:t>,</w:t>
      </w:r>
    </w:p>
    <w:p w14:paraId="3465E2DA" w14:textId="77777777" w:rsidR="00893D5B" w:rsidRPr="000250FA" w:rsidRDefault="00893D5B" w:rsidP="00660171">
      <w:pPr>
        <w:ind w:left="426"/>
        <w:jc w:val="both"/>
        <w:rPr>
          <w:sz w:val="22"/>
          <w:szCs w:val="22"/>
        </w:rPr>
      </w:pPr>
      <w:r w:rsidRPr="000250FA">
        <w:rPr>
          <w:sz w:val="22"/>
          <w:szCs w:val="22"/>
        </w:rPr>
        <w:t>d) a felkészüléssel összefüggésben végzett tevékenység.</w:t>
      </w:r>
    </w:p>
    <w:p w14:paraId="43BC9871" w14:textId="77777777" w:rsidR="00893D5B" w:rsidRPr="000250FA" w:rsidRDefault="00893D5B" w:rsidP="00893D5B">
      <w:pPr>
        <w:jc w:val="both"/>
        <w:rPr>
          <w:b/>
          <w:bCs/>
          <w:sz w:val="22"/>
          <w:szCs w:val="22"/>
        </w:rPr>
      </w:pPr>
    </w:p>
    <w:p w14:paraId="3530F953" w14:textId="77777777" w:rsidR="00893D5B" w:rsidRDefault="00893D5B" w:rsidP="00893D5B">
      <w:pPr>
        <w:tabs>
          <w:tab w:val="left" w:pos="9781"/>
        </w:tabs>
        <w:ind w:right="-144"/>
        <w:jc w:val="both"/>
        <w:rPr>
          <w:sz w:val="22"/>
          <w:szCs w:val="22"/>
        </w:rPr>
      </w:pPr>
      <w:r w:rsidRPr="000250FA">
        <w:rPr>
          <w:sz w:val="22"/>
          <w:szCs w:val="22"/>
        </w:rPr>
        <w:lastRenderedPageBreak/>
        <w:t>(6)</w:t>
      </w:r>
      <w:r>
        <w:rPr>
          <w:rStyle w:val="Lbjegyzet-hivatkozs"/>
          <w:sz w:val="22"/>
          <w:szCs w:val="22"/>
        </w:rPr>
        <w:footnoteReference w:id="295"/>
      </w:r>
      <w:r w:rsidRPr="000250FA">
        <w:rPr>
          <w:sz w:val="22"/>
          <w:szCs w:val="22"/>
        </w:rPr>
        <w:t xml:space="preserve"> A dékán a (4) bekezdésben foglaltak alapján utasításban meghatározza a tanításra fordított idő számításának részletes szabályait</w:t>
      </w:r>
      <w:r>
        <w:rPr>
          <w:sz w:val="22"/>
          <w:szCs w:val="22"/>
        </w:rPr>
        <w:t>.</w:t>
      </w:r>
    </w:p>
    <w:p w14:paraId="32D9A990" w14:textId="77777777" w:rsidR="00893D5B" w:rsidRPr="000250FA" w:rsidRDefault="00893D5B" w:rsidP="00893D5B">
      <w:pPr>
        <w:tabs>
          <w:tab w:val="left" w:pos="9781"/>
        </w:tabs>
        <w:ind w:right="-144"/>
        <w:jc w:val="both"/>
        <w:rPr>
          <w:sz w:val="22"/>
          <w:szCs w:val="22"/>
        </w:rPr>
      </w:pPr>
    </w:p>
    <w:p w14:paraId="634ACCEE" w14:textId="77777777" w:rsidR="00893D5B" w:rsidRPr="000250FA" w:rsidRDefault="00893D5B" w:rsidP="00893D5B">
      <w:pPr>
        <w:tabs>
          <w:tab w:val="left" w:pos="9781"/>
        </w:tabs>
        <w:ind w:right="-144"/>
        <w:jc w:val="both"/>
        <w:rPr>
          <w:sz w:val="22"/>
          <w:szCs w:val="22"/>
        </w:rPr>
      </w:pPr>
      <w:r w:rsidRPr="000250FA">
        <w:rPr>
          <w:sz w:val="22"/>
          <w:szCs w:val="22"/>
        </w:rPr>
        <w:t>(7) A tanításra fordított idő számítása során a szorgalmi időszakot 14 hét időtartammal kell figyelembe venni.</w:t>
      </w:r>
    </w:p>
    <w:p w14:paraId="47A4BB93" w14:textId="77777777" w:rsidR="00893D5B" w:rsidRPr="000250FA" w:rsidRDefault="00893D5B" w:rsidP="00893D5B">
      <w:pPr>
        <w:tabs>
          <w:tab w:val="left" w:pos="9781"/>
        </w:tabs>
        <w:ind w:right="-144"/>
        <w:jc w:val="both"/>
        <w:rPr>
          <w:sz w:val="22"/>
          <w:szCs w:val="22"/>
        </w:rPr>
      </w:pPr>
    </w:p>
    <w:p w14:paraId="15BCCC93" w14:textId="77777777" w:rsidR="00893D5B" w:rsidRPr="000250FA" w:rsidRDefault="00893D5B" w:rsidP="00893D5B">
      <w:pPr>
        <w:tabs>
          <w:tab w:val="left" w:pos="9781"/>
        </w:tabs>
        <w:ind w:right="-144"/>
        <w:jc w:val="both"/>
        <w:rPr>
          <w:sz w:val="22"/>
          <w:szCs w:val="22"/>
        </w:rPr>
      </w:pPr>
      <w:r w:rsidRPr="000250FA">
        <w:rPr>
          <w:sz w:val="22"/>
          <w:szCs w:val="22"/>
        </w:rPr>
        <w:t xml:space="preserve">(8) Az oktató a (4) bekezdésben meghatározott tevékenységének valamint egyéb oktatásszervezési feladatainak ellátása érdekében heti </w:t>
      </w:r>
      <w:proofErr w:type="spellStart"/>
      <w:r w:rsidRPr="000250FA">
        <w:rPr>
          <w:sz w:val="22"/>
          <w:szCs w:val="22"/>
        </w:rPr>
        <w:t>munkaidejének</w:t>
      </w:r>
      <w:proofErr w:type="spellEnd"/>
      <w:r w:rsidRPr="000250FA">
        <w:rPr>
          <w:sz w:val="22"/>
          <w:szCs w:val="22"/>
        </w:rPr>
        <w:t xml:space="preserve"> felében köteles az Egyetemen tartózkodni és a hallgatók rendelkezésére állni. </w:t>
      </w:r>
    </w:p>
    <w:p w14:paraId="0700D289" w14:textId="77777777" w:rsidR="00893D5B" w:rsidRPr="000250FA" w:rsidRDefault="00893D5B" w:rsidP="00893D5B">
      <w:pPr>
        <w:tabs>
          <w:tab w:val="left" w:pos="9781"/>
        </w:tabs>
        <w:ind w:right="-144"/>
        <w:jc w:val="both"/>
        <w:rPr>
          <w:sz w:val="22"/>
          <w:szCs w:val="22"/>
        </w:rPr>
      </w:pPr>
    </w:p>
    <w:p w14:paraId="45998EE9" w14:textId="77777777" w:rsidR="00893D5B" w:rsidRPr="000250FA" w:rsidRDefault="00893D5B" w:rsidP="00893D5B">
      <w:pPr>
        <w:tabs>
          <w:tab w:val="left" w:pos="9781"/>
        </w:tabs>
        <w:ind w:right="-144"/>
        <w:jc w:val="both"/>
        <w:rPr>
          <w:b/>
          <w:i/>
          <w:sz w:val="22"/>
          <w:szCs w:val="22"/>
        </w:rPr>
      </w:pPr>
      <w:r w:rsidRPr="000250FA">
        <w:rPr>
          <w:sz w:val="22"/>
          <w:szCs w:val="22"/>
        </w:rPr>
        <w:t>(9)</w:t>
      </w:r>
      <w:r w:rsidRPr="000250FA">
        <w:rPr>
          <w:b/>
          <w:i/>
          <w:sz w:val="22"/>
          <w:szCs w:val="22"/>
        </w:rPr>
        <w:t xml:space="preserve"> </w:t>
      </w:r>
      <w:r w:rsidRPr="009D012B">
        <w:rPr>
          <w:rStyle w:val="Lbjegyzet-hivatkozs"/>
          <w:sz w:val="22"/>
          <w:szCs w:val="22"/>
        </w:rPr>
        <w:footnoteReference w:id="296"/>
      </w:r>
    </w:p>
    <w:p w14:paraId="2F0C62E0" w14:textId="77777777" w:rsidR="00893D5B" w:rsidRPr="000250FA" w:rsidRDefault="00893D5B" w:rsidP="00893D5B">
      <w:pPr>
        <w:tabs>
          <w:tab w:val="left" w:pos="9781"/>
        </w:tabs>
        <w:ind w:right="-144"/>
        <w:jc w:val="both"/>
        <w:rPr>
          <w:sz w:val="22"/>
          <w:szCs w:val="22"/>
        </w:rPr>
      </w:pPr>
      <w:r w:rsidRPr="000250FA">
        <w:rPr>
          <w:sz w:val="22"/>
          <w:szCs w:val="22"/>
        </w:rPr>
        <w:t xml:space="preserve"> </w:t>
      </w:r>
    </w:p>
    <w:p w14:paraId="093A0A3D" w14:textId="77777777" w:rsidR="00893D5B" w:rsidRPr="000250FA" w:rsidRDefault="00893D5B" w:rsidP="00893D5B">
      <w:pPr>
        <w:tabs>
          <w:tab w:val="left" w:pos="9781"/>
        </w:tabs>
        <w:autoSpaceDE w:val="0"/>
        <w:autoSpaceDN w:val="0"/>
        <w:adjustRightInd w:val="0"/>
        <w:ind w:right="-144"/>
        <w:rPr>
          <w:sz w:val="22"/>
          <w:szCs w:val="22"/>
        </w:rPr>
      </w:pPr>
    </w:p>
    <w:p w14:paraId="12A777FE" w14:textId="77777777" w:rsidR="00893D5B" w:rsidRPr="000250FA" w:rsidRDefault="00893D5B" w:rsidP="00893D5B">
      <w:pPr>
        <w:autoSpaceDE w:val="0"/>
        <w:autoSpaceDN w:val="0"/>
        <w:adjustRightInd w:val="0"/>
        <w:ind w:right="-144"/>
        <w:jc w:val="both"/>
        <w:rPr>
          <w:sz w:val="22"/>
          <w:szCs w:val="22"/>
        </w:rPr>
      </w:pPr>
      <w:r w:rsidRPr="000250FA">
        <w:rPr>
          <w:b/>
          <w:sz w:val="22"/>
          <w:szCs w:val="22"/>
        </w:rPr>
        <w:t>84. §</w:t>
      </w:r>
      <w:r w:rsidRPr="000250FA">
        <w:rPr>
          <w:sz w:val="22"/>
          <w:szCs w:val="22"/>
        </w:rPr>
        <w:t xml:space="preserve"> (1) A tanításra fordított idő meghatározásánál az oktató által ellátott magasabb vezetői, illetve vezetői feladatok ellátásáért az oktatót kedvezményben kell részesíteni. </w:t>
      </w:r>
    </w:p>
    <w:p w14:paraId="3DB2F6BB" w14:textId="77777777" w:rsidR="00893D5B" w:rsidRPr="000250FA" w:rsidRDefault="00893D5B" w:rsidP="00893D5B">
      <w:pPr>
        <w:tabs>
          <w:tab w:val="left" w:pos="9781"/>
        </w:tabs>
        <w:autoSpaceDE w:val="0"/>
        <w:autoSpaceDN w:val="0"/>
        <w:adjustRightInd w:val="0"/>
        <w:ind w:right="-144"/>
        <w:jc w:val="both"/>
        <w:rPr>
          <w:sz w:val="22"/>
          <w:szCs w:val="22"/>
        </w:rPr>
      </w:pPr>
    </w:p>
    <w:p w14:paraId="15B04B43"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w:t>
      </w:r>
      <w:r w:rsidRPr="000250FA">
        <w:rPr>
          <w:rStyle w:val="Lbjegyzet-hivatkozs"/>
          <w:sz w:val="22"/>
          <w:szCs w:val="22"/>
        </w:rPr>
        <w:footnoteReference w:id="297"/>
      </w:r>
      <w:r w:rsidRPr="000250FA">
        <w:rPr>
          <w:sz w:val="22"/>
          <w:szCs w:val="22"/>
        </w:rPr>
        <w:t xml:space="preserve"> Az (1) bekezdésben említett kedvezmény mértéke</w:t>
      </w:r>
    </w:p>
    <w:p w14:paraId="27440F53" w14:textId="77777777" w:rsidR="00893D5B" w:rsidRPr="000250FA" w:rsidRDefault="00893D5B" w:rsidP="00893D5B">
      <w:pPr>
        <w:tabs>
          <w:tab w:val="left" w:pos="9781"/>
        </w:tabs>
        <w:ind w:left="561" w:right="-144"/>
        <w:jc w:val="both"/>
        <w:rPr>
          <w:sz w:val="22"/>
          <w:szCs w:val="22"/>
        </w:rPr>
      </w:pPr>
    </w:p>
    <w:p w14:paraId="790CAFA7" w14:textId="77777777" w:rsidR="00893D5B" w:rsidRPr="000250FA" w:rsidRDefault="00893D5B" w:rsidP="00F83E93">
      <w:pPr>
        <w:numPr>
          <w:ilvl w:val="0"/>
          <w:numId w:val="99"/>
        </w:numPr>
        <w:jc w:val="both"/>
        <w:rPr>
          <w:sz w:val="22"/>
          <w:szCs w:val="22"/>
        </w:rPr>
      </w:pPr>
      <w:r w:rsidRPr="000250FA">
        <w:rPr>
          <w:sz w:val="22"/>
          <w:szCs w:val="22"/>
          <w:vertAlign w:val="superscript"/>
        </w:rPr>
        <w:footnoteReference w:id="298"/>
      </w:r>
      <w:r w:rsidRPr="000250FA">
        <w:rPr>
          <w:sz w:val="22"/>
          <w:szCs w:val="22"/>
        </w:rPr>
        <w:t xml:space="preserve"> rektorhelyettes, rektori megbízott esetében: </w:t>
      </w:r>
      <w:r w:rsidRPr="000250FA">
        <w:rPr>
          <w:sz w:val="22"/>
          <w:szCs w:val="22"/>
        </w:rPr>
        <w:tab/>
      </w:r>
      <w:r w:rsidRPr="000250FA">
        <w:rPr>
          <w:sz w:val="22"/>
          <w:szCs w:val="22"/>
        </w:rPr>
        <w:tab/>
        <w:t>heti 4 óra</w:t>
      </w:r>
    </w:p>
    <w:p w14:paraId="76BB84F6" w14:textId="77777777" w:rsidR="00893D5B" w:rsidRPr="000250FA" w:rsidRDefault="00893D5B" w:rsidP="00F83E93">
      <w:pPr>
        <w:numPr>
          <w:ilvl w:val="0"/>
          <w:numId w:val="99"/>
        </w:numPr>
        <w:jc w:val="both"/>
        <w:rPr>
          <w:sz w:val="22"/>
          <w:szCs w:val="22"/>
        </w:rPr>
      </w:pPr>
      <w:r w:rsidRPr="000250FA">
        <w:rPr>
          <w:sz w:val="22"/>
          <w:szCs w:val="22"/>
        </w:rPr>
        <w:t xml:space="preserve">dékán esetében </w:t>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t>heti 4 óra</w:t>
      </w:r>
    </w:p>
    <w:p w14:paraId="12E8D5C5" w14:textId="77777777" w:rsidR="00893D5B" w:rsidRPr="000250FA" w:rsidRDefault="00893D5B" w:rsidP="00893D5B">
      <w:pPr>
        <w:rPr>
          <w:sz w:val="22"/>
          <w:szCs w:val="22"/>
        </w:rPr>
      </w:pPr>
    </w:p>
    <w:p w14:paraId="095D988C" w14:textId="77777777" w:rsidR="00893D5B" w:rsidRPr="000250FA" w:rsidRDefault="00893D5B" w:rsidP="00893D5B">
      <w:pPr>
        <w:rPr>
          <w:b/>
          <w:i/>
          <w:sz w:val="22"/>
          <w:szCs w:val="22"/>
        </w:rPr>
      </w:pPr>
      <w:r w:rsidRPr="000250FA">
        <w:rPr>
          <w:sz w:val="22"/>
          <w:szCs w:val="22"/>
        </w:rPr>
        <w:t xml:space="preserve"> </w:t>
      </w:r>
      <w:proofErr w:type="gramStart"/>
      <w:r w:rsidRPr="000250FA">
        <w:rPr>
          <w:sz w:val="22"/>
          <w:szCs w:val="22"/>
        </w:rPr>
        <w:t>az</w:t>
      </w:r>
      <w:proofErr w:type="gramEnd"/>
      <w:r w:rsidRPr="000250FA">
        <w:rPr>
          <w:sz w:val="22"/>
          <w:szCs w:val="22"/>
        </w:rPr>
        <w:t xml:space="preserve"> a) és b) pontban fel nem sorolt magasabb vezetői, vezetői megbízással rendelkezők esetében heti 2 óra</w:t>
      </w:r>
      <w:r w:rsidRPr="000250FA">
        <w:t>.</w:t>
      </w:r>
    </w:p>
    <w:p w14:paraId="66B1EC41" w14:textId="77777777" w:rsidR="00893D5B" w:rsidRPr="000250FA" w:rsidRDefault="00893D5B" w:rsidP="00893D5B">
      <w:pPr>
        <w:tabs>
          <w:tab w:val="left" w:pos="9781"/>
        </w:tabs>
        <w:ind w:left="1980" w:right="-144"/>
        <w:jc w:val="both"/>
        <w:rPr>
          <w:sz w:val="22"/>
          <w:szCs w:val="22"/>
        </w:rPr>
      </w:pPr>
    </w:p>
    <w:p w14:paraId="52C158B2"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299"/>
      </w:r>
      <w:r w:rsidRPr="000250FA">
        <w:rPr>
          <w:sz w:val="22"/>
          <w:szCs w:val="22"/>
        </w:rPr>
        <w:t xml:space="preserve"> A dékán – legfeljebb a (2) bekezdés c) pontjában meghatározott mértékig – az oktató számára kedvezményt biztosíthat. A tanársegédek esetében az oktató sajátos feladataira – különös tekintettel </w:t>
      </w:r>
      <w:proofErr w:type="gramStart"/>
      <w:r w:rsidRPr="000250FA">
        <w:rPr>
          <w:sz w:val="22"/>
          <w:szCs w:val="22"/>
        </w:rPr>
        <w:t>a  doktori</w:t>
      </w:r>
      <w:proofErr w:type="gramEnd"/>
      <w:r w:rsidRPr="000250FA">
        <w:rPr>
          <w:sz w:val="22"/>
          <w:szCs w:val="22"/>
        </w:rPr>
        <w:t xml:space="preserve"> képzés</w:t>
      </w:r>
      <w:r w:rsidRPr="000250FA">
        <w:rPr>
          <w:b/>
          <w:i/>
          <w:sz w:val="22"/>
          <w:szCs w:val="22"/>
        </w:rPr>
        <w:t xml:space="preserve"> </w:t>
      </w:r>
      <w:r w:rsidRPr="000250FA">
        <w:rPr>
          <w:sz w:val="22"/>
          <w:szCs w:val="22"/>
        </w:rPr>
        <w:t>keretében folytatott kutatási tevékenységére – figyelemmel a dékán legfeljebb 4 óra kedvezményt biztosíthat.</w:t>
      </w:r>
    </w:p>
    <w:p w14:paraId="5E7491C2" w14:textId="77777777" w:rsidR="00893D5B" w:rsidRPr="000250FA" w:rsidRDefault="00893D5B" w:rsidP="00893D5B">
      <w:pPr>
        <w:tabs>
          <w:tab w:val="left" w:pos="9781"/>
        </w:tabs>
        <w:ind w:left="1980" w:right="-144"/>
        <w:jc w:val="both"/>
        <w:rPr>
          <w:sz w:val="22"/>
          <w:szCs w:val="22"/>
        </w:rPr>
      </w:pPr>
    </w:p>
    <w:p w14:paraId="3908AB4D" w14:textId="77777777" w:rsidR="00893D5B" w:rsidRPr="000250FA" w:rsidRDefault="00893D5B" w:rsidP="00893D5B">
      <w:pPr>
        <w:tabs>
          <w:tab w:val="left" w:pos="9781"/>
        </w:tabs>
        <w:ind w:right="-144"/>
        <w:jc w:val="both"/>
        <w:rPr>
          <w:sz w:val="22"/>
          <w:szCs w:val="22"/>
        </w:rPr>
      </w:pPr>
      <w:r w:rsidRPr="000250FA">
        <w:rPr>
          <w:sz w:val="22"/>
          <w:szCs w:val="22"/>
        </w:rPr>
        <w:t>(4) Az (2)-(3) bekezdésben meghatározott kedvezmények a jogosultat csak egy jogcímen illetik meg. A 83. § (3) bekezdését a kedvezmény meghatározásánál megfelelően alkalmazni kell.</w:t>
      </w:r>
    </w:p>
    <w:p w14:paraId="1CA06B10" w14:textId="77777777" w:rsidR="00893D5B" w:rsidRPr="000250FA" w:rsidRDefault="00893D5B" w:rsidP="00893D5B">
      <w:pPr>
        <w:tabs>
          <w:tab w:val="left" w:pos="9781"/>
        </w:tabs>
        <w:ind w:left="1980" w:right="-144"/>
        <w:jc w:val="both"/>
        <w:rPr>
          <w:sz w:val="22"/>
          <w:szCs w:val="22"/>
        </w:rPr>
      </w:pPr>
    </w:p>
    <w:p w14:paraId="5138003B" w14:textId="77777777" w:rsidR="00893D5B" w:rsidRPr="000250FA" w:rsidRDefault="00893D5B" w:rsidP="00893D5B">
      <w:pPr>
        <w:tabs>
          <w:tab w:val="left" w:pos="709"/>
          <w:tab w:val="left" w:pos="9781"/>
        </w:tabs>
        <w:ind w:right="-144"/>
        <w:jc w:val="both"/>
        <w:rPr>
          <w:sz w:val="22"/>
          <w:szCs w:val="22"/>
        </w:rPr>
      </w:pPr>
      <w:r w:rsidRPr="000250FA">
        <w:rPr>
          <w:sz w:val="22"/>
          <w:szCs w:val="22"/>
        </w:rPr>
        <w:t>(5)</w:t>
      </w:r>
      <w:r w:rsidRPr="000250FA">
        <w:rPr>
          <w:rStyle w:val="Lbjegyzet-hivatkozs"/>
          <w:sz w:val="22"/>
          <w:szCs w:val="22"/>
        </w:rPr>
        <w:footnoteReference w:id="300"/>
      </w:r>
      <w:r w:rsidRPr="000250FA">
        <w:rPr>
          <w:sz w:val="22"/>
          <w:szCs w:val="22"/>
        </w:rPr>
        <w:t xml:space="preserve"> A rektor részére a Konzisztórium</w:t>
      </w:r>
      <w:r w:rsidRPr="000250FA">
        <w:rPr>
          <w:b/>
          <w:i/>
          <w:sz w:val="22"/>
          <w:szCs w:val="22"/>
        </w:rPr>
        <w:t xml:space="preserve"> </w:t>
      </w:r>
      <w:r w:rsidRPr="000250FA">
        <w:rPr>
          <w:sz w:val="22"/>
          <w:szCs w:val="22"/>
        </w:rPr>
        <w:t xml:space="preserve">állapít meg órakedvezményt, vagy a közalkalmazotti kinevezésben (kinevezés-módosításban) határozza meg, hogy az egyes feladatokat a foglalkoztatás </w:t>
      </w:r>
      <w:proofErr w:type="spellStart"/>
      <w:r w:rsidRPr="000250FA">
        <w:rPr>
          <w:sz w:val="22"/>
          <w:szCs w:val="22"/>
        </w:rPr>
        <w:t>munkaidejének</w:t>
      </w:r>
      <w:proofErr w:type="spellEnd"/>
      <w:r w:rsidRPr="000250FA">
        <w:rPr>
          <w:sz w:val="22"/>
          <w:szCs w:val="22"/>
        </w:rPr>
        <w:t xml:space="preserve"> milyen hányadában kell ellátnia.</w:t>
      </w:r>
    </w:p>
    <w:p w14:paraId="6C6DB2D8" w14:textId="77777777" w:rsidR="00893D5B" w:rsidRPr="000250FA" w:rsidRDefault="00893D5B" w:rsidP="00893D5B">
      <w:pPr>
        <w:rPr>
          <w:sz w:val="22"/>
          <w:szCs w:val="22"/>
        </w:rPr>
      </w:pPr>
    </w:p>
    <w:p w14:paraId="4772F963" w14:textId="77777777" w:rsidR="00893D5B" w:rsidRPr="000250FA" w:rsidRDefault="00893D5B" w:rsidP="00893D5B">
      <w:pPr>
        <w:tabs>
          <w:tab w:val="left" w:pos="9781"/>
        </w:tabs>
        <w:ind w:right="-144"/>
        <w:jc w:val="both"/>
        <w:rPr>
          <w:sz w:val="22"/>
          <w:szCs w:val="22"/>
        </w:rPr>
      </w:pPr>
      <w:r w:rsidRPr="000250FA">
        <w:rPr>
          <w:bCs/>
          <w:sz w:val="22"/>
          <w:szCs w:val="22"/>
        </w:rPr>
        <w:t>(6)</w:t>
      </w:r>
      <w:r w:rsidRPr="000250FA">
        <w:rPr>
          <w:rStyle w:val="Lbjegyzet-hivatkozs"/>
          <w:bCs/>
          <w:sz w:val="22"/>
          <w:szCs w:val="22"/>
        </w:rPr>
        <w:footnoteReference w:id="301"/>
      </w:r>
      <w:r w:rsidRPr="000250FA">
        <w:rPr>
          <w:bCs/>
          <w:sz w:val="22"/>
          <w:szCs w:val="22"/>
        </w:rPr>
        <w:t xml:space="preserve"> A tanári munkakörben foglalkoztatott esetében a tanításra fordított idő két tanulmányi félév átlagában heti húsz óra. A munkáltatói jogkör gyakorlója utasításban a tanításra fordított időt tizenöt százalékkal megemelheti, illetve csökkentheti, azzal a megkötéssel, hogy az Egyetemen a tanári munkakörben foglalkoztatottakra számított tanításra fordított idő egy tanárra vetítve nem lehet kevesebb két tanulmányi félév átlagában heti tizennyolc óránál.</w:t>
      </w:r>
      <w:r w:rsidRPr="000250FA">
        <w:rPr>
          <w:i/>
          <w:sz w:val="22"/>
          <w:szCs w:val="22"/>
        </w:rPr>
        <w:t xml:space="preserve"> </w:t>
      </w:r>
      <w:r w:rsidRPr="000250FA">
        <w:rPr>
          <w:sz w:val="22"/>
          <w:szCs w:val="22"/>
        </w:rPr>
        <w:t>A pedagógus szakmódszertan tanár esetében a tanításra fordított idő két tanulmányi félév átlagában heti tizenkét óra. A munkáltató a tanításra fordított időt tizenöt százalékkal emelheti, illetve csökkentheti azzal, hogy a pedagógus-szakmódszertan tanár munkakörben foglalkoztatottakra számított tanításra fordított idő egy tanárra vetítve nem lehet kevesebb két tanulmányi félév átlagában heti tizenkettő óránál.</w:t>
      </w:r>
    </w:p>
    <w:p w14:paraId="20D61A9E" w14:textId="77777777" w:rsidR="00385CF2" w:rsidRDefault="00385CF2">
      <w:pPr>
        <w:spacing w:after="160" w:line="259" w:lineRule="auto"/>
        <w:rPr>
          <w:b/>
          <w:sz w:val="22"/>
          <w:szCs w:val="22"/>
        </w:rPr>
      </w:pPr>
      <w:r>
        <w:rPr>
          <w:b/>
          <w:sz w:val="22"/>
          <w:szCs w:val="22"/>
        </w:rPr>
        <w:br w:type="page"/>
      </w:r>
    </w:p>
    <w:p w14:paraId="50C7D618" w14:textId="77777777" w:rsidR="00893D5B" w:rsidRPr="000250FA" w:rsidRDefault="00893D5B" w:rsidP="00893D5B">
      <w:pPr>
        <w:tabs>
          <w:tab w:val="left" w:pos="9781"/>
        </w:tabs>
        <w:ind w:right="-144"/>
        <w:rPr>
          <w:b/>
          <w:sz w:val="22"/>
          <w:szCs w:val="22"/>
        </w:rPr>
      </w:pPr>
    </w:p>
    <w:p w14:paraId="1D6D477D" w14:textId="77777777" w:rsidR="00893D5B" w:rsidRPr="000250FA" w:rsidRDefault="00893D5B" w:rsidP="00893D5B">
      <w:pPr>
        <w:pStyle w:val="Cmsor4"/>
      </w:pPr>
      <w:bookmarkStart w:id="205" w:name="_Toc432753592"/>
      <w:r w:rsidRPr="000250FA">
        <w:t>Az alkotói szabadság</w:t>
      </w:r>
      <w:bookmarkEnd w:id="205"/>
    </w:p>
    <w:p w14:paraId="045C480D" w14:textId="77777777" w:rsidR="00893D5B" w:rsidRPr="000250FA" w:rsidRDefault="00893D5B" w:rsidP="00893D5B">
      <w:pPr>
        <w:tabs>
          <w:tab w:val="left" w:pos="9781"/>
        </w:tabs>
        <w:ind w:right="-144"/>
        <w:jc w:val="center"/>
        <w:rPr>
          <w:b/>
          <w:i/>
          <w:strike/>
          <w:sz w:val="22"/>
          <w:szCs w:val="22"/>
        </w:rPr>
      </w:pPr>
    </w:p>
    <w:p w14:paraId="6344D2B1" w14:textId="77777777" w:rsidR="00893D5B" w:rsidRPr="00893D5B" w:rsidRDefault="00893D5B" w:rsidP="00893D5B">
      <w:pPr>
        <w:contextualSpacing/>
        <w:jc w:val="both"/>
        <w:rPr>
          <w:rFonts w:eastAsia="Calibri"/>
          <w:sz w:val="22"/>
        </w:rPr>
      </w:pPr>
      <w:r w:rsidRPr="002F1E5A">
        <w:rPr>
          <w:b/>
          <w:sz w:val="22"/>
          <w:szCs w:val="22"/>
        </w:rPr>
        <w:t>85. §</w:t>
      </w:r>
      <w:r w:rsidRPr="002F1E5A">
        <w:rPr>
          <w:rStyle w:val="Lbjegyzet-hivatkozs"/>
          <w:sz w:val="20"/>
          <w:szCs w:val="22"/>
        </w:rPr>
        <w:footnoteReference w:id="302"/>
      </w:r>
      <w:r w:rsidRPr="002F1E5A">
        <w:rPr>
          <w:b/>
          <w:sz w:val="22"/>
          <w:szCs w:val="22"/>
        </w:rPr>
        <w:t xml:space="preserve"> </w:t>
      </w:r>
      <w:r w:rsidRPr="002F1E5A">
        <w:rPr>
          <w:rStyle w:val="Lbjegyzet-hivatkozs"/>
          <w:sz w:val="20"/>
          <w:szCs w:val="22"/>
        </w:rPr>
        <w:footnoteReference w:id="303"/>
      </w:r>
      <w:r w:rsidRPr="002F1E5A">
        <w:rPr>
          <w:b/>
          <w:sz w:val="22"/>
          <w:szCs w:val="22"/>
        </w:rPr>
        <w:t xml:space="preserve"> </w:t>
      </w:r>
      <w:r w:rsidRPr="00893D5B">
        <w:rPr>
          <w:rFonts w:eastAsia="Calibri"/>
          <w:sz w:val="22"/>
        </w:rPr>
        <w:t xml:space="preserve">(1) Annak az egyetemi docensnek, vagy egyetemi tanárnak, akinek minősítése a kérelem benyújtását megelőző két egymást követő tanévben kiválóan alkalmas volt  – kérelmére – tudományos kutatás, illetve művészi alkotótevékenység végzéséhez, egyéni tudományos továbbképzéshez a rektor a kari költségvetési </w:t>
      </w:r>
      <w:proofErr w:type="gramStart"/>
      <w:r w:rsidRPr="00893D5B">
        <w:rPr>
          <w:rFonts w:eastAsia="Calibri"/>
          <w:sz w:val="22"/>
        </w:rPr>
        <w:t>forrás rendelkezésre</w:t>
      </w:r>
      <w:proofErr w:type="gramEnd"/>
      <w:r w:rsidRPr="00893D5B">
        <w:rPr>
          <w:rFonts w:eastAsia="Calibri"/>
          <w:sz w:val="22"/>
        </w:rPr>
        <w:t xml:space="preserve"> állása esetén, annak terhére hétévenként alkotói szabadságot engedélyezhet. </w:t>
      </w:r>
    </w:p>
    <w:p w14:paraId="6253C470" w14:textId="77777777" w:rsidR="00893D5B" w:rsidRPr="00893D5B" w:rsidRDefault="00893D5B" w:rsidP="00893D5B">
      <w:pPr>
        <w:contextualSpacing/>
        <w:jc w:val="both"/>
        <w:rPr>
          <w:rFonts w:eastAsia="Calibri"/>
          <w:sz w:val="22"/>
        </w:rPr>
      </w:pPr>
    </w:p>
    <w:p w14:paraId="42A3EB5B" w14:textId="77777777" w:rsidR="00893D5B" w:rsidRDefault="00893D5B" w:rsidP="00893D5B">
      <w:pPr>
        <w:contextualSpacing/>
        <w:jc w:val="both"/>
        <w:rPr>
          <w:sz w:val="22"/>
        </w:rPr>
      </w:pPr>
      <w:r w:rsidRPr="00893D5B">
        <w:rPr>
          <w:sz w:val="22"/>
        </w:rPr>
        <w:t>(2) Az alkotói szabadság engedélyezésére irányuló kérelmet a rektornak kell benyújtani. A kérelemhez mellékelni kell a közvetlen munkahelyi felettes, valamint a dékán hozzájáruló nyilatkozatát.</w:t>
      </w:r>
    </w:p>
    <w:p w14:paraId="2588E6C4" w14:textId="77777777" w:rsidR="00660171" w:rsidRPr="00893D5B" w:rsidRDefault="00660171" w:rsidP="00893D5B">
      <w:pPr>
        <w:contextualSpacing/>
        <w:jc w:val="both"/>
        <w:rPr>
          <w:sz w:val="22"/>
        </w:rPr>
      </w:pPr>
    </w:p>
    <w:p w14:paraId="1009A57A" w14:textId="77777777" w:rsidR="00893D5B" w:rsidRPr="00893D5B" w:rsidRDefault="00893D5B" w:rsidP="00893D5B">
      <w:pPr>
        <w:pStyle w:val="NormlWeb"/>
        <w:spacing w:before="0" w:beforeAutospacing="0" w:after="0" w:afterAutospacing="0"/>
        <w:contextualSpacing/>
        <w:jc w:val="both"/>
        <w:rPr>
          <w:sz w:val="22"/>
          <w:szCs w:val="22"/>
        </w:rPr>
      </w:pPr>
      <w:r w:rsidRPr="00893D5B">
        <w:rPr>
          <w:sz w:val="22"/>
          <w:szCs w:val="22"/>
        </w:rPr>
        <w:t xml:space="preserve">(3) Az alkotói szabadság időtartamát a rektor határozza meg azzal, hogy az nem haladhatja meg a (4) bekezdésben említett megállapodás hatályba lépésétől számított egy évet. </w:t>
      </w:r>
    </w:p>
    <w:p w14:paraId="5D1DFC9B" w14:textId="77777777" w:rsidR="00893D5B" w:rsidRPr="00893D5B" w:rsidRDefault="00893D5B" w:rsidP="00893D5B">
      <w:pPr>
        <w:pStyle w:val="NormlWeb"/>
        <w:spacing w:before="0" w:beforeAutospacing="0" w:after="0" w:afterAutospacing="0"/>
        <w:contextualSpacing/>
        <w:jc w:val="both"/>
        <w:rPr>
          <w:sz w:val="22"/>
          <w:szCs w:val="22"/>
        </w:rPr>
      </w:pPr>
    </w:p>
    <w:p w14:paraId="6270A47E" w14:textId="77777777" w:rsidR="00893D5B" w:rsidRPr="00893D5B" w:rsidRDefault="00893D5B" w:rsidP="00893D5B">
      <w:pPr>
        <w:pStyle w:val="NormlWeb"/>
        <w:spacing w:before="0" w:beforeAutospacing="0" w:after="0" w:afterAutospacing="0"/>
        <w:contextualSpacing/>
        <w:jc w:val="both"/>
        <w:rPr>
          <w:sz w:val="22"/>
          <w:szCs w:val="22"/>
        </w:rPr>
      </w:pPr>
      <w:r w:rsidRPr="00893D5B">
        <w:rPr>
          <w:sz w:val="22"/>
          <w:szCs w:val="22"/>
        </w:rPr>
        <w:t xml:space="preserve">(4) Az Egyetem és a közalkalmazott a felek között az alkotói szabadság időtartamára fennálló jogokról és kötelezettségekről megállapodást köt, amelyben rögzíteni kell különösen a közalkalmazottat az alkotói szabadság időtartamára </w:t>
      </w:r>
      <w:proofErr w:type="gramStart"/>
      <w:r w:rsidRPr="00893D5B">
        <w:rPr>
          <w:sz w:val="22"/>
          <w:szCs w:val="22"/>
        </w:rPr>
        <w:t>megillető</w:t>
      </w:r>
      <w:proofErr w:type="gramEnd"/>
      <w:r w:rsidRPr="00893D5B">
        <w:rPr>
          <w:sz w:val="22"/>
          <w:szCs w:val="22"/>
        </w:rPr>
        <w:t xml:space="preserve"> juttatásokat, valamint az alkotói szabadság időtartama alatt elérendő kutatási, művészeti vagy képzési célt.  </w:t>
      </w:r>
    </w:p>
    <w:p w14:paraId="16635BFA" w14:textId="77777777" w:rsidR="00893D5B" w:rsidRPr="00893D5B" w:rsidRDefault="00893D5B" w:rsidP="00893D5B">
      <w:pPr>
        <w:pStyle w:val="NormlWeb"/>
        <w:spacing w:before="0" w:beforeAutospacing="0" w:after="0" w:afterAutospacing="0"/>
        <w:contextualSpacing/>
        <w:jc w:val="both"/>
        <w:rPr>
          <w:sz w:val="22"/>
          <w:szCs w:val="22"/>
        </w:rPr>
      </w:pPr>
    </w:p>
    <w:p w14:paraId="7CCC565D" w14:textId="77777777" w:rsidR="00893D5B" w:rsidRPr="00893D5B" w:rsidRDefault="00893D5B" w:rsidP="00893D5B">
      <w:pPr>
        <w:pStyle w:val="NormlWeb"/>
        <w:spacing w:before="0" w:beforeAutospacing="0" w:after="0" w:afterAutospacing="0"/>
        <w:contextualSpacing/>
        <w:jc w:val="both"/>
        <w:rPr>
          <w:sz w:val="22"/>
          <w:szCs w:val="22"/>
        </w:rPr>
      </w:pPr>
      <w:r w:rsidRPr="00893D5B">
        <w:rPr>
          <w:sz w:val="22"/>
          <w:szCs w:val="22"/>
        </w:rPr>
        <w:t>(5) Amennyiben a közalkalmazott neki felróható okból nem tesz eleget a megállapodásban foglalt kötelezettségeknek, köteles az alkotói szabadság időtartamára folyósított juttatásokat visszafizetni.</w:t>
      </w:r>
    </w:p>
    <w:p w14:paraId="461A381A" w14:textId="77777777" w:rsidR="00893D5B" w:rsidRPr="00893D5B" w:rsidRDefault="00893D5B" w:rsidP="00893D5B">
      <w:pPr>
        <w:contextualSpacing/>
        <w:jc w:val="both"/>
        <w:rPr>
          <w:sz w:val="22"/>
        </w:rPr>
      </w:pPr>
    </w:p>
    <w:p w14:paraId="76E72345" w14:textId="77777777" w:rsidR="00893D5B" w:rsidRPr="00893D5B" w:rsidRDefault="00893D5B" w:rsidP="00893D5B">
      <w:pPr>
        <w:contextualSpacing/>
        <w:jc w:val="both"/>
        <w:rPr>
          <w:rFonts w:eastAsia="Calibri"/>
          <w:sz w:val="22"/>
        </w:rPr>
      </w:pPr>
      <w:r w:rsidRPr="00893D5B">
        <w:rPr>
          <w:rFonts w:eastAsia="Calibri"/>
          <w:sz w:val="22"/>
        </w:rPr>
        <w:t>(6)</w:t>
      </w:r>
      <w:r w:rsidRPr="002F1E5A">
        <w:rPr>
          <w:rFonts w:eastAsia="Calibri"/>
          <w:b/>
          <w:i/>
          <w:sz w:val="22"/>
        </w:rPr>
        <w:t xml:space="preserve"> </w:t>
      </w:r>
      <w:r w:rsidRPr="00893D5B">
        <w:rPr>
          <w:rFonts w:eastAsia="Calibri"/>
          <w:sz w:val="22"/>
        </w:rPr>
        <w:t>Az alkotói szabadság kérelmezésének, engedélyezésének feltételeiről és rendjéről, az Egyetem és a közalkalmazott jogairól és kötelezettségeiről, az Egyetem által nyújtott juttatások visszafizetésének részletes szabályairól rektori és kancellári együttes utasítás rendelkezik.</w:t>
      </w:r>
    </w:p>
    <w:p w14:paraId="1C410880" w14:textId="77777777" w:rsidR="00893D5B" w:rsidRPr="002F1E5A" w:rsidRDefault="00893D5B" w:rsidP="00893D5B">
      <w:pPr>
        <w:rPr>
          <w:b/>
          <w:sz w:val="20"/>
          <w:szCs w:val="22"/>
        </w:rPr>
      </w:pPr>
    </w:p>
    <w:p w14:paraId="05EFE8DA" w14:textId="77777777" w:rsidR="00893D5B" w:rsidRPr="000250FA" w:rsidRDefault="00893D5B" w:rsidP="00893D5B">
      <w:pPr>
        <w:pStyle w:val="Cmsor3"/>
      </w:pPr>
      <w:bookmarkStart w:id="206" w:name="_Toc432753593"/>
      <w:bookmarkStart w:id="207" w:name="_Toc444603563"/>
      <w:bookmarkStart w:id="208" w:name="_Toc445200823"/>
      <w:bookmarkStart w:id="209" w:name="_Toc58569545"/>
      <w:r w:rsidRPr="000250FA">
        <w:t>V. fejezet - Oktatói, kutatói, tanári közalkalmazotti jogviszony megszűnése és megszüntetése</w:t>
      </w:r>
      <w:bookmarkEnd w:id="206"/>
      <w:bookmarkEnd w:id="207"/>
      <w:bookmarkEnd w:id="208"/>
      <w:bookmarkEnd w:id="209"/>
    </w:p>
    <w:p w14:paraId="5FC49835" w14:textId="77777777" w:rsidR="00893D5B" w:rsidRPr="000250FA" w:rsidRDefault="00893D5B" w:rsidP="00893D5B">
      <w:pPr>
        <w:rPr>
          <w:sz w:val="22"/>
          <w:szCs w:val="22"/>
        </w:rPr>
      </w:pPr>
    </w:p>
    <w:p w14:paraId="14101F1E" w14:textId="77777777" w:rsidR="00893D5B" w:rsidRPr="000250FA" w:rsidRDefault="00893D5B" w:rsidP="00893D5B">
      <w:pPr>
        <w:pStyle w:val="Cmsor4"/>
        <w:rPr>
          <w:strike/>
        </w:rPr>
      </w:pPr>
      <w:bookmarkStart w:id="210" w:name="_Toc432753594"/>
      <w:r w:rsidRPr="000250FA">
        <w:t>Általános szabályok</w:t>
      </w:r>
      <w:bookmarkEnd w:id="210"/>
    </w:p>
    <w:p w14:paraId="49869106" w14:textId="77777777" w:rsidR="00893D5B" w:rsidRPr="000250FA" w:rsidRDefault="00893D5B" w:rsidP="00893D5B">
      <w:pPr>
        <w:rPr>
          <w:b/>
          <w:bCs/>
          <w:sz w:val="22"/>
          <w:szCs w:val="22"/>
        </w:rPr>
      </w:pPr>
    </w:p>
    <w:p w14:paraId="4A7665D3" w14:textId="77777777" w:rsidR="00893D5B" w:rsidRPr="000250FA" w:rsidRDefault="00893D5B" w:rsidP="00893D5B">
      <w:pPr>
        <w:jc w:val="both"/>
        <w:rPr>
          <w:bCs/>
          <w:sz w:val="22"/>
          <w:szCs w:val="22"/>
        </w:rPr>
      </w:pPr>
      <w:r w:rsidRPr="000250FA">
        <w:rPr>
          <w:b/>
          <w:bCs/>
          <w:sz w:val="22"/>
          <w:szCs w:val="22"/>
        </w:rPr>
        <w:t xml:space="preserve">86. § </w:t>
      </w:r>
      <w:r w:rsidRPr="000250FA">
        <w:rPr>
          <w:bCs/>
          <w:sz w:val="22"/>
          <w:szCs w:val="22"/>
        </w:rPr>
        <w:t>(1) A munkáltató az oktatói munkakörben történő foglalkoztatást felmentéssel a 25. §-</w:t>
      </w:r>
      <w:proofErr w:type="spellStart"/>
      <w:r w:rsidRPr="000250FA">
        <w:rPr>
          <w:bCs/>
          <w:sz w:val="22"/>
          <w:szCs w:val="22"/>
        </w:rPr>
        <w:t>ban</w:t>
      </w:r>
      <w:proofErr w:type="spellEnd"/>
      <w:r w:rsidRPr="000250FA">
        <w:rPr>
          <w:bCs/>
          <w:sz w:val="22"/>
          <w:szCs w:val="22"/>
        </w:rPr>
        <w:t xml:space="preserve"> meghatározottakon túl megszüntetheti, ha az oktató</w:t>
      </w:r>
    </w:p>
    <w:p w14:paraId="3B2D36E7" w14:textId="77777777" w:rsidR="00893D5B" w:rsidRPr="000250FA" w:rsidRDefault="00893D5B" w:rsidP="00F83E93">
      <w:pPr>
        <w:numPr>
          <w:ilvl w:val="0"/>
          <w:numId w:val="100"/>
        </w:numPr>
        <w:jc w:val="both"/>
        <w:rPr>
          <w:sz w:val="22"/>
          <w:szCs w:val="22"/>
        </w:rPr>
      </w:pPr>
      <w:r w:rsidRPr="000250FA">
        <w:rPr>
          <w:rStyle w:val="Lbjegyzet-hivatkozs"/>
          <w:sz w:val="22"/>
          <w:szCs w:val="22"/>
        </w:rPr>
        <w:footnoteReference w:id="304"/>
      </w:r>
      <w:r w:rsidRPr="000250FA">
        <w:rPr>
          <w:sz w:val="22"/>
          <w:szCs w:val="22"/>
        </w:rPr>
        <w:t xml:space="preserve"> nem teljesítette a foglalkoztatási követelményrendszerben a munkáltató által legalább ötévente felülvizsgált, ellenőrzött feltételeket</w:t>
      </w:r>
      <w:r w:rsidRPr="000250FA">
        <w:rPr>
          <w:strike/>
          <w:sz w:val="22"/>
          <w:szCs w:val="22"/>
        </w:rPr>
        <w:t>,</w:t>
      </w:r>
    </w:p>
    <w:p w14:paraId="50A0214C" w14:textId="77777777" w:rsidR="00893D5B" w:rsidRPr="00660171" w:rsidRDefault="00893D5B" w:rsidP="00F83E93">
      <w:pPr>
        <w:numPr>
          <w:ilvl w:val="0"/>
          <w:numId w:val="100"/>
        </w:numPr>
        <w:jc w:val="both"/>
        <w:rPr>
          <w:sz w:val="22"/>
          <w:szCs w:val="22"/>
          <w:vertAlign w:val="superscript"/>
        </w:rPr>
      </w:pPr>
      <w:r w:rsidRPr="00660171">
        <w:rPr>
          <w:sz w:val="22"/>
          <w:szCs w:val="22"/>
          <w:vertAlign w:val="superscript"/>
        </w:rPr>
        <w:footnoteReference w:id="305"/>
      </w:r>
    </w:p>
    <w:p w14:paraId="2A2A313C" w14:textId="77777777" w:rsidR="00893D5B" w:rsidRPr="000250FA" w:rsidRDefault="00893D5B" w:rsidP="00F83E93">
      <w:pPr>
        <w:numPr>
          <w:ilvl w:val="0"/>
          <w:numId w:val="100"/>
        </w:numPr>
        <w:jc w:val="both"/>
        <w:rPr>
          <w:sz w:val="22"/>
          <w:szCs w:val="22"/>
        </w:rPr>
      </w:pPr>
      <w:r w:rsidRPr="000250FA">
        <w:rPr>
          <w:sz w:val="22"/>
          <w:szCs w:val="22"/>
        </w:rPr>
        <w:t>nem teljesítette azokat a munkakör betöltéséhez szükséges feltételeket, amelyeket a munkáltató – megfelelő határidő biztosításával – kinevezési okmányban előírt,</w:t>
      </w:r>
    </w:p>
    <w:p w14:paraId="2FAF8F5C" w14:textId="77777777" w:rsidR="00893D5B" w:rsidRPr="000250FA" w:rsidRDefault="00893D5B" w:rsidP="00F83E93">
      <w:pPr>
        <w:numPr>
          <w:ilvl w:val="0"/>
          <w:numId w:val="100"/>
        </w:numPr>
        <w:jc w:val="both"/>
        <w:rPr>
          <w:sz w:val="22"/>
          <w:szCs w:val="22"/>
        </w:rPr>
      </w:pPr>
      <w:r w:rsidRPr="000250FA">
        <w:rPr>
          <w:sz w:val="22"/>
          <w:szCs w:val="22"/>
          <w:vertAlign w:val="superscript"/>
        </w:rPr>
        <w:footnoteReference w:id="306"/>
      </w:r>
      <w:r w:rsidRPr="000250FA">
        <w:rPr>
          <w:sz w:val="22"/>
          <w:szCs w:val="22"/>
        </w:rPr>
        <w:t xml:space="preserve"> az </w:t>
      </w:r>
      <w:proofErr w:type="spellStart"/>
      <w:r w:rsidRPr="000250FA">
        <w:rPr>
          <w:sz w:val="22"/>
          <w:szCs w:val="22"/>
        </w:rPr>
        <w:t>Nftv</w:t>
      </w:r>
      <w:proofErr w:type="spellEnd"/>
      <w:r w:rsidRPr="000250FA">
        <w:rPr>
          <w:sz w:val="22"/>
          <w:szCs w:val="22"/>
        </w:rPr>
        <w:t>. 26. § (3) bekezdés szerinti nyilatkozata alapján az intézmény működési feltételeinek mérlegelése során, illetve a felsőoktatási intézmény támogatásának megállapítása során az intézményben nem vehető figyelembe. E pont esetében a közalkalmazottak jogállásáról szóló törvény közalkalmazotti jogviszonyra vonatkozó rendelkezései közül a felmentési időre, illetve a végkielégítésre vonatkozó rendelkezéseket nem kell alkalmazni.</w:t>
      </w:r>
    </w:p>
    <w:p w14:paraId="7D1B779D" w14:textId="77777777" w:rsidR="00893D5B" w:rsidRPr="000250FA" w:rsidRDefault="00893D5B" w:rsidP="00893D5B">
      <w:pPr>
        <w:jc w:val="both"/>
        <w:rPr>
          <w:bCs/>
          <w:sz w:val="22"/>
          <w:szCs w:val="22"/>
        </w:rPr>
      </w:pPr>
    </w:p>
    <w:p w14:paraId="21C8AEE8" w14:textId="77777777" w:rsidR="00893D5B" w:rsidRPr="000250FA" w:rsidRDefault="00893D5B" w:rsidP="00893D5B">
      <w:pPr>
        <w:jc w:val="both"/>
        <w:rPr>
          <w:strike/>
          <w:sz w:val="22"/>
          <w:szCs w:val="22"/>
        </w:rPr>
      </w:pPr>
      <w:r w:rsidRPr="000250FA">
        <w:rPr>
          <w:sz w:val="22"/>
          <w:szCs w:val="22"/>
        </w:rPr>
        <w:lastRenderedPageBreak/>
        <w:t>(2) Az (1) bekezdés alapján való felmentést a munkáltatói jog gyakorlója kezdeményezi a rektornál.</w:t>
      </w:r>
    </w:p>
    <w:p w14:paraId="2AEAD146" w14:textId="77777777" w:rsidR="00893D5B" w:rsidRPr="000250FA" w:rsidRDefault="00893D5B" w:rsidP="00893D5B">
      <w:pPr>
        <w:jc w:val="both"/>
        <w:rPr>
          <w:sz w:val="22"/>
          <w:szCs w:val="22"/>
        </w:rPr>
      </w:pPr>
    </w:p>
    <w:p w14:paraId="0D6B3FDA" w14:textId="77777777" w:rsidR="00893D5B" w:rsidRPr="000250FA" w:rsidRDefault="00893D5B" w:rsidP="00893D5B">
      <w:pPr>
        <w:jc w:val="both"/>
        <w:rPr>
          <w:bCs/>
          <w:sz w:val="22"/>
          <w:szCs w:val="22"/>
        </w:rPr>
      </w:pPr>
      <w:r w:rsidRPr="000250FA">
        <w:rPr>
          <w:b/>
          <w:bCs/>
          <w:sz w:val="22"/>
          <w:szCs w:val="22"/>
        </w:rPr>
        <w:t>87. §</w:t>
      </w:r>
      <w:r w:rsidRPr="000250FA">
        <w:rPr>
          <w:rStyle w:val="Lbjegyzet-hivatkozs"/>
          <w:bCs/>
          <w:sz w:val="22"/>
          <w:szCs w:val="22"/>
        </w:rPr>
        <w:footnoteReference w:id="307"/>
      </w:r>
      <w:r w:rsidRPr="000250FA">
        <w:rPr>
          <w:bCs/>
          <w:sz w:val="22"/>
          <w:szCs w:val="22"/>
        </w:rPr>
        <w:t xml:space="preserve">Az alkalmazás megszűnésével </w:t>
      </w:r>
      <w:r w:rsidRPr="000250FA">
        <w:rPr>
          <w:sz w:val="22"/>
          <w:szCs w:val="22"/>
        </w:rPr>
        <w:t>–</w:t>
      </w:r>
      <w:r w:rsidRPr="000250FA">
        <w:rPr>
          <w:bCs/>
          <w:sz w:val="22"/>
          <w:szCs w:val="22"/>
        </w:rPr>
        <w:t xml:space="preserve"> a főiskolai és az egyetemi tanári cím kivételével </w:t>
      </w:r>
      <w:r w:rsidRPr="000250FA">
        <w:rPr>
          <w:sz w:val="22"/>
          <w:szCs w:val="22"/>
        </w:rPr>
        <w:t>–</w:t>
      </w:r>
      <w:r w:rsidRPr="000250FA">
        <w:rPr>
          <w:bCs/>
          <w:sz w:val="22"/>
          <w:szCs w:val="22"/>
        </w:rPr>
        <w:t xml:space="preserve"> megszűnik a munkaköri cím használatának a joga. A főiskolai és az egyetemi tanár a cím használatára addig jogosult, ameddig a miniszterelnök, illetve a köztársasági elnök a tanári cím használatának jogát, a rektor kezdeményezésére vissza nem vonja. </w:t>
      </w:r>
      <w:r w:rsidRPr="000250FA">
        <w:rPr>
          <w:sz w:val="22"/>
          <w:szCs w:val="22"/>
        </w:rPr>
        <w:t>A főiskolai, illetve egyetemi tanári munkaköri cím használati jogának biztosítása, megvonása - külön erre irányuló munkáltatói intézkedés hiányában - nem eredményezi a foglalkoztatásra irányuló jogviszony létesítését, megszűnését.</w:t>
      </w:r>
    </w:p>
    <w:p w14:paraId="667D445E" w14:textId="77777777" w:rsidR="00893D5B" w:rsidRPr="000250FA" w:rsidRDefault="00893D5B" w:rsidP="00893D5B">
      <w:pPr>
        <w:jc w:val="both"/>
        <w:rPr>
          <w:sz w:val="22"/>
          <w:szCs w:val="22"/>
        </w:rPr>
      </w:pPr>
    </w:p>
    <w:p w14:paraId="6EB4B07F" w14:textId="77777777" w:rsidR="00893D5B" w:rsidRPr="000250FA" w:rsidRDefault="00893D5B" w:rsidP="00893D5B">
      <w:pPr>
        <w:pStyle w:val="Cmsor4"/>
      </w:pPr>
      <w:bookmarkStart w:id="211" w:name="_Toc432753595"/>
      <w:r w:rsidRPr="000250FA">
        <w:t>Határidők számítása</w:t>
      </w:r>
      <w:bookmarkEnd w:id="211"/>
    </w:p>
    <w:p w14:paraId="24E3FCFD" w14:textId="77777777" w:rsidR="00893D5B" w:rsidRPr="000250FA" w:rsidRDefault="00893D5B" w:rsidP="00893D5B">
      <w:pPr>
        <w:rPr>
          <w:sz w:val="22"/>
          <w:szCs w:val="22"/>
        </w:rPr>
      </w:pPr>
    </w:p>
    <w:p w14:paraId="596D2B55" w14:textId="77777777" w:rsidR="00893D5B" w:rsidRPr="000250FA" w:rsidRDefault="00893D5B" w:rsidP="00893D5B">
      <w:pPr>
        <w:jc w:val="both"/>
        <w:rPr>
          <w:sz w:val="22"/>
          <w:szCs w:val="22"/>
        </w:rPr>
      </w:pPr>
      <w:r w:rsidRPr="000250FA">
        <w:rPr>
          <w:b/>
          <w:sz w:val="22"/>
          <w:szCs w:val="22"/>
        </w:rPr>
        <w:t>88. §</w:t>
      </w:r>
      <w:r w:rsidRPr="000250FA">
        <w:rPr>
          <w:sz w:val="22"/>
          <w:szCs w:val="22"/>
        </w:rPr>
        <w:t xml:space="preserve"> (1)</w:t>
      </w:r>
      <w:r w:rsidRPr="000250FA">
        <w:rPr>
          <w:rStyle w:val="Lbjegyzet-hivatkozs"/>
          <w:sz w:val="22"/>
          <w:szCs w:val="22"/>
        </w:rPr>
        <w:footnoteReference w:id="308"/>
      </w:r>
      <w:r w:rsidRPr="000250FA">
        <w:rPr>
          <w:sz w:val="22"/>
          <w:szCs w:val="22"/>
        </w:rPr>
        <w:t xml:space="preserve"> A 89-90. §-okban meghatározott határidőkbe nem számit be az az időszak, amikor a közalkalmazotti jogviszony kilencven napnál hosszabb ideig szülési szabadság miatt, gyermekgondozás céljából, közeli hozzátartozó ápolása céljából, keresőképtelen betegség miatt, valamint külföldi felsőoktatási intézményben, kutatóintézetben való munkavállalás vagy szakmai tanulmányút miatt szünetel. </w:t>
      </w:r>
    </w:p>
    <w:p w14:paraId="4C244946" w14:textId="77777777" w:rsidR="00893D5B" w:rsidRPr="000250FA" w:rsidRDefault="00893D5B" w:rsidP="00893D5B">
      <w:pPr>
        <w:rPr>
          <w:sz w:val="22"/>
          <w:szCs w:val="22"/>
        </w:rPr>
      </w:pPr>
    </w:p>
    <w:p w14:paraId="271BE3C3" w14:textId="77777777" w:rsidR="00893D5B" w:rsidRPr="000250FA" w:rsidRDefault="00893D5B" w:rsidP="00893D5B">
      <w:pPr>
        <w:jc w:val="both"/>
        <w:rPr>
          <w:sz w:val="22"/>
          <w:szCs w:val="22"/>
        </w:rPr>
      </w:pPr>
      <w:r w:rsidRPr="000250FA">
        <w:rPr>
          <w:sz w:val="22"/>
          <w:szCs w:val="22"/>
        </w:rPr>
        <w:t xml:space="preserve">(2) A szabályzatban meghatározott határidő elteltével az oktató, kutató közalkalmazotti jogviszonya a törvény erejénél fogva megszűnik. A megszűnésről a </w:t>
      </w:r>
      <w:proofErr w:type="gramStart"/>
      <w:r w:rsidRPr="000250FA">
        <w:rPr>
          <w:sz w:val="22"/>
          <w:szCs w:val="22"/>
        </w:rPr>
        <w:t>rektor írásban</w:t>
      </w:r>
      <w:proofErr w:type="gramEnd"/>
      <w:r w:rsidRPr="000250FA">
        <w:rPr>
          <w:sz w:val="22"/>
          <w:szCs w:val="22"/>
        </w:rPr>
        <w:t xml:space="preserve"> értesíti az oktatót. </w:t>
      </w:r>
      <w:bookmarkStart w:id="212" w:name="_Toc432753596"/>
    </w:p>
    <w:p w14:paraId="73FD87CE" w14:textId="77777777" w:rsidR="00893D5B" w:rsidRPr="000250FA" w:rsidRDefault="00893D5B" w:rsidP="00893D5B">
      <w:pPr>
        <w:pStyle w:val="Cmsor4"/>
      </w:pPr>
      <w:r w:rsidRPr="000250FA">
        <w:t>Tanársegéd közalkalmazotti jogviszonyának megszüntetése</w:t>
      </w:r>
      <w:bookmarkEnd w:id="212"/>
    </w:p>
    <w:p w14:paraId="604FCD1D" w14:textId="77777777" w:rsidR="00893D5B" w:rsidRPr="000250FA" w:rsidRDefault="00893D5B" w:rsidP="00893D5B">
      <w:pPr>
        <w:rPr>
          <w:sz w:val="22"/>
          <w:szCs w:val="22"/>
        </w:rPr>
      </w:pPr>
    </w:p>
    <w:p w14:paraId="707CC54C" w14:textId="77777777" w:rsidR="00893D5B" w:rsidRPr="000250FA" w:rsidRDefault="00893D5B" w:rsidP="00893D5B">
      <w:pPr>
        <w:jc w:val="both"/>
        <w:rPr>
          <w:sz w:val="22"/>
          <w:szCs w:val="22"/>
        </w:rPr>
      </w:pPr>
      <w:r w:rsidRPr="000250FA">
        <w:rPr>
          <w:b/>
          <w:sz w:val="22"/>
          <w:szCs w:val="22"/>
        </w:rPr>
        <w:t>89. §</w:t>
      </w:r>
      <w:r w:rsidRPr="000250FA">
        <w:rPr>
          <w:sz w:val="22"/>
          <w:szCs w:val="22"/>
        </w:rPr>
        <w:t xml:space="preserve"> (1)</w:t>
      </w:r>
      <w:r w:rsidRPr="000250FA">
        <w:rPr>
          <w:rStyle w:val="Lbjegyzet-hivatkozs"/>
          <w:sz w:val="22"/>
          <w:szCs w:val="22"/>
        </w:rPr>
        <w:footnoteReference w:id="309"/>
      </w:r>
      <w:r w:rsidRPr="000250FA">
        <w:rPr>
          <w:sz w:val="22"/>
          <w:szCs w:val="22"/>
        </w:rPr>
        <w:t xml:space="preserve"> </w:t>
      </w:r>
      <w:r w:rsidRPr="000250FA">
        <w:rPr>
          <w:rStyle w:val="Lbjegyzet-hivatkozs"/>
          <w:sz w:val="22"/>
          <w:szCs w:val="22"/>
        </w:rPr>
        <w:footnoteReference w:id="310"/>
      </w:r>
      <w:r w:rsidRPr="000250FA">
        <w:rPr>
          <w:sz w:val="22"/>
          <w:szCs w:val="22"/>
        </w:rPr>
        <w:t xml:space="preserve"> Nem foglalkoztatható tovább a tanársegéd, ha az oktatói munkakör betöltésétől számított nyolc éven belül nem szerez tudományos fokozatot.</w:t>
      </w:r>
    </w:p>
    <w:p w14:paraId="7DA9E6CC" w14:textId="77777777" w:rsidR="00893D5B" w:rsidRPr="000250FA" w:rsidRDefault="00893D5B" w:rsidP="00893D5B">
      <w:pPr>
        <w:tabs>
          <w:tab w:val="left" w:pos="9781"/>
        </w:tabs>
        <w:autoSpaceDE w:val="0"/>
        <w:autoSpaceDN w:val="0"/>
        <w:adjustRightInd w:val="0"/>
        <w:ind w:right="-144"/>
        <w:jc w:val="both"/>
        <w:rPr>
          <w:sz w:val="22"/>
          <w:szCs w:val="22"/>
        </w:rPr>
      </w:pPr>
    </w:p>
    <w:p w14:paraId="7A08196A"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 A határidő számításánál a 88. § (1) bekezdésében meghatározottak megfelelően irányadóak.</w:t>
      </w:r>
    </w:p>
    <w:p w14:paraId="23C3FAB6" w14:textId="77777777" w:rsidR="00893D5B" w:rsidRPr="000250FA" w:rsidRDefault="00893D5B" w:rsidP="00893D5B">
      <w:pPr>
        <w:tabs>
          <w:tab w:val="left" w:pos="9781"/>
        </w:tabs>
        <w:autoSpaceDE w:val="0"/>
        <w:autoSpaceDN w:val="0"/>
        <w:adjustRightInd w:val="0"/>
        <w:ind w:right="-144"/>
        <w:rPr>
          <w:b/>
          <w:sz w:val="22"/>
          <w:szCs w:val="22"/>
        </w:rPr>
      </w:pPr>
    </w:p>
    <w:p w14:paraId="3075CDB1" w14:textId="77777777" w:rsidR="00893D5B" w:rsidRPr="000250FA" w:rsidRDefault="00893D5B" w:rsidP="00893D5B">
      <w:pPr>
        <w:pStyle w:val="Cmsor4"/>
      </w:pPr>
      <w:bookmarkStart w:id="213" w:name="_Toc432753597"/>
      <w:r w:rsidRPr="000250FA">
        <w:t>Az adjunktus közalkalmazotti jogviszonyának megszüntetése</w:t>
      </w:r>
      <w:bookmarkEnd w:id="213"/>
    </w:p>
    <w:p w14:paraId="3260D445" w14:textId="77777777" w:rsidR="00893D5B" w:rsidRPr="000250FA" w:rsidRDefault="00893D5B" w:rsidP="00893D5B">
      <w:pPr>
        <w:tabs>
          <w:tab w:val="left" w:pos="9781"/>
        </w:tabs>
        <w:autoSpaceDE w:val="0"/>
        <w:autoSpaceDN w:val="0"/>
        <w:adjustRightInd w:val="0"/>
        <w:ind w:right="-144"/>
        <w:rPr>
          <w:sz w:val="22"/>
          <w:szCs w:val="22"/>
        </w:rPr>
      </w:pPr>
    </w:p>
    <w:p w14:paraId="47BC3428"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b/>
          <w:sz w:val="22"/>
          <w:szCs w:val="22"/>
        </w:rPr>
        <w:t>90. §</w:t>
      </w:r>
      <w:r w:rsidRPr="000250FA">
        <w:rPr>
          <w:sz w:val="22"/>
          <w:szCs w:val="22"/>
        </w:rPr>
        <w:t xml:space="preserve"> (1) Felmentéssel megszűnik az adjunktusi közalkalmazotti jogviszonya, amennyiben nem teljesíti e szabályzatban meghatározott követelményeket, illetve nem teljesítette a kinevezési okmányban előírt, és a munkakör betöltéséhez szükséges feltételeket. </w:t>
      </w:r>
    </w:p>
    <w:p w14:paraId="1A29BB40" w14:textId="77777777" w:rsidR="00893D5B" w:rsidRPr="000250FA" w:rsidRDefault="00893D5B" w:rsidP="00893D5B">
      <w:pPr>
        <w:tabs>
          <w:tab w:val="left" w:pos="9781"/>
        </w:tabs>
        <w:autoSpaceDE w:val="0"/>
        <w:autoSpaceDN w:val="0"/>
        <w:adjustRightInd w:val="0"/>
        <w:ind w:right="-144"/>
        <w:jc w:val="both"/>
        <w:rPr>
          <w:sz w:val="22"/>
          <w:szCs w:val="22"/>
        </w:rPr>
      </w:pPr>
    </w:p>
    <w:p w14:paraId="4E013C1F"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 A határidő számításánál a 88. § (1) bekezdésében meghatározottak megfelelően irányadóak.</w:t>
      </w:r>
    </w:p>
    <w:p w14:paraId="206C621B" w14:textId="77777777" w:rsidR="00893D5B" w:rsidRPr="000250FA" w:rsidRDefault="00893D5B" w:rsidP="00893D5B">
      <w:pPr>
        <w:tabs>
          <w:tab w:val="left" w:pos="9781"/>
        </w:tabs>
        <w:ind w:right="-144"/>
        <w:rPr>
          <w:b/>
          <w:sz w:val="22"/>
          <w:szCs w:val="22"/>
        </w:rPr>
      </w:pPr>
    </w:p>
    <w:p w14:paraId="78FC6E69" w14:textId="77777777" w:rsidR="00893D5B" w:rsidRPr="000250FA" w:rsidRDefault="00893D5B" w:rsidP="00893D5B">
      <w:pPr>
        <w:pStyle w:val="Cmsor4"/>
      </w:pPr>
      <w:bookmarkStart w:id="214" w:name="_Toc432753598"/>
      <w:r w:rsidRPr="000250FA">
        <w:t>Az egyetemi, főiskolai docens közalkalmazotti jogviszonyának megszüntetése</w:t>
      </w:r>
      <w:bookmarkEnd w:id="214"/>
    </w:p>
    <w:p w14:paraId="0724B2BA" w14:textId="77777777" w:rsidR="00893D5B" w:rsidRPr="000250FA" w:rsidRDefault="00893D5B" w:rsidP="00893D5B">
      <w:pPr>
        <w:tabs>
          <w:tab w:val="left" w:pos="9781"/>
        </w:tabs>
        <w:ind w:right="-144"/>
        <w:jc w:val="center"/>
        <w:rPr>
          <w:b/>
          <w:i/>
          <w:sz w:val="22"/>
          <w:szCs w:val="22"/>
        </w:rPr>
      </w:pPr>
    </w:p>
    <w:p w14:paraId="25E9315C" w14:textId="77777777" w:rsidR="00893D5B" w:rsidRPr="000250FA" w:rsidRDefault="00893D5B" w:rsidP="00893D5B">
      <w:pPr>
        <w:tabs>
          <w:tab w:val="left" w:pos="9781"/>
        </w:tabs>
        <w:ind w:right="-144"/>
        <w:jc w:val="both"/>
        <w:rPr>
          <w:b/>
          <w:sz w:val="22"/>
          <w:szCs w:val="22"/>
        </w:rPr>
      </w:pPr>
      <w:r w:rsidRPr="000250FA">
        <w:rPr>
          <w:b/>
          <w:sz w:val="22"/>
          <w:szCs w:val="22"/>
        </w:rPr>
        <w:t>91. §</w:t>
      </w:r>
      <w:r w:rsidRPr="000250FA">
        <w:rPr>
          <w:sz w:val="22"/>
          <w:szCs w:val="22"/>
        </w:rPr>
        <w:t xml:space="preserve"> Felmentéssel megszűnik az egyetemi docens, illetve főiskolai docens közalkalmazotti jogviszonya, amennyiben nem teljesíti e szabályzatban meghatározott követelményeket, illetve nem teljesítette a kinevezési okmányban előírt, és a munkakör betöltéséhez szükséges feltételeket.</w:t>
      </w:r>
    </w:p>
    <w:p w14:paraId="7E175B34" w14:textId="77777777" w:rsidR="00385CF2" w:rsidRDefault="00385CF2">
      <w:pPr>
        <w:spacing w:after="160" w:line="259" w:lineRule="auto"/>
        <w:rPr>
          <w:sz w:val="22"/>
          <w:szCs w:val="22"/>
        </w:rPr>
      </w:pPr>
      <w:r>
        <w:rPr>
          <w:sz w:val="22"/>
          <w:szCs w:val="22"/>
        </w:rPr>
        <w:br w:type="page"/>
      </w:r>
    </w:p>
    <w:p w14:paraId="6112D05A" w14:textId="77777777" w:rsidR="00893D5B" w:rsidRPr="000250FA" w:rsidRDefault="00893D5B" w:rsidP="00893D5B">
      <w:pPr>
        <w:tabs>
          <w:tab w:val="left" w:pos="9781"/>
        </w:tabs>
        <w:ind w:right="-144"/>
        <w:jc w:val="both"/>
        <w:rPr>
          <w:sz w:val="22"/>
          <w:szCs w:val="22"/>
        </w:rPr>
      </w:pPr>
    </w:p>
    <w:p w14:paraId="29CFED48" w14:textId="77777777" w:rsidR="00893D5B" w:rsidRPr="000250FA" w:rsidRDefault="00893D5B" w:rsidP="00893D5B">
      <w:pPr>
        <w:pStyle w:val="Cmsor4"/>
      </w:pPr>
      <w:bookmarkStart w:id="215" w:name="_Toc432753599"/>
      <w:r w:rsidRPr="000250FA">
        <w:t>Az egyetemi, főiskolai tanár közalkalmazotti jogviszonyának megszüntetése</w:t>
      </w:r>
      <w:bookmarkEnd w:id="215"/>
    </w:p>
    <w:p w14:paraId="28CE9BCE" w14:textId="77777777" w:rsidR="00893D5B" w:rsidRPr="000250FA" w:rsidRDefault="00893D5B" w:rsidP="00893D5B">
      <w:pPr>
        <w:tabs>
          <w:tab w:val="left" w:pos="9781"/>
        </w:tabs>
        <w:ind w:right="-144"/>
        <w:jc w:val="center"/>
        <w:rPr>
          <w:b/>
          <w:i/>
          <w:sz w:val="22"/>
          <w:szCs w:val="22"/>
        </w:rPr>
      </w:pPr>
    </w:p>
    <w:p w14:paraId="193BED9A" w14:textId="77777777" w:rsidR="00893D5B" w:rsidRPr="000250FA" w:rsidRDefault="00893D5B" w:rsidP="00893D5B">
      <w:pPr>
        <w:jc w:val="both"/>
        <w:rPr>
          <w:bCs/>
          <w:sz w:val="22"/>
          <w:szCs w:val="22"/>
        </w:rPr>
      </w:pPr>
      <w:r w:rsidRPr="000250FA">
        <w:rPr>
          <w:b/>
          <w:bCs/>
          <w:sz w:val="22"/>
          <w:szCs w:val="22"/>
        </w:rPr>
        <w:t>92. §</w:t>
      </w:r>
      <w:r w:rsidRPr="000250FA">
        <w:rPr>
          <w:rStyle w:val="Lbjegyzet-hivatkozs"/>
          <w:bCs/>
          <w:sz w:val="22"/>
          <w:szCs w:val="22"/>
        </w:rPr>
        <w:footnoteReference w:id="311"/>
      </w:r>
      <w:r w:rsidRPr="000250FA">
        <w:rPr>
          <w:bCs/>
          <w:sz w:val="22"/>
          <w:szCs w:val="22"/>
        </w:rPr>
        <w:t xml:space="preserve"> (1)</w:t>
      </w:r>
      <w:r w:rsidRPr="000250FA">
        <w:rPr>
          <w:rStyle w:val="Lbjegyzet-hivatkozs"/>
          <w:bCs/>
          <w:sz w:val="22"/>
          <w:szCs w:val="22"/>
        </w:rPr>
        <w:footnoteReference w:id="312"/>
      </w:r>
      <w:r w:rsidRPr="000250FA">
        <w:rPr>
          <w:bCs/>
          <w:sz w:val="22"/>
          <w:szCs w:val="22"/>
        </w:rPr>
        <w:t xml:space="preserve"> A munkáltató felmentéssel megszünteti a főiskolai tanári, illetve az egyetemi tanári munkakörben történő foglalkoztatást a 70. életév betöltésével, illetve ha a miniszterelnök a főiskolai tanárt, a köztársasági elnök az egyetemi tanárt – a munkaköri címhez fűződő jogát megvonva- felmentette. </w:t>
      </w:r>
    </w:p>
    <w:p w14:paraId="2B16F687" w14:textId="77777777" w:rsidR="00893D5B" w:rsidRPr="000250FA" w:rsidRDefault="00893D5B" w:rsidP="00893D5B">
      <w:pPr>
        <w:jc w:val="both"/>
        <w:rPr>
          <w:bCs/>
          <w:sz w:val="22"/>
          <w:szCs w:val="22"/>
        </w:rPr>
      </w:pPr>
    </w:p>
    <w:p w14:paraId="2AFC5AC2" w14:textId="77777777" w:rsidR="00893D5B" w:rsidRPr="000250FA" w:rsidRDefault="00893D5B" w:rsidP="00893D5B">
      <w:pPr>
        <w:jc w:val="both"/>
        <w:rPr>
          <w:bCs/>
          <w:sz w:val="22"/>
          <w:szCs w:val="22"/>
        </w:rPr>
      </w:pPr>
      <w:r w:rsidRPr="000250FA">
        <w:rPr>
          <w:bCs/>
          <w:sz w:val="22"/>
          <w:szCs w:val="22"/>
        </w:rPr>
        <w:t>(2) A főiskolai tanár, illetve az egyetemi tanár felmentését a (4) bekezdésben meghatározott eljárás szerint a (3) bekezdésben megállapított okok esetén a rektor kezdeményezi a köztársasági elnöknél. A főiskolai, illetve egyetemi tanár esetén a foglalkoztatásra irányuló jogviszony megszüntetésére a rektor jogosult.</w:t>
      </w:r>
    </w:p>
    <w:p w14:paraId="2E32836B" w14:textId="77777777" w:rsidR="00893D5B" w:rsidRPr="000250FA" w:rsidRDefault="00893D5B" w:rsidP="00893D5B">
      <w:pPr>
        <w:jc w:val="both"/>
        <w:rPr>
          <w:bCs/>
          <w:sz w:val="22"/>
          <w:szCs w:val="22"/>
        </w:rPr>
      </w:pPr>
    </w:p>
    <w:p w14:paraId="62E86986" w14:textId="77777777" w:rsidR="00893D5B" w:rsidRPr="000250FA" w:rsidRDefault="00893D5B" w:rsidP="00893D5B">
      <w:pPr>
        <w:jc w:val="both"/>
        <w:rPr>
          <w:bCs/>
          <w:sz w:val="22"/>
          <w:szCs w:val="22"/>
        </w:rPr>
      </w:pPr>
      <w:r w:rsidRPr="000250FA">
        <w:rPr>
          <w:bCs/>
          <w:sz w:val="22"/>
          <w:szCs w:val="22"/>
        </w:rPr>
        <w:t xml:space="preserve">(3) A rektor köteles kezdeményezni a főiskolai tanár, illetve az egyetemi tanár munkaköri címének megvonására irányuló eljárást, ha </w:t>
      </w:r>
    </w:p>
    <w:p w14:paraId="092528BA" w14:textId="77777777" w:rsidR="00893D5B" w:rsidRPr="000250FA" w:rsidRDefault="00893D5B" w:rsidP="00893D5B">
      <w:pPr>
        <w:jc w:val="both"/>
        <w:rPr>
          <w:bCs/>
          <w:sz w:val="22"/>
          <w:szCs w:val="22"/>
        </w:rPr>
      </w:pPr>
    </w:p>
    <w:p w14:paraId="71982263" w14:textId="77777777" w:rsidR="00893D5B" w:rsidRPr="000250FA" w:rsidRDefault="00893D5B" w:rsidP="00F83E93">
      <w:pPr>
        <w:numPr>
          <w:ilvl w:val="0"/>
          <w:numId w:val="101"/>
        </w:numPr>
        <w:jc w:val="both"/>
        <w:rPr>
          <w:sz w:val="22"/>
          <w:szCs w:val="22"/>
        </w:rPr>
      </w:pPr>
      <w:r w:rsidRPr="000250FA">
        <w:rPr>
          <w:sz w:val="22"/>
          <w:szCs w:val="22"/>
        </w:rPr>
        <w:t>azt az érintett kéri,</w:t>
      </w:r>
    </w:p>
    <w:p w14:paraId="746C205B" w14:textId="77777777" w:rsidR="00893D5B" w:rsidRPr="000250FA" w:rsidRDefault="00893D5B" w:rsidP="00F83E93">
      <w:pPr>
        <w:numPr>
          <w:ilvl w:val="0"/>
          <w:numId w:val="101"/>
        </w:numPr>
        <w:jc w:val="both"/>
        <w:rPr>
          <w:sz w:val="22"/>
          <w:szCs w:val="22"/>
        </w:rPr>
      </w:pPr>
      <w:r w:rsidRPr="000250FA">
        <w:rPr>
          <w:sz w:val="22"/>
          <w:szCs w:val="22"/>
          <w:vertAlign w:val="superscript"/>
        </w:rPr>
        <w:footnoteReference w:id="313"/>
      </w:r>
      <w:r w:rsidRPr="000250FA">
        <w:rPr>
          <w:sz w:val="22"/>
          <w:szCs w:val="22"/>
        </w:rPr>
        <w:t xml:space="preserve"> a főiskolai tanárral, illetve az egyetemi tanárral szemben jogerősen elbocsátás fegyelmi büntetést szabtak ki, illetőleg közalkalmazotti jogviszonya rendkívüli felmentéssel szűnt meg,</w:t>
      </w:r>
    </w:p>
    <w:p w14:paraId="73222E94" w14:textId="77777777" w:rsidR="00893D5B" w:rsidRPr="000250FA" w:rsidRDefault="00893D5B" w:rsidP="00F83E93">
      <w:pPr>
        <w:numPr>
          <w:ilvl w:val="0"/>
          <w:numId w:val="101"/>
        </w:numPr>
        <w:jc w:val="both"/>
        <w:rPr>
          <w:sz w:val="22"/>
          <w:szCs w:val="22"/>
        </w:rPr>
      </w:pPr>
      <w:r w:rsidRPr="000250FA">
        <w:rPr>
          <w:sz w:val="22"/>
          <w:szCs w:val="22"/>
        </w:rPr>
        <w:t xml:space="preserve">a foglalkozás gyakorlásától a bíróság jogerősen eltiltotta, vagy </w:t>
      </w:r>
    </w:p>
    <w:p w14:paraId="0161D6C9" w14:textId="77777777" w:rsidR="00893D5B" w:rsidRPr="000250FA" w:rsidRDefault="00893D5B" w:rsidP="00F83E93">
      <w:pPr>
        <w:numPr>
          <w:ilvl w:val="0"/>
          <w:numId w:val="101"/>
        </w:numPr>
        <w:jc w:val="both"/>
        <w:rPr>
          <w:sz w:val="22"/>
          <w:szCs w:val="22"/>
        </w:rPr>
      </w:pPr>
      <w:r w:rsidRPr="000250FA">
        <w:rPr>
          <w:sz w:val="22"/>
          <w:szCs w:val="22"/>
        </w:rPr>
        <w:t xml:space="preserve">az érintettet szándékos bűncselekmény miatt jogerősen végrehajtandó szabadságvesztésre ítélték. </w:t>
      </w:r>
    </w:p>
    <w:p w14:paraId="2179899B" w14:textId="77777777" w:rsidR="00893D5B" w:rsidRPr="000250FA" w:rsidRDefault="00893D5B" w:rsidP="00F83E93">
      <w:pPr>
        <w:numPr>
          <w:ilvl w:val="0"/>
          <w:numId w:val="101"/>
        </w:numPr>
        <w:jc w:val="both"/>
        <w:rPr>
          <w:sz w:val="22"/>
          <w:szCs w:val="22"/>
        </w:rPr>
      </w:pPr>
      <w:r w:rsidRPr="000250FA">
        <w:rPr>
          <w:sz w:val="22"/>
          <w:szCs w:val="22"/>
        </w:rPr>
        <w:t>A rektor e bekezdés szerinti kezdeményezésével egyidejűleg intézkedni köteles a főiskolai, illetve egyetemi tanári munkakörben történő foglalkoztatás megszüntetéséről is.</w:t>
      </w:r>
    </w:p>
    <w:p w14:paraId="4EA0B5B5" w14:textId="77777777" w:rsidR="00893D5B" w:rsidRPr="000250FA" w:rsidRDefault="00893D5B" w:rsidP="00893D5B">
      <w:pPr>
        <w:jc w:val="both"/>
        <w:rPr>
          <w:sz w:val="22"/>
          <w:szCs w:val="22"/>
        </w:rPr>
      </w:pPr>
    </w:p>
    <w:p w14:paraId="0667C127" w14:textId="77777777" w:rsidR="00893D5B" w:rsidRPr="000250FA" w:rsidRDefault="00893D5B" w:rsidP="00893D5B">
      <w:pPr>
        <w:jc w:val="both"/>
        <w:rPr>
          <w:sz w:val="22"/>
          <w:szCs w:val="22"/>
        </w:rPr>
      </w:pPr>
      <w:r w:rsidRPr="000250FA">
        <w:rPr>
          <w:sz w:val="22"/>
          <w:szCs w:val="22"/>
        </w:rPr>
        <w:t>(4) A munkáltatói jogkör gyakorlója a (3) bekezdésben foglaltak esetén intézkedik a főiskolai tanár, egyetemi tanár felmentése iránt, és egyúttal tájékoztatja erről az Szenátust. A felmentésről szóló előterjesztésnek tartalmaznia kell a felmentés jogcímét és a közalkalmazotti jogviszony megszűnésének időpontját.</w:t>
      </w:r>
    </w:p>
    <w:p w14:paraId="5569AF9C" w14:textId="77777777" w:rsidR="00893D5B" w:rsidRPr="000250FA" w:rsidRDefault="00893D5B" w:rsidP="00893D5B">
      <w:pPr>
        <w:tabs>
          <w:tab w:val="left" w:pos="9781"/>
        </w:tabs>
        <w:ind w:right="-144"/>
        <w:rPr>
          <w:b/>
          <w:sz w:val="22"/>
          <w:szCs w:val="22"/>
        </w:rPr>
      </w:pPr>
    </w:p>
    <w:p w14:paraId="5282E796" w14:textId="77777777" w:rsidR="00893D5B" w:rsidRPr="000250FA" w:rsidRDefault="00893D5B" w:rsidP="00893D5B">
      <w:pPr>
        <w:pStyle w:val="Cmsor4"/>
      </w:pPr>
      <w:bookmarkStart w:id="216" w:name="_Toc432753600"/>
      <w:r w:rsidRPr="000250FA">
        <w:t>A meghívott oktató</w:t>
      </w:r>
      <w:bookmarkEnd w:id="216"/>
    </w:p>
    <w:p w14:paraId="02FB3F43" w14:textId="77777777" w:rsidR="00893D5B" w:rsidRPr="000250FA" w:rsidRDefault="00893D5B" w:rsidP="00893D5B">
      <w:pPr>
        <w:tabs>
          <w:tab w:val="left" w:pos="9781"/>
        </w:tabs>
        <w:ind w:right="-144"/>
        <w:jc w:val="both"/>
        <w:rPr>
          <w:sz w:val="22"/>
          <w:szCs w:val="22"/>
        </w:rPr>
      </w:pPr>
    </w:p>
    <w:p w14:paraId="7BB691AD" w14:textId="77777777" w:rsidR="00893D5B" w:rsidRPr="000250FA" w:rsidRDefault="00893D5B" w:rsidP="00893D5B">
      <w:pPr>
        <w:tabs>
          <w:tab w:val="left" w:pos="9781"/>
        </w:tabs>
        <w:ind w:right="-144"/>
        <w:jc w:val="both"/>
        <w:rPr>
          <w:sz w:val="22"/>
          <w:szCs w:val="22"/>
        </w:rPr>
      </w:pPr>
      <w:r w:rsidRPr="000250FA">
        <w:rPr>
          <w:b/>
          <w:sz w:val="22"/>
          <w:szCs w:val="22"/>
        </w:rPr>
        <w:t>93. §</w:t>
      </w:r>
      <w:r w:rsidRPr="000250FA">
        <w:rPr>
          <w:sz w:val="22"/>
          <w:szCs w:val="22"/>
        </w:rPr>
        <w:t xml:space="preserve"> (1) Egyetemi és főiskolai tanári, egyetemi és főiskolai docensi munkakörök határozott időre, legkevesebb egy, de legfeljebb két félévre, meghívás alapján is </w:t>
      </w:r>
      <w:proofErr w:type="spellStart"/>
      <w:r w:rsidRPr="000250FA">
        <w:rPr>
          <w:sz w:val="22"/>
          <w:szCs w:val="22"/>
        </w:rPr>
        <w:t>betölthetőek</w:t>
      </w:r>
      <w:proofErr w:type="spellEnd"/>
      <w:r w:rsidRPr="000250FA">
        <w:rPr>
          <w:sz w:val="22"/>
          <w:szCs w:val="22"/>
        </w:rPr>
        <w:t>.</w:t>
      </w:r>
    </w:p>
    <w:p w14:paraId="25FF9DBA" w14:textId="77777777" w:rsidR="00893D5B" w:rsidRPr="000250FA" w:rsidRDefault="00893D5B" w:rsidP="00893D5B">
      <w:pPr>
        <w:tabs>
          <w:tab w:val="left" w:pos="9781"/>
        </w:tabs>
        <w:ind w:right="-144"/>
        <w:jc w:val="both"/>
        <w:rPr>
          <w:sz w:val="22"/>
          <w:szCs w:val="22"/>
        </w:rPr>
      </w:pPr>
    </w:p>
    <w:p w14:paraId="5A52A722" w14:textId="77777777" w:rsidR="00893D5B" w:rsidRPr="000250FA" w:rsidRDefault="00893D5B" w:rsidP="00893D5B">
      <w:pPr>
        <w:tabs>
          <w:tab w:val="left" w:pos="9781"/>
        </w:tabs>
        <w:ind w:right="-144"/>
        <w:jc w:val="both"/>
        <w:rPr>
          <w:sz w:val="22"/>
          <w:szCs w:val="22"/>
        </w:rPr>
      </w:pPr>
      <w:r w:rsidRPr="000250FA">
        <w:rPr>
          <w:sz w:val="22"/>
          <w:szCs w:val="22"/>
        </w:rPr>
        <w:t xml:space="preserve">(2) Az oktató meghívásra az érintett kar vezetője a Kari Tanács véleményének kikérését követően tesz javaslatot a Szenátusnak. </w:t>
      </w:r>
    </w:p>
    <w:p w14:paraId="2FE2B6E4" w14:textId="77777777" w:rsidR="00893D5B" w:rsidRPr="000250FA" w:rsidRDefault="00893D5B" w:rsidP="00893D5B">
      <w:pPr>
        <w:tabs>
          <w:tab w:val="left" w:pos="9781"/>
        </w:tabs>
        <w:ind w:right="-144"/>
        <w:jc w:val="both"/>
        <w:rPr>
          <w:sz w:val="22"/>
          <w:szCs w:val="22"/>
        </w:rPr>
      </w:pPr>
    </w:p>
    <w:p w14:paraId="278F261E" w14:textId="77777777" w:rsidR="00893D5B" w:rsidRPr="000250FA" w:rsidRDefault="00893D5B" w:rsidP="00893D5B">
      <w:pPr>
        <w:pStyle w:val="Cmsor4"/>
      </w:pPr>
      <w:bookmarkStart w:id="217" w:name="_Toc432753601"/>
      <w:r w:rsidRPr="000250FA">
        <w:t>Az óraadó oktató</w:t>
      </w:r>
      <w:bookmarkEnd w:id="217"/>
    </w:p>
    <w:p w14:paraId="39B605D8" w14:textId="77777777" w:rsidR="00893D5B" w:rsidRPr="000250FA" w:rsidRDefault="00893D5B" w:rsidP="00893D5B">
      <w:pPr>
        <w:tabs>
          <w:tab w:val="left" w:pos="9781"/>
        </w:tabs>
        <w:ind w:right="-144"/>
        <w:jc w:val="both"/>
        <w:rPr>
          <w:sz w:val="22"/>
          <w:szCs w:val="22"/>
        </w:rPr>
      </w:pPr>
    </w:p>
    <w:p w14:paraId="170B0B1C" w14:textId="77777777" w:rsidR="00893D5B" w:rsidRPr="000250FA" w:rsidRDefault="00893D5B" w:rsidP="00893D5B">
      <w:pPr>
        <w:tabs>
          <w:tab w:val="left" w:pos="9781"/>
        </w:tabs>
        <w:ind w:right="-144"/>
        <w:jc w:val="both"/>
        <w:rPr>
          <w:sz w:val="22"/>
          <w:szCs w:val="22"/>
        </w:rPr>
      </w:pPr>
      <w:r w:rsidRPr="000250FA">
        <w:rPr>
          <w:b/>
          <w:sz w:val="22"/>
          <w:szCs w:val="22"/>
        </w:rPr>
        <w:t>94. §</w:t>
      </w:r>
      <w:r w:rsidRPr="000250FA">
        <w:rPr>
          <w:sz w:val="22"/>
          <w:szCs w:val="22"/>
        </w:rPr>
        <w:t xml:space="preserve"> (1) Oktató/tanár és kutató alkalmazására nem közalkalmazotti jogviszony keretében az e szabályzat 56. § (3) bekezdésében meghatározott módon csak akkor kerülhet sor, ha azt az adott oktatási szervezeti egység oktatási és kutatási feladatai indokolják.</w:t>
      </w:r>
    </w:p>
    <w:p w14:paraId="1DB5EA45" w14:textId="77777777" w:rsidR="00893D5B" w:rsidRPr="000250FA" w:rsidRDefault="00893D5B" w:rsidP="00893D5B">
      <w:pPr>
        <w:tabs>
          <w:tab w:val="left" w:pos="709"/>
          <w:tab w:val="left" w:pos="9781"/>
        </w:tabs>
        <w:ind w:right="-144"/>
        <w:jc w:val="both"/>
        <w:rPr>
          <w:sz w:val="22"/>
          <w:szCs w:val="22"/>
        </w:rPr>
      </w:pPr>
    </w:p>
    <w:p w14:paraId="66E91C46" w14:textId="77777777" w:rsidR="00893D5B" w:rsidRPr="000250FA" w:rsidRDefault="00893D5B" w:rsidP="00893D5B">
      <w:pPr>
        <w:tabs>
          <w:tab w:val="left" w:pos="9781"/>
        </w:tabs>
        <w:ind w:right="-144"/>
        <w:jc w:val="both"/>
        <w:rPr>
          <w:sz w:val="22"/>
          <w:szCs w:val="22"/>
        </w:rPr>
      </w:pPr>
      <w:r w:rsidRPr="000250FA">
        <w:rPr>
          <w:sz w:val="22"/>
          <w:szCs w:val="22"/>
        </w:rPr>
        <w:t>(2) Megbízási szerződést azzal lehet kötni, aki megfelel az e szabályzatban meghatározott oktatókkal szemben támasztott követelményeknek.</w:t>
      </w:r>
    </w:p>
    <w:p w14:paraId="17EEA703" w14:textId="77777777" w:rsidR="00893D5B" w:rsidRPr="000250FA" w:rsidRDefault="00893D5B" w:rsidP="00893D5B">
      <w:pPr>
        <w:tabs>
          <w:tab w:val="left" w:pos="9781"/>
        </w:tabs>
        <w:ind w:right="-144"/>
        <w:jc w:val="both"/>
        <w:rPr>
          <w:sz w:val="22"/>
          <w:szCs w:val="22"/>
        </w:rPr>
      </w:pPr>
    </w:p>
    <w:p w14:paraId="3989E20D"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314"/>
      </w:r>
      <w:r w:rsidRPr="000250FA">
        <w:rPr>
          <w:sz w:val="22"/>
          <w:szCs w:val="22"/>
        </w:rPr>
        <w:t xml:space="preserve"> Oktatási feladatok ellátására megbízási jogviszony azzal létesíthető, illetve azzal tartható fenn, aki büntetlen előéletű és nem áll azon tevékenység folytatását kizáró foglalkozástól eltiltás hatálya alatt, amelyre a megbízási jogviszony irányul.</w:t>
      </w:r>
    </w:p>
    <w:p w14:paraId="79B1DCE5" w14:textId="77777777" w:rsidR="00893D5B" w:rsidRPr="000250FA" w:rsidRDefault="00893D5B" w:rsidP="00893D5B">
      <w:pPr>
        <w:tabs>
          <w:tab w:val="left" w:pos="9781"/>
        </w:tabs>
        <w:ind w:right="-144"/>
        <w:jc w:val="both"/>
        <w:rPr>
          <w:sz w:val="22"/>
          <w:szCs w:val="22"/>
        </w:rPr>
      </w:pPr>
    </w:p>
    <w:p w14:paraId="377424AB" w14:textId="77777777" w:rsidR="00893D5B" w:rsidRPr="000250FA" w:rsidRDefault="00893D5B" w:rsidP="00893D5B">
      <w:pPr>
        <w:tabs>
          <w:tab w:val="left" w:pos="9781"/>
        </w:tabs>
        <w:ind w:right="-144"/>
        <w:jc w:val="both"/>
        <w:rPr>
          <w:sz w:val="22"/>
          <w:szCs w:val="22"/>
        </w:rPr>
      </w:pPr>
      <w:r w:rsidRPr="000250FA">
        <w:rPr>
          <w:sz w:val="22"/>
          <w:szCs w:val="22"/>
        </w:rPr>
        <w:t xml:space="preserve">(4) </w:t>
      </w:r>
      <w:r w:rsidRPr="000250FA">
        <w:rPr>
          <w:rStyle w:val="Lbjegyzet-hivatkozs"/>
          <w:sz w:val="22"/>
          <w:szCs w:val="22"/>
        </w:rPr>
        <w:footnoteReference w:id="315"/>
      </w:r>
      <w:r w:rsidRPr="000250FA">
        <w:rPr>
          <w:sz w:val="22"/>
          <w:szCs w:val="22"/>
        </w:rPr>
        <w:t>Azt a tényt, hogy az (3) bekezdésben meghatározott kizáró ok nem áll fenn</w:t>
      </w:r>
    </w:p>
    <w:p w14:paraId="7DAF881D" w14:textId="77777777" w:rsidR="00893D5B" w:rsidRPr="000250FA" w:rsidRDefault="00893D5B" w:rsidP="00F83E93">
      <w:pPr>
        <w:numPr>
          <w:ilvl w:val="0"/>
          <w:numId w:val="102"/>
        </w:numPr>
        <w:jc w:val="both"/>
        <w:rPr>
          <w:sz w:val="22"/>
          <w:szCs w:val="22"/>
        </w:rPr>
      </w:pPr>
      <w:r w:rsidRPr="000250FA">
        <w:rPr>
          <w:sz w:val="22"/>
          <w:szCs w:val="22"/>
        </w:rPr>
        <w:t>a megbízási jogviszony létrejötte előtt a megbízási jogviszonyt megbízottként létesíteni kívánó személy a rektor részére,</w:t>
      </w:r>
    </w:p>
    <w:p w14:paraId="5205B220" w14:textId="77777777" w:rsidR="00893D5B" w:rsidRPr="000250FA" w:rsidRDefault="00893D5B" w:rsidP="00F83E93">
      <w:pPr>
        <w:numPr>
          <w:ilvl w:val="0"/>
          <w:numId w:val="102"/>
        </w:numPr>
        <w:jc w:val="both"/>
        <w:rPr>
          <w:sz w:val="22"/>
          <w:szCs w:val="22"/>
        </w:rPr>
      </w:pPr>
      <w:r w:rsidRPr="000250FA">
        <w:rPr>
          <w:sz w:val="22"/>
          <w:szCs w:val="22"/>
          <w:vertAlign w:val="superscript"/>
        </w:rPr>
        <w:footnoteReference w:id="316"/>
      </w:r>
      <w:r w:rsidRPr="000250FA">
        <w:rPr>
          <w:sz w:val="22"/>
          <w:szCs w:val="22"/>
        </w:rPr>
        <w:t xml:space="preserve"> a megbízási jogviszony fennállása alatt a megbízott a rektornak- a mulasztás jogkövetkezményeit tartalmazó - írásbeli felhívására, a felhívástól számított tizenöt munkanapon belül- amennyiben ez a megbízott személyen kívül álló ok miatt nem lehetséges, az ok megszűnését követően haladéktalanul- </w:t>
      </w:r>
    </w:p>
    <w:p w14:paraId="3F8F5D8D" w14:textId="77777777" w:rsidR="00893D5B" w:rsidRPr="000250FA" w:rsidRDefault="00893D5B" w:rsidP="00893D5B">
      <w:pPr>
        <w:tabs>
          <w:tab w:val="left" w:pos="9781"/>
        </w:tabs>
        <w:ind w:right="-144"/>
        <w:jc w:val="both"/>
        <w:rPr>
          <w:sz w:val="22"/>
          <w:szCs w:val="22"/>
        </w:rPr>
      </w:pPr>
      <w:proofErr w:type="gramStart"/>
      <w:r w:rsidRPr="000250FA">
        <w:rPr>
          <w:sz w:val="22"/>
          <w:szCs w:val="22"/>
        </w:rPr>
        <w:t>hatósági</w:t>
      </w:r>
      <w:proofErr w:type="gramEnd"/>
      <w:r w:rsidRPr="000250FA">
        <w:rPr>
          <w:sz w:val="22"/>
          <w:szCs w:val="22"/>
        </w:rPr>
        <w:t xml:space="preserve"> bizonyítvánnyal igazolja.</w:t>
      </w:r>
    </w:p>
    <w:p w14:paraId="7A04C196" w14:textId="77777777" w:rsidR="00893D5B" w:rsidRPr="000250FA" w:rsidRDefault="00893D5B" w:rsidP="00893D5B">
      <w:pPr>
        <w:tabs>
          <w:tab w:val="left" w:pos="9781"/>
        </w:tabs>
        <w:ind w:right="-144"/>
        <w:jc w:val="both"/>
        <w:rPr>
          <w:sz w:val="22"/>
          <w:szCs w:val="22"/>
        </w:rPr>
      </w:pPr>
    </w:p>
    <w:p w14:paraId="23838FC1" w14:textId="77777777" w:rsidR="00893D5B" w:rsidRPr="000250FA" w:rsidRDefault="00893D5B" w:rsidP="00893D5B">
      <w:pPr>
        <w:tabs>
          <w:tab w:val="left" w:pos="9781"/>
        </w:tabs>
        <w:ind w:right="-144"/>
        <w:jc w:val="both"/>
        <w:rPr>
          <w:sz w:val="22"/>
          <w:szCs w:val="22"/>
        </w:rPr>
      </w:pPr>
      <w:r w:rsidRPr="000250FA">
        <w:rPr>
          <w:sz w:val="22"/>
          <w:szCs w:val="22"/>
        </w:rPr>
        <w:t>(5)</w:t>
      </w:r>
      <w:r w:rsidRPr="000250FA">
        <w:rPr>
          <w:rStyle w:val="Lbjegyzet-hivatkozs"/>
          <w:sz w:val="22"/>
          <w:szCs w:val="22"/>
        </w:rPr>
        <w:footnoteReference w:id="317"/>
      </w:r>
      <w:r w:rsidRPr="000250FA">
        <w:rPr>
          <w:sz w:val="22"/>
          <w:szCs w:val="22"/>
        </w:rPr>
        <w:t xml:space="preserve"> Amennyiben az Egyetem olyan személlyel létesít megbízási jogviszonyt, </w:t>
      </w:r>
    </w:p>
    <w:p w14:paraId="092EA71F" w14:textId="77777777" w:rsidR="00893D5B" w:rsidRPr="000250FA" w:rsidRDefault="00893D5B" w:rsidP="00F83E93">
      <w:pPr>
        <w:numPr>
          <w:ilvl w:val="0"/>
          <w:numId w:val="103"/>
        </w:numPr>
        <w:jc w:val="both"/>
        <w:rPr>
          <w:sz w:val="22"/>
          <w:szCs w:val="22"/>
        </w:rPr>
      </w:pPr>
      <w:r w:rsidRPr="000250FA">
        <w:rPr>
          <w:sz w:val="22"/>
          <w:szCs w:val="22"/>
        </w:rPr>
        <w:t xml:space="preserve">aki Professor Emeritus/Emerita címmel rendelkezik, vagy </w:t>
      </w:r>
    </w:p>
    <w:p w14:paraId="5DCE1917" w14:textId="77777777" w:rsidR="00893D5B" w:rsidRPr="000250FA" w:rsidRDefault="00893D5B" w:rsidP="00F83E93">
      <w:pPr>
        <w:numPr>
          <w:ilvl w:val="0"/>
          <w:numId w:val="103"/>
        </w:numPr>
        <w:jc w:val="both"/>
        <w:rPr>
          <w:sz w:val="22"/>
          <w:szCs w:val="22"/>
        </w:rPr>
      </w:pPr>
      <w:r w:rsidRPr="000250FA">
        <w:rPr>
          <w:sz w:val="22"/>
          <w:szCs w:val="22"/>
        </w:rPr>
        <w:t xml:space="preserve">akinek büntetlen előélete egyéb munkavégzésre irányuló jogviszonya tekintetében feltétel, illetőleg </w:t>
      </w:r>
    </w:p>
    <w:p w14:paraId="46A57679" w14:textId="77777777" w:rsidR="00893D5B" w:rsidRPr="000250FA" w:rsidRDefault="00893D5B" w:rsidP="00F83E93">
      <w:pPr>
        <w:numPr>
          <w:ilvl w:val="0"/>
          <w:numId w:val="103"/>
        </w:numPr>
        <w:jc w:val="both"/>
        <w:rPr>
          <w:sz w:val="22"/>
          <w:szCs w:val="22"/>
        </w:rPr>
      </w:pPr>
      <w:r w:rsidRPr="000250FA">
        <w:rPr>
          <w:sz w:val="22"/>
          <w:szCs w:val="22"/>
        </w:rPr>
        <w:t xml:space="preserve">felsőoktatási intézménnyel fennállt korábbi megbízási vagy foglalkoztatási jogviszonyára tekintettel már igazolta és a korábbi jogviszony megszűnése óta legfeljebb hat hónap telt el </w:t>
      </w:r>
    </w:p>
    <w:p w14:paraId="54BEE81B" w14:textId="77777777" w:rsidR="00893D5B" w:rsidRPr="000250FA" w:rsidRDefault="00893D5B" w:rsidP="00893D5B">
      <w:pPr>
        <w:tabs>
          <w:tab w:val="left" w:pos="9781"/>
        </w:tabs>
        <w:ind w:right="-144"/>
        <w:jc w:val="both"/>
        <w:rPr>
          <w:sz w:val="22"/>
          <w:szCs w:val="22"/>
        </w:rPr>
      </w:pPr>
      <w:proofErr w:type="gramStart"/>
      <w:r w:rsidRPr="000250FA">
        <w:rPr>
          <w:sz w:val="22"/>
          <w:szCs w:val="22"/>
        </w:rPr>
        <w:t>a</w:t>
      </w:r>
      <w:proofErr w:type="gramEnd"/>
      <w:r w:rsidRPr="000250FA">
        <w:rPr>
          <w:sz w:val="22"/>
          <w:szCs w:val="22"/>
        </w:rPr>
        <w:t xml:space="preserve"> büntetlen előélet igazolására irányuló hatósági bizonyítvány beszerzése alól a megbízott az Egyetemmel létesítendő megbízási jogviszony tekintetében mentesül. A büntetlen előéletet feltételező munkavégzésre irányuló egyéb jogviszony fennállásának tényét a megbízási szerződésben rögzíteni kell.</w:t>
      </w:r>
    </w:p>
    <w:p w14:paraId="3ADB4015" w14:textId="77777777" w:rsidR="00893D5B" w:rsidRPr="000250FA" w:rsidRDefault="00893D5B" w:rsidP="00893D5B">
      <w:pPr>
        <w:tabs>
          <w:tab w:val="left" w:pos="9781"/>
        </w:tabs>
        <w:ind w:right="-144"/>
        <w:jc w:val="both"/>
        <w:rPr>
          <w:sz w:val="22"/>
          <w:szCs w:val="22"/>
        </w:rPr>
      </w:pPr>
    </w:p>
    <w:p w14:paraId="08362B2B" w14:textId="77777777" w:rsidR="00893D5B" w:rsidRPr="000250FA" w:rsidRDefault="00893D5B" w:rsidP="00893D5B">
      <w:pPr>
        <w:tabs>
          <w:tab w:val="left" w:pos="9781"/>
        </w:tabs>
        <w:ind w:right="-144"/>
        <w:jc w:val="both"/>
        <w:rPr>
          <w:sz w:val="22"/>
          <w:szCs w:val="22"/>
        </w:rPr>
      </w:pPr>
      <w:r w:rsidRPr="000250FA">
        <w:rPr>
          <w:sz w:val="22"/>
          <w:szCs w:val="22"/>
        </w:rPr>
        <w:t xml:space="preserve">(6) A megbízási jogviszony fennállása alatt a </w:t>
      </w:r>
      <w:proofErr w:type="gramStart"/>
      <w:r w:rsidRPr="000250FA">
        <w:rPr>
          <w:sz w:val="22"/>
          <w:szCs w:val="22"/>
        </w:rPr>
        <w:t>rektor írásban</w:t>
      </w:r>
      <w:proofErr w:type="gramEnd"/>
      <w:r w:rsidRPr="000250FA">
        <w:rPr>
          <w:sz w:val="22"/>
          <w:szCs w:val="22"/>
        </w:rPr>
        <w:t>, a mulasztás jogkövetkezményeinek ismertetésével felhívhatja a megbízottat annak igazolására, hogy vele szemben nem áll fenn a (3) bekezdésben meghatározott kizáró ok. Amennyiben a megbízott igazolja, hogy vele szemben a kizáró ok nem áll fenn, az Egyetem a hatósági bizonyítvány kiadása iránti eljárásért megfizetett igazgatási szolgáltatási díjat a megbízott részére megtéríti.</w:t>
      </w:r>
    </w:p>
    <w:p w14:paraId="2122B351" w14:textId="77777777" w:rsidR="00893D5B" w:rsidRPr="000250FA" w:rsidRDefault="00893D5B" w:rsidP="00893D5B">
      <w:pPr>
        <w:tabs>
          <w:tab w:val="left" w:pos="9781"/>
        </w:tabs>
        <w:ind w:right="-144"/>
        <w:jc w:val="both"/>
        <w:rPr>
          <w:sz w:val="22"/>
          <w:szCs w:val="22"/>
        </w:rPr>
      </w:pPr>
    </w:p>
    <w:p w14:paraId="4B45E1B9" w14:textId="77777777" w:rsidR="00893D5B" w:rsidRPr="000250FA" w:rsidRDefault="00893D5B" w:rsidP="00893D5B">
      <w:pPr>
        <w:tabs>
          <w:tab w:val="left" w:pos="9781"/>
        </w:tabs>
        <w:ind w:right="-144"/>
        <w:jc w:val="both"/>
        <w:rPr>
          <w:sz w:val="22"/>
          <w:szCs w:val="22"/>
        </w:rPr>
      </w:pPr>
      <w:r w:rsidRPr="000250FA">
        <w:rPr>
          <w:sz w:val="22"/>
          <w:szCs w:val="22"/>
        </w:rPr>
        <w:t>(7) A megbízási jogviszonyt az Egyetem azonnali hatállyal megszünteti, amennyiben</w:t>
      </w:r>
    </w:p>
    <w:p w14:paraId="52F151FE" w14:textId="77777777" w:rsidR="00893D5B" w:rsidRPr="000250FA" w:rsidRDefault="00893D5B" w:rsidP="00F83E93">
      <w:pPr>
        <w:numPr>
          <w:ilvl w:val="0"/>
          <w:numId w:val="104"/>
        </w:numPr>
        <w:jc w:val="both"/>
        <w:rPr>
          <w:sz w:val="22"/>
          <w:szCs w:val="22"/>
        </w:rPr>
      </w:pPr>
      <w:r w:rsidRPr="000250FA">
        <w:rPr>
          <w:sz w:val="22"/>
          <w:szCs w:val="22"/>
        </w:rPr>
        <w:t>a megbízott a (4) bekezdés b) pontjában foglalt kötelezettségének az ismételt szabályszerű felhívástól számított tizenöt munkanapon belül sem tesz eleget, és nem bizonyítja, hogy a kötelezettség elmulasztása rajta kívül álló ok következménye,</w:t>
      </w:r>
    </w:p>
    <w:p w14:paraId="0EE36AAC" w14:textId="77777777" w:rsidR="00893D5B" w:rsidRPr="000250FA" w:rsidRDefault="00893D5B" w:rsidP="00F83E93">
      <w:pPr>
        <w:numPr>
          <w:ilvl w:val="0"/>
          <w:numId w:val="104"/>
        </w:numPr>
        <w:jc w:val="both"/>
      </w:pPr>
      <w:r w:rsidRPr="000250FA">
        <w:rPr>
          <w:sz w:val="22"/>
          <w:szCs w:val="22"/>
        </w:rPr>
        <w:t>a rektor a kizáró ok fennállását a hatósági bizonyítvány tartalma alapján megállapítja</w:t>
      </w:r>
      <w:r w:rsidRPr="000250FA">
        <w:t>.</w:t>
      </w:r>
    </w:p>
    <w:p w14:paraId="45800374" w14:textId="77777777" w:rsidR="00893D5B" w:rsidRPr="000250FA" w:rsidRDefault="00893D5B" w:rsidP="00893D5B">
      <w:pPr>
        <w:tabs>
          <w:tab w:val="left" w:pos="9781"/>
        </w:tabs>
        <w:ind w:right="-144"/>
        <w:jc w:val="both"/>
        <w:rPr>
          <w:sz w:val="22"/>
          <w:szCs w:val="22"/>
        </w:rPr>
      </w:pPr>
    </w:p>
    <w:p w14:paraId="5B11511B" w14:textId="77777777" w:rsidR="00893D5B" w:rsidRPr="000250FA" w:rsidRDefault="00893D5B" w:rsidP="00893D5B">
      <w:pPr>
        <w:tabs>
          <w:tab w:val="left" w:pos="9781"/>
        </w:tabs>
        <w:ind w:right="-144"/>
        <w:jc w:val="both"/>
        <w:rPr>
          <w:sz w:val="22"/>
          <w:szCs w:val="22"/>
        </w:rPr>
      </w:pPr>
      <w:r w:rsidRPr="000250FA">
        <w:rPr>
          <w:sz w:val="22"/>
          <w:szCs w:val="22"/>
        </w:rPr>
        <w:t>(8) A megbízási szerződésre vonatkozó mintát a HR Kézikönyv tartalmazza.</w:t>
      </w:r>
    </w:p>
    <w:p w14:paraId="42615C17" w14:textId="77777777" w:rsidR="00893D5B" w:rsidRPr="000250FA" w:rsidRDefault="00893D5B" w:rsidP="00893D5B">
      <w:pPr>
        <w:tabs>
          <w:tab w:val="left" w:pos="9781"/>
        </w:tabs>
        <w:ind w:right="-144"/>
        <w:jc w:val="both"/>
        <w:rPr>
          <w:sz w:val="22"/>
          <w:szCs w:val="22"/>
        </w:rPr>
      </w:pPr>
    </w:p>
    <w:p w14:paraId="2C16ABAF" w14:textId="77777777" w:rsidR="00893D5B" w:rsidRPr="009D012B" w:rsidRDefault="00893D5B" w:rsidP="00893D5B">
      <w:pPr>
        <w:pStyle w:val="Cmsor4"/>
      </w:pPr>
      <w:r w:rsidRPr="009D012B">
        <w:t>Vendégprofesszor</w:t>
      </w:r>
    </w:p>
    <w:p w14:paraId="7CC51D6E" w14:textId="77777777" w:rsidR="00893D5B" w:rsidRPr="000250FA" w:rsidRDefault="00893D5B" w:rsidP="00893D5B">
      <w:pPr>
        <w:tabs>
          <w:tab w:val="left" w:pos="3225"/>
        </w:tabs>
        <w:jc w:val="center"/>
        <w:rPr>
          <w:b/>
          <w:sz w:val="22"/>
          <w:szCs w:val="22"/>
        </w:rPr>
      </w:pPr>
    </w:p>
    <w:p w14:paraId="31070264" w14:textId="77777777" w:rsidR="00893D5B" w:rsidRPr="009D012B" w:rsidRDefault="00893D5B" w:rsidP="00893D5B">
      <w:pPr>
        <w:tabs>
          <w:tab w:val="left" w:pos="3225"/>
        </w:tabs>
        <w:jc w:val="both"/>
        <w:rPr>
          <w:sz w:val="22"/>
          <w:szCs w:val="22"/>
        </w:rPr>
      </w:pPr>
      <w:r w:rsidRPr="009D012B">
        <w:rPr>
          <w:b/>
          <w:sz w:val="22"/>
          <w:szCs w:val="22"/>
        </w:rPr>
        <w:t>94/</w:t>
      </w:r>
      <w:proofErr w:type="gramStart"/>
      <w:r w:rsidRPr="009D012B">
        <w:rPr>
          <w:b/>
          <w:sz w:val="22"/>
          <w:szCs w:val="22"/>
        </w:rPr>
        <w:t>A.</w:t>
      </w:r>
      <w:proofErr w:type="gramEnd"/>
      <w:r w:rsidRPr="009D012B">
        <w:rPr>
          <w:b/>
          <w:sz w:val="22"/>
          <w:szCs w:val="22"/>
        </w:rPr>
        <w:t xml:space="preserve"> §</w:t>
      </w:r>
      <w:r w:rsidRPr="0076395F">
        <w:rPr>
          <w:rStyle w:val="Lbjegyzet-hivatkozs"/>
          <w:sz w:val="22"/>
          <w:szCs w:val="22"/>
        </w:rPr>
        <w:footnoteReference w:id="318"/>
      </w:r>
      <w:r w:rsidRPr="000250FA">
        <w:rPr>
          <w:b/>
          <w:i/>
          <w:sz w:val="22"/>
          <w:szCs w:val="22"/>
        </w:rPr>
        <w:t xml:space="preserve"> </w:t>
      </w:r>
      <w:r w:rsidRPr="009D012B">
        <w:rPr>
          <w:sz w:val="22"/>
          <w:szCs w:val="22"/>
        </w:rPr>
        <w:t>(1) A kar vendégprofesszor címet adományozhat annak az egyetemmel közalkalmazotti jogviszonyban nem álló személynek, aki tudományos fokozattal rendelkezik, részt vesz a karon folyó oktatási és kutatási tevékenységben.</w:t>
      </w:r>
    </w:p>
    <w:p w14:paraId="74F392DD" w14:textId="77777777" w:rsidR="00893D5B" w:rsidRPr="009D012B" w:rsidRDefault="00893D5B" w:rsidP="00893D5B">
      <w:pPr>
        <w:tabs>
          <w:tab w:val="left" w:pos="3225"/>
        </w:tabs>
        <w:jc w:val="both"/>
        <w:rPr>
          <w:sz w:val="22"/>
          <w:szCs w:val="22"/>
        </w:rPr>
      </w:pPr>
    </w:p>
    <w:p w14:paraId="3F560EA3" w14:textId="77777777" w:rsidR="00893D5B" w:rsidRPr="009D012B" w:rsidRDefault="00893D5B" w:rsidP="00893D5B">
      <w:pPr>
        <w:tabs>
          <w:tab w:val="left" w:pos="3225"/>
        </w:tabs>
        <w:jc w:val="both"/>
        <w:rPr>
          <w:sz w:val="22"/>
          <w:szCs w:val="22"/>
        </w:rPr>
      </w:pPr>
      <w:r w:rsidRPr="009D012B">
        <w:rPr>
          <w:sz w:val="22"/>
          <w:szCs w:val="22"/>
        </w:rPr>
        <w:t xml:space="preserve">(2) A vendégprofesszor foglalkoztatására megbízási jogviszonyban kerül sor. A 94. § rendelkezéseit megfelelően alkalmazni kell. </w:t>
      </w:r>
    </w:p>
    <w:p w14:paraId="637C61D9" w14:textId="77777777" w:rsidR="00893D5B" w:rsidRPr="009D012B" w:rsidRDefault="00893D5B" w:rsidP="00893D5B">
      <w:pPr>
        <w:tabs>
          <w:tab w:val="left" w:pos="3225"/>
        </w:tabs>
        <w:jc w:val="both"/>
        <w:rPr>
          <w:sz w:val="22"/>
          <w:szCs w:val="22"/>
        </w:rPr>
      </w:pPr>
    </w:p>
    <w:p w14:paraId="35C2AB7B" w14:textId="77777777" w:rsidR="00893D5B" w:rsidRPr="009D012B" w:rsidRDefault="00893D5B" w:rsidP="00893D5B">
      <w:pPr>
        <w:tabs>
          <w:tab w:val="left" w:pos="3225"/>
        </w:tabs>
        <w:jc w:val="both"/>
        <w:rPr>
          <w:sz w:val="22"/>
          <w:szCs w:val="22"/>
        </w:rPr>
      </w:pPr>
      <w:r w:rsidRPr="009D012B">
        <w:rPr>
          <w:sz w:val="22"/>
          <w:szCs w:val="22"/>
        </w:rPr>
        <w:lastRenderedPageBreak/>
        <w:t>(3) A vendégprofesszori cím adományozásának feltételeit, a vendégprofesszor jogait és kötelességeit a kar szabályzatban határozza meg.</w:t>
      </w:r>
    </w:p>
    <w:p w14:paraId="08396BDF" w14:textId="77777777" w:rsidR="00893D5B" w:rsidRPr="000250FA" w:rsidRDefault="00893D5B" w:rsidP="00893D5B">
      <w:pPr>
        <w:tabs>
          <w:tab w:val="left" w:pos="9781"/>
        </w:tabs>
        <w:ind w:right="-144"/>
        <w:jc w:val="both"/>
        <w:rPr>
          <w:sz w:val="22"/>
          <w:szCs w:val="22"/>
        </w:rPr>
      </w:pPr>
    </w:p>
    <w:p w14:paraId="1DEC09DA" w14:textId="77777777" w:rsidR="00893D5B" w:rsidRPr="00F01C44" w:rsidRDefault="00893D5B" w:rsidP="00893D5B">
      <w:pPr>
        <w:pStyle w:val="Cmsor1"/>
      </w:pPr>
      <w:bookmarkStart w:id="218" w:name="_Toc432753602"/>
      <w:bookmarkStart w:id="219" w:name="_Toc444603564"/>
      <w:bookmarkStart w:id="220" w:name="_Toc445200824"/>
      <w:bookmarkStart w:id="221" w:name="_Toc58569546"/>
      <w:r w:rsidRPr="00F01C44">
        <w:t>NEGYEDIK RÉSZ</w:t>
      </w:r>
      <w:r w:rsidRPr="00F01C44">
        <w:rPr>
          <w:rStyle w:val="Lbjegyzet-hivatkozs"/>
        </w:rPr>
        <w:footnoteReference w:id="319"/>
      </w:r>
      <w:bookmarkEnd w:id="218"/>
      <w:bookmarkEnd w:id="219"/>
      <w:bookmarkEnd w:id="220"/>
      <w:bookmarkEnd w:id="221"/>
    </w:p>
    <w:p w14:paraId="0342C0BF" w14:textId="77777777" w:rsidR="00893D5B" w:rsidRPr="000250FA" w:rsidRDefault="00893D5B" w:rsidP="00893D5B">
      <w:pPr>
        <w:tabs>
          <w:tab w:val="left" w:pos="9781"/>
        </w:tabs>
        <w:ind w:right="-144"/>
        <w:jc w:val="center"/>
        <w:rPr>
          <w:b/>
          <w:sz w:val="22"/>
          <w:szCs w:val="22"/>
        </w:rPr>
      </w:pPr>
    </w:p>
    <w:p w14:paraId="32E91CFB" w14:textId="77777777" w:rsidR="00893D5B" w:rsidRPr="000250FA" w:rsidRDefault="00893D5B" w:rsidP="00893D5B">
      <w:pPr>
        <w:pStyle w:val="Cmsor2"/>
      </w:pPr>
      <w:bookmarkStart w:id="222" w:name="_Toc432753603"/>
      <w:bookmarkStart w:id="223" w:name="_Toc444603565"/>
      <w:bookmarkStart w:id="224" w:name="_Toc445200825"/>
      <w:bookmarkStart w:id="225" w:name="_Toc58569547"/>
      <w:r w:rsidRPr="000250FA">
        <w:t>A nem oktatói, kutatói, tanári munkakörben foglalkoztatottakra vonatkozó különös szabályok</w:t>
      </w:r>
      <w:bookmarkEnd w:id="222"/>
      <w:bookmarkEnd w:id="223"/>
      <w:bookmarkEnd w:id="224"/>
      <w:bookmarkEnd w:id="225"/>
    </w:p>
    <w:p w14:paraId="34098880" w14:textId="77777777" w:rsidR="00893D5B" w:rsidRPr="000250FA" w:rsidRDefault="00893D5B" w:rsidP="00893D5B">
      <w:pPr>
        <w:tabs>
          <w:tab w:val="left" w:pos="9781"/>
        </w:tabs>
        <w:ind w:right="-144"/>
        <w:jc w:val="both"/>
        <w:rPr>
          <w:sz w:val="22"/>
          <w:szCs w:val="22"/>
        </w:rPr>
      </w:pPr>
    </w:p>
    <w:p w14:paraId="6CC673A2" w14:textId="77777777" w:rsidR="00893D5B" w:rsidRPr="000250FA" w:rsidRDefault="00893D5B" w:rsidP="00893D5B">
      <w:pPr>
        <w:pStyle w:val="Cmsor3"/>
      </w:pPr>
      <w:bookmarkStart w:id="226" w:name="_Toc432753604"/>
      <w:bookmarkStart w:id="227" w:name="_Toc444603566"/>
      <w:bookmarkStart w:id="228" w:name="_Toc445200826"/>
      <w:bookmarkStart w:id="229" w:name="_Toc58569548"/>
      <w:r w:rsidRPr="000250FA">
        <w:t>I. fejezet - A nem oktatói, kutatói, tanári munkakör létesítésére vonatkozó rendelkezések</w:t>
      </w:r>
      <w:bookmarkEnd w:id="226"/>
      <w:bookmarkEnd w:id="227"/>
      <w:bookmarkEnd w:id="228"/>
      <w:bookmarkEnd w:id="229"/>
    </w:p>
    <w:p w14:paraId="144F0597" w14:textId="77777777" w:rsidR="00893D5B" w:rsidRPr="000250FA" w:rsidRDefault="00893D5B" w:rsidP="00893D5B">
      <w:pPr>
        <w:tabs>
          <w:tab w:val="left" w:pos="9781"/>
        </w:tabs>
        <w:ind w:right="-144"/>
        <w:jc w:val="center"/>
        <w:rPr>
          <w:sz w:val="22"/>
          <w:szCs w:val="22"/>
        </w:rPr>
      </w:pPr>
    </w:p>
    <w:p w14:paraId="36962F86" w14:textId="77777777" w:rsidR="00893D5B" w:rsidRPr="000250FA" w:rsidRDefault="00893D5B" w:rsidP="00893D5B">
      <w:pPr>
        <w:tabs>
          <w:tab w:val="left" w:pos="945"/>
          <w:tab w:val="left" w:pos="9781"/>
        </w:tabs>
        <w:ind w:right="-144"/>
        <w:jc w:val="both"/>
        <w:rPr>
          <w:sz w:val="22"/>
          <w:szCs w:val="22"/>
        </w:rPr>
      </w:pPr>
      <w:r w:rsidRPr="000250FA">
        <w:rPr>
          <w:b/>
          <w:sz w:val="22"/>
          <w:szCs w:val="22"/>
        </w:rPr>
        <w:t>95. §</w:t>
      </w:r>
      <w:r w:rsidRPr="000250FA">
        <w:rPr>
          <w:b/>
          <w:i/>
          <w:sz w:val="22"/>
          <w:szCs w:val="22"/>
        </w:rPr>
        <w:t xml:space="preserve"> </w:t>
      </w:r>
      <w:r w:rsidRPr="000250FA">
        <w:rPr>
          <w:sz w:val="22"/>
          <w:szCs w:val="22"/>
        </w:rPr>
        <w:t>(1) A nem oktatói, kutatói, tanári munkakörben való alkalmazás további, az e szabályzat 9. §-</w:t>
      </w:r>
      <w:proofErr w:type="spellStart"/>
      <w:r w:rsidRPr="000250FA">
        <w:rPr>
          <w:sz w:val="22"/>
          <w:szCs w:val="22"/>
        </w:rPr>
        <w:t>ában</w:t>
      </w:r>
      <w:proofErr w:type="spellEnd"/>
      <w:r w:rsidRPr="000250FA">
        <w:rPr>
          <w:sz w:val="22"/>
          <w:szCs w:val="22"/>
        </w:rPr>
        <w:t xml:space="preserve"> meghatározottakon túli feltételeit e § (2)-(6) bekezdése tartalmazza.</w:t>
      </w:r>
    </w:p>
    <w:p w14:paraId="3AA9EDF7" w14:textId="77777777" w:rsidR="00893D5B" w:rsidRPr="000250FA" w:rsidRDefault="00893D5B" w:rsidP="00893D5B">
      <w:pPr>
        <w:tabs>
          <w:tab w:val="left" w:pos="945"/>
          <w:tab w:val="left" w:pos="9781"/>
        </w:tabs>
        <w:ind w:right="-144"/>
        <w:jc w:val="both"/>
        <w:rPr>
          <w:sz w:val="22"/>
          <w:szCs w:val="22"/>
        </w:rPr>
      </w:pPr>
    </w:p>
    <w:p w14:paraId="241ADEBF" w14:textId="77777777" w:rsidR="00893D5B" w:rsidRPr="000250FA" w:rsidRDefault="00893D5B" w:rsidP="00893D5B">
      <w:pPr>
        <w:tabs>
          <w:tab w:val="left" w:pos="945"/>
          <w:tab w:val="left" w:pos="9781"/>
        </w:tabs>
        <w:ind w:right="-144"/>
        <w:jc w:val="both"/>
        <w:rPr>
          <w:sz w:val="22"/>
          <w:szCs w:val="22"/>
        </w:rPr>
      </w:pPr>
      <w:r w:rsidRPr="000250FA">
        <w:rPr>
          <w:sz w:val="22"/>
          <w:szCs w:val="22"/>
        </w:rPr>
        <w:t xml:space="preserve">(2) Ügyvivő-szakértő elnevezésű munkakörbe kell besorolni azt a mesterfokozattal vagy alapfokozattal és szakképzettséggel rendelkező, önálló tevékenységet, szakértői munkát végző közalkalmazottat (pl. a jogtanácsost, a jogi előadót, a közgazdászt, az egyetemi vagy főiskolai végzettségű tanügyigazgatási munkatársat), továbbá az Egyetem </w:t>
      </w:r>
      <w:proofErr w:type="gramStart"/>
      <w:r w:rsidRPr="000250FA">
        <w:rPr>
          <w:sz w:val="22"/>
          <w:szCs w:val="22"/>
        </w:rPr>
        <w:t>funkcionális</w:t>
      </w:r>
      <w:proofErr w:type="gramEnd"/>
      <w:r w:rsidRPr="000250FA">
        <w:rPr>
          <w:sz w:val="22"/>
          <w:szCs w:val="22"/>
        </w:rPr>
        <w:t xml:space="preserve"> egységének vezetőjét és helyettesét, aki nem vesz részt az oktatásban. A gazdasági szervezet vezetőjének mesterfokozat vagy alapfokozat mellett szakirányú (pénzügyi, számviteli, közgazdasági) szakképzettséggel is rendelkeznie kell.</w:t>
      </w:r>
    </w:p>
    <w:p w14:paraId="35DFF9D6" w14:textId="77777777" w:rsidR="00893D5B" w:rsidRPr="000250FA" w:rsidRDefault="00893D5B" w:rsidP="00893D5B">
      <w:pPr>
        <w:rPr>
          <w:b/>
          <w:bCs/>
          <w:sz w:val="22"/>
          <w:szCs w:val="22"/>
        </w:rPr>
      </w:pPr>
    </w:p>
    <w:p w14:paraId="6C806646" w14:textId="77777777" w:rsidR="00893D5B" w:rsidRPr="000250FA" w:rsidRDefault="00893D5B" w:rsidP="00893D5B">
      <w:pPr>
        <w:jc w:val="both"/>
        <w:rPr>
          <w:bCs/>
          <w:sz w:val="22"/>
          <w:szCs w:val="22"/>
        </w:rPr>
      </w:pPr>
      <w:r w:rsidRPr="000250FA">
        <w:rPr>
          <w:bCs/>
          <w:sz w:val="22"/>
          <w:szCs w:val="22"/>
        </w:rPr>
        <w:t>(3) Tanszéki mérnök elnevezésű munkakörbe kell besorolni azt a mesterfokozattal vagy alapfokozattal és természettudományos vagy mérnöki szakirányú szakképzettséggel rendelkező közalkalmazottat, aki az oktatást közvetlenül segítő tevékenységet folytat, és részt vesz annak feltételei (labor, műhely, hardver, szoftver stb.) megteremtésében, fejlesztésében.</w:t>
      </w:r>
    </w:p>
    <w:p w14:paraId="14E07BFA" w14:textId="77777777" w:rsidR="00893D5B" w:rsidRPr="000250FA" w:rsidRDefault="00893D5B" w:rsidP="00893D5B">
      <w:pPr>
        <w:jc w:val="both"/>
        <w:rPr>
          <w:bCs/>
          <w:sz w:val="22"/>
          <w:szCs w:val="22"/>
        </w:rPr>
      </w:pPr>
    </w:p>
    <w:p w14:paraId="0300D2B5" w14:textId="77777777" w:rsidR="00893D5B" w:rsidRPr="000250FA" w:rsidRDefault="00893D5B" w:rsidP="00893D5B">
      <w:pPr>
        <w:jc w:val="both"/>
        <w:rPr>
          <w:bCs/>
          <w:sz w:val="22"/>
          <w:szCs w:val="22"/>
        </w:rPr>
      </w:pPr>
      <w:r w:rsidRPr="000250FA">
        <w:rPr>
          <w:bCs/>
          <w:sz w:val="22"/>
          <w:szCs w:val="22"/>
        </w:rPr>
        <w:t>(4) Ügyintéző (gazdasági, műszaki, igazgatási) elnevezésű munkakörbe kell besorolni a középiskolai végzettséget igazoló szakképesítéssel vagy középiskolai végzettséggel és felsőfokú végzettségi szintet nem tanúsító - felsőfokú szakképesítést igazoló - bizonyítvánnyal vagy alapfokozattal rendelkező, szakmai döntés-előkészítést végző közalkalmazottat.</w:t>
      </w:r>
    </w:p>
    <w:p w14:paraId="51A015A9" w14:textId="77777777" w:rsidR="00893D5B" w:rsidRPr="000250FA" w:rsidRDefault="00893D5B" w:rsidP="00893D5B">
      <w:pPr>
        <w:jc w:val="both"/>
        <w:rPr>
          <w:bCs/>
          <w:sz w:val="22"/>
          <w:szCs w:val="22"/>
        </w:rPr>
      </w:pPr>
    </w:p>
    <w:p w14:paraId="056BDF2C" w14:textId="77777777" w:rsidR="00893D5B" w:rsidRPr="000250FA" w:rsidRDefault="00893D5B" w:rsidP="00893D5B">
      <w:pPr>
        <w:jc w:val="both"/>
        <w:rPr>
          <w:bCs/>
          <w:sz w:val="22"/>
          <w:szCs w:val="22"/>
        </w:rPr>
      </w:pPr>
      <w:r w:rsidRPr="000250FA">
        <w:rPr>
          <w:bCs/>
          <w:sz w:val="22"/>
          <w:szCs w:val="22"/>
        </w:rPr>
        <w:t>(5) Ügyviteli elnevezésű munkakörbe kell besorolni azt az adminisztratív jellegű munkát ellátó közalkalmazottat, aki alapfokú vagy középiskolai végzettséggel és arra épülő szakirányú képesítéssel vagy alapfokozattal rendelkezik.</w:t>
      </w:r>
    </w:p>
    <w:p w14:paraId="165D5F3F" w14:textId="77777777" w:rsidR="00893D5B" w:rsidRPr="000250FA" w:rsidRDefault="00893D5B" w:rsidP="00893D5B">
      <w:pPr>
        <w:jc w:val="both"/>
        <w:rPr>
          <w:bCs/>
          <w:sz w:val="22"/>
          <w:szCs w:val="22"/>
        </w:rPr>
      </w:pPr>
    </w:p>
    <w:p w14:paraId="171BB993" w14:textId="77777777" w:rsidR="00893D5B" w:rsidRPr="000250FA" w:rsidRDefault="00893D5B" w:rsidP="00893D5B">
      <w:pPr>
        <w:jc w:val="both"/>
        <w:rPr>
          <w:bCs/>
          <w:sz w:val="22"/>
          <w:szCs w:val="22"/>
        </w:rPr>
      </w:pPr>
      <w:r w:rsidRPr="000250FA">
        <w:rPr>
          <w:bCs/>
          <w:sz w:val="22"/>
          <w:szCs w:val="22"/>
        </w:rPr>
        <w:t>(6) Szakmai szolgáltató elnevezésű munkakörbe kell besorolni azt a közalkalmazottat, aki alapfokú vagy középiskolai végzettséget igénylő szakképesítéssel vagy felsőfokú végzettségi szintet nem tanúsító felsőfokú szakképesítést igazoló bizonyítvánnyal vagy alapfokozattal és szakirányú szakképzettséggel az oktató-kutató laboratóriumokban közvetlenül segíti az oktatók-kutatók munkáját, a hallgatók gyakorlati képzését, önállóan végez kutatási részfeladatokat. E munkakörben foglalkoztatott felsőfokú technikusi végzettséggel rendelkező közalkalmazott besorolását az „E” fizetési osztályban előírt, felsőfokú végzettségi szintet nem tanúsító felsőfokú szakképesítésként kell figyelembe venni. A technikus, laboráns munkakörben a besorolás szempontjából felsőfokú szakképesítéssel egyenértékűnek kell tekinteni annak a közalkalmazottnak a képesítését, aki ipari, mezőgazdasági vagy egyéb technikumokban szerzett oklevelet, és legalább tíz évig szakképesítésének megfelelő területen dolgozott.</w:t>
      </w:r>
    </w:p>
    <w:p w14:paraId="1DAAED09" w14:textId="77777777" w:rsidR="00893D5B" w:rsidRPr="000250FA" w:rsidRDefault="00893D5B" w:rsidP="00893D5B">
      <w:pPr>
        <w:tabs>
          <w:tab w:val="left" w:pos="9781"/>
        </w:tabs>
        <w:autoSpaceDE w:val="0"/>
        <w:autoSpaceDN w:val="0"/>
        <w:adjustRightInd w:val="0"/>
        <w:ind w:right="-144"/>
        <w:jc w:val="both"/>
        <w:rPr>
          <w:sz w:val="22"/>
          <w:szCs w:val="22"/>
        </w:rPr>
      </w:pPr>
    </w:p>
    <w:p w14:paraId="41542153" w14:textId="77777777" w:rsidR="00893D5B" w:rsidRPr="000250FA" w:rsidRDefault="00893D5B" w:rsidP="00893D5B">
      <w:pPr>
        <w:jc w:val="both"/>
        <w:rPr>
          <w:sz w:val="22"/>
          <w:szCs w:val="22"/>
        </w:rPr>
      </w:pPr>
      <w:r w:rsidRPr="000250FA">
        <w:rPr>
          <w:sz w:val="22"/>
          <w:szCs w:val="22"/>
        </w:rPr>
        <w:t>(7) Az Egyetem által közművelődési, közgyűjteményi, egészségügyi intézményeiben meghatározott munkakörökben történő alkalmazás további feltételeit az adott ágazatra vonatkozó rendelkezések határozzák meg.</w:t>
      </w:r>
    </w:p>
    <w:p w14:paraId="538F49B0" w14:textId="77777777" w:rsidR="00893D5B" w:rsidRPr="000250FA" w:rsidRDefault="00893D5B" w:rsidP="00893D5B">
      <w:pPr>
        <w:tabs>
          <w:tab w:val="left" w:pos="9781"/>
        </w:tabs>
        <w:autoSpaceDE w:val="0"/>
        <w:autoSpaceDN w:val="0"/>
        <w:adjustRightInd w:val="0"/>
        <w:ind w:right="-144"/>
        <w:jc w:val="both"/>
        <w:rPr>
          <w:sz w:val="22"/>
          <w:szCs w:val="22"/>
        </w:rPr>
      </w:pPr>
    </w:p>
    <w:p w14:paraId="3B0ACB4A"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b/>
          <w:sz w:val="22"/>
          <w:szCs w:val="22"/>
        </w:rPr>
        <w:t>96. §</w:t>
      </w:r>
      <w:r w:rsidRPr="000250FA">
        <w:rPr>
          <w:i/>
          <w:sz w:val="22"/>
          <w:szCs w:val="22"/>
        </w:rPr>
        <w:t xml:space="preserve"> </w:t>
      </w:r>
      <w:r w:rsidRPr="000250FA">
        <w:rPr>
          <w:sz w:val="22"/>
          <w:szCs w:val="22"/>
        </w:rPr>
        <w:t xml:space="preserve">(1) További szakképesítés elismerése: további szakképesítés címén díjazás csak akkor fizethető, amennyiben a munkakör betöltéséhez szükséges iskolai végzettségen, képzettségen felül a közalkalmazott – az alapbesorolásának megfelelő szintű - további szakképesítéssel rendelkezik, amelyet a betöltött </w:t>
      </w:r>
      <w:r w:rsidRPr="000250FA">
        <w:rPr>
          <w:sz w:val="22"/>
          <w:szCs w:val="22"/>
        </w:rPr>
        <w:lastRenderedPageBreak/>
        <w:t>munkakörben hasznosít. Egyetemen belüli munkakör átsorolás esetén felül kell vizsgálni az új munkakör betöltéséhez szükséges képzettségi feltételeket és az új képzettségi elvárásoknak megfelelően kell a besorolási feltételeket megállapítani. Ha a munkakör átsorolás esetén a közalkalmazott nem rendelkezik a képesítési feltételekkel, a kinevezési okmányban rögzíteni kell a képzettség megszerzésének határidejét, amely maximum 5 év lehet. Amennyiben a határidő elteltével a közalkalmazott a képesítési feltéteket nem teljesíti, közalkalmazotti jogviszonya e szabályzat alapján megszűnik.</w:t>
      </w:r>
    </w:p>
    <w:p w14:paraId="2825B45F" w14:textId="77777777" w:rsidR="00893D5B" w:rsidRPr="000250FA" w:rsidRDefault="00893D5B" w:rsidP="00893D5B">
      <w:pPr>
        <w:tabs>
          <w:tab w:val="left" w:pos="9781"/>
        </w:tabs>
        <w:ind w:right="-144"/>
        <w:jc w:val="both"/>
        <w:rPr>
          <w:sz w:val="22"/>
          <w:szCs w:val="22"/>
        </w:rPr>
      </w:pPr>
    </w:p>
    <w:p w14:paraId="498555DC" w14:textId="77777777" w:rsidR="00893D5B" w:rsidRPr="000250FA" w:rsidRDefault="00893D5B" w:rsidP="00893D5B">
      <w:pPr>
        <w:jc w:val="both"/>
        <w:rPr>
          <w:bCs/>
          <w:sz w:val="22"/>
          <w:szCs w:val="22"/>
        </w:rPr>
      </w:pPr>
      <w:r w:rsidRPr="000250FA">
        <w:rPr>
          <w:sz w:val="22"/>
          <w:szCs w:val="22"/>
        </w:rPr>
        <w:t xml:space="preserve">(2) </w:t>
      </w:r>
      <w:r w:rsidRPr="000250FA">
        <w:rPr>
          <w:bCs/>
          <w:sz w:val="22"/>
          <w:szCs w:val="22"/>
        </w:rPr>
        <w:t xml:space="preserve">A képesítési feltételek, a szükséges iskolai végzettség megszerzése alól mentesül az a közalkalmazott, akinek e szabályzat 163. §-a (1) bekezdésének </w:t>
      </w:r>
      <w:r w:rsidRPr="000250FA">
        <w:rPr>
          <w:bCs/>
          <w:iCs/>
          <w:sz w:val="22"/>
          <w:szCs w:val="22"/>
        </w:rPr>
        <w:t xml:space="preserve">a) </w:t>
      </w:r>
      <w:r w:rsidRPr="000250FA">
        <w:rPr>
          <w:bCs/>
          <w:sz w:val="22"/>
          <w:szCs w:val="22"/>
        </w:rPr>
        <w:t>pontjában meghatározott feltétel bekövetkezéséig kevesebb, mint öt éve van hátra.</w:t>
      </w:r>
    </w:p>
    <w:p w14:paraId="1B3BBF5A" w14:textId="77777777" w:rsidR="00893D5B" w:rsidRPr="000250FA" w:rsidRDefault="00893D5B" w:rsidP="00893D5B">
      <w:pPr>
        <w:tabs>
          <w:tab w:val="left" w:pos="9781"/>
        </w:tabs>
        <w:ind w:right="-144"/>
        <w:rPr>
          <w:b/>
          <w:sz w:val="22"/>
          <w:szCs w:val="22"/>
        </w:rPr>
      </w:pPr>
    </w:p>
    <w:p w14:paraId="5E289EC9" w14:textId="77777777" w:rsidR="00893D5B" w:rsidRPr="000250FA" w:rsidRDefault="00893D5B" w:rsidP="00893D5B">
      <w:pPr>
        <w:jc w:val="center"/>
        <w:rPr>
          <w:b/>
          <w:bCs/>
          <w:sz w:val="22"/>
          <w:szCs w:val="22"/>
        </w:rPr>
      </w:pPr>
      <w:r w:rsidRPr="000250FA">
        <w:rPr>
          <w:b/>
          <w:bCs/>
          <w:sz w:val="22"/>
          <w:szCs w:val="22"/>
        </w:rPr>
        <w:t>A kamarai jogtanácsos és a jogi előadó jogállására és felelősségére vonatkozó külön rendelkezések</w:t>
      </w:r>
      <w:r w:rsidRPr="000250FA">
        <w:rPr>
          <w:rStyle w:val="Lbjegyzet-hivatkozs"/>
          <w:b/>
          <w:bCs/>
          <w:sz w:val="22"/>
          <w:szCs w:val="22"/>
        </w:rPr>
        <w:footnoteReference w:id="320"/>
      </w:r>
    </w:p>
    <w:p w14:paraId="57605C9C" w14:textId="77777777" w:rsidR="00893D5B" w:rsidRPr="000250FA" w:rsidRDefault="00893D5B" w:rsidP="00893D5B">
      <w:pPr>
        <w:jc w:val="both"/>
        <w:rPr>
          <w:b/>
          <w:bCs/>
          <w:sz w:val="22"/>
          <w:szCs w:val="22"/>
          <w:u w:val="single"/>
        </w:rPr>
      </w:pPr>
    </w:p>
    <w:p w14:paraId="26CDB37A" w14:textId="77777777" w:rsidR="00893D5B" w:rsidRPr="000250FA" w:rsidRDefault="00893D5B" w:rsidP="00893D5B">
      <w:pPr>
        <w:jc w:val="both"/>
        <w:rPr>
          <w:sz w:val="22"/>
          <w:szCs w:val="22"/>
        </w:rPr>
      </w:pPr>
      <w:r w:rsidRPr="000250FA">
        <w:rPr>
          <w:b/>
          <w:bCs/>
          <w:sz w:val="22"/>
          <w:szCs w:val="22"/>
        </w:rPr>
        <w:t>96/</w:t>
      </w:r>
      <w:proofErr w:type="gramStart"/>
      <w:r w:rsidRPr="000250FA">
        <w:rPr>
          <w:b/>
          <w:bCs/>
          <w:sz w:val="22"/>
          <w:szCs w:val="22"/>
        </w:rPr>
        <w:t>A.</w:t>
      </w:r>
      <w:proofErr w:type="gramEnd"/>
      <w:r w:rsidRPr="000250FA">
        <w:rPr>
          <w:b/>
          <w:bCs/>
          <w:sz w:val="22"/>
          <w:szCs w:val="22"/>
        </w:rPr>
        <w:t xml:space="preserve"> §</w:t>
      </w:r>
      <w:r w:rsidRPr="000250FA">
        <w:rPr>
          <w:b/>
          <w:bCs/>
          <w:i/>
          <w:iCs/>
          <w:sz w:val="22"/>
          <w:szCs w:val="22"/>
        </w:rPr>
        <w:t xml:space="preserve"> </w:t>
      </w:r>
      <w:r w:rsidRPr="000250FA">
        <w:rPr>
          <w:bCs/>
          <w:iCs/>
          <w:sz w:val="22"/>
          <w:szCs w:val="22"/>
        </w:rPr>
        <w:t xml:space="preserve">(1) Az Egyetem kamarai jogtanácsosa a Pécsi Ügyvédi Kamara tagja, a kamarai jogtanácsos és a jogi előadó az ügyvédi tevékenységről szóló törvény és a vonatkozó kamarai szabályzatok rendelkezéseinek megfelelően látja el tevékenységét, a kamarai szabályzatok hatálya alá tartozik. </w:t>
      </w:r>
    </w:p>
    <w:p w14:paraId="3C6B0AE4" w14:textId="77777777" w:rsidR="00893D5B" w:rsidRPr="000250FA" w:rsidRDefault="00893D5B" w:rsidP="00893D5B">
      <w:pPr>
        <w:jc w:val="both"/>
        <w:rPr>
          <w:sz w:val="22"/>
          <w:szCs w:val="22"/>
        </w:rPr>
      </w:pPr>
    </w:p>
    <w:p w14:paraId="718D8FD0" w14:textId="77777777" w:rsidR="00893D5B" w:rsidRPr="000250FA" w:rsidRDefault="00893D5B" w:rsidP="00893D5B">
      <w:pPr>
        <w:jc w:val="both"/>
        <w:rPr>
          <w:sz w:val="22"/>
          <w:szCs w:val="22"/>
        </w:rPr>
      </w:pPr>
      <w:r w:rsidRPr="000250FA">
        <w:rPr>
          <w:bCs/>
          <w:iCs/>
          <w:sz w:val="22"/>
          <w:szCs w:val="22"/>
        </w:rPr>
        <w:t>(2) Jogi előadó a kamarai jogtanácsos által végezhető ügyvédi tevékenységet a kamarai jogtanácsos helyetteseként és utasítása szerint – az ügyvédi tevékenységről szóló törvényben meghatározott korlátozással – ügyvédi kamarai nyilvántartásba jogi előadóként való felvételt követően folytathat.</w:t>
      </w:r>
    </w:p>
    <w:p w14:paraId="5ED3073C" w14:textId="77777777" w:rsidR="00893D5B" w:rsidRPr="000250FA" w:rsidRDefault="00893D5B" w:rsidP="00893D5B">
      <w:pPr>
        <w:jc w:val="both"/>
        <w:rPr>
          <w:sz w:val="22"/>
          <w:szCs w:val="22"/>
        </w:rPr>
      </w:pPr>
    </w:p>
    <w:p w14:paraId="60C97F8E" w14:textId="77777777" w:rsidR="00893D5B" w:rsidRPr="000250FA" w:rsidRDefault="00893D5B" w:rsidP="00893D5B">
      <w:pPr>
        <w:jc w:val="both"/>
        <w:rPr>
          <w:sz w:val="22"/>
          <w:szCs w:val="22"/>
        </w:rPr>
      </w:pPr>
      <w:r w:rsidRPr="000250FA">
        <w:rPr>
          <w:bCs/>
          <w:iCs/>
          <w:sz w:val="22"/>
          <w:szCs w:val="22"/>
        </w:rPr>
        <w:t>(3) A jogi előadó az ügyvédi tevékenységet a jogi szakvizsga letételéhez szükséges joggyakorlat megszerzése és a kamarai jogtanácsosi feladatok ellátásához szükséges szakmai ismeretek elsajátítása érdekében közalkalmazotti jogviszonya alapján, kamarai jogtanácsos irányításával és ellenőrzésével, ügyvédi kamarai nyilvántartásba bejelentett munkáltatója számára gyakorolja.</w:t>
      </w:r>
    </w:p>
    <w:p w14:paraId="2D2F66F8" w14:textId="77777777" w:rsidR="00893D5B" w:rsidRPr="000250FA" w:rsidRDefault="00893D5B" w:rsidP="00893D5B">
      <w:pPr>
        <w:jc w:val="both"/>
        <w:rPr>
          <w:sz w:val="22"/>
          <w:szCs w:val="22"/>
        </w:rPr>
      </w:pPr>
    </w:p>
    <w:p w14:paraId="0E8DFFA7" w14:textId="77777777" w:rsidR="00893D5B" w:rsidRPr="000250FA" w:rsidRDefault="00893D5B" w:rsidP="00893D5B">
      <w:pPr>
        <w:jc w:val="both"/>
        <w:rPr>
          <w:sz w:val="22"/>
          <w:szCs w:val="22"/>
        </w:rPr>
      </w:pPr>
      <w:r w:rsidRPr="000250FA">
        <w:rPr>
          <w:bCs/>
          <w:iCs/>
          <w:sz w:val="22"/>
          <w:szCs w:val="22"/>
        </w:rPr>
        <w:t>(4) A kamarai jogtanácsos és a jogi előadó köteles megtagadni a munkáltatói utasítás teljesítését, ha annak végrehajtása az ügyvédi tevékenységről szóló törvényben meghatározott fegyelmi vétség elkövetését eredményezné.</w:t>
      </w:r>
    </w:p>
    <w:p w14:paraId="78956F0C" w14:textId="77777777" w:rsidR="00893D5B" w:rsidRPr="000250FA" w:rsidRDefault="00893D5B" w:rsidP="00893D5B">
      <w:pPr>
        <w:jc w:val="both"/>
        <w:rPr>
          <w:sz w:val="22"/>
          <w:szCs w:val="22"/>
        </w:rPr>
      </w:pPr>
    </w:p>
    <w:p w14:paraId="17D22735" w14:textId="77777777" w:rsidR="00893D5B" w:rsidRPr="000250FA" w:rsidRDefault="00893D5B" w:rsidP="00893D5B">
      <w:pPr>
        <w:jc w:val="both"/>
        <w:rPr>
          <w:sz w:val="22"/>
          <w:szCs w:val="22"/>
        </w:rPr>
      </w:pPr>
      <w:r w:rsidRPr="000250FA">
        <w:rPr>
          <w:bCs/>
          <w:iCs/>
          <w:sz w:val="22"/>
          <w:szCs w:val="22"/>
        </w:rPr>
        <w:t>(5) Semmis az a megállapodás, amely a kamarai jogtanácsos és a jogi előadó (4) bekezdésben meghatározott utasítás megtagadási jogához hátrányos jogkövetkezményt fűz.</w:t>
      </w:r>
    </w:p>
    <w:p w14:paraId="7436DBDD" w14:textId="77777777" w:rsidR="00893D5B" w:rsidRPr="000250FA" w:rsidRDefault="00893D5B" w:rsidP="00893D5B">
      <w:pPr>
        <w:pStyle w:val="cf0"/>
        <w:spacing w:after="0" w:afterAutospacing="0"/>
        <w:jc w:val="both"/>
        <w:rPr>
          <w:sz w:val="22"/>
          <w:szCs w:val="22"/>
        </w:rPr>
      </w:pPr>
      <w:r w:rsidRPr="000250FA">
        <w:rPr>
          <w:bCs/>
          <w:iCs/>
          <w:sz w:val="22"/>
          <w:szCs w:val="22"/>
        </w:rPr>
        <w:t>(6) A kamarai jogtanácsos és a jogi előadó köteles a Pécsi Ügyvédi Kamara fegyelmi biztosának harminc napon belül bejelenteni, ha közalkalmazotti jogviszonyát a munkáltató a kamarai jogtanácsos vagy a jogi előadó vétkes kötelezettségszegése miatti rendkívüli felmentéssel szüntette meg.</w:t>
      </w:r>
    </w:p>
    <w:p w14:paraId="779DB5A7" w14:textId="77777777" w:rsidR="00893D5B" w:rsidRPr="000250FA" w:rsidRDefault="00893D5B" w:rsidP="00893D5B">
      <w:pPr>
        <w:jc w:val="both"/>
        <w:rPr>
          <w:sz w:val="22"/>
          <w:szCs w:val="22"/>
        </w:rPr>
      </w:pPr>
    </w:p>
    <w:p w14:paraId="784EB7FB" w14:textId="77777777" w:rsidR="00893D5B" w:rsidRPr="000250FA" w:rsidRDefault="00893D5B" w:rsidP="00893D5B">
      <w:pPr>
        <w:jc w:val="both"/>
        <w:rPr>
          <w:sz w:val="22"/>
          <w:szCs w:val="22"/>
        </w:rPr>
      </w:pPr>
      <w:r w:rsidRPr="000250FA">
        <w:rPr>
          <w:bCs/>
          <w:iCs/>
          <w:sz w:val="22"/>
          <w:szCs w:val="22"/>
        </w:rPr>
        <w:t>(7) A munkáltató biztosítja előzetes bejelentés alapján a kamarai jogtanácsos és a jogi előadó számára az ügyvédi kamara által szervezett képzésben és a továbbképzésben történő részvétel lehetőségét, ennek érdekében a képzés idejére őt a munkavégzés alól mentesíti.</w:t>
      </w:r>
    </w:p>
    <w:p w14:paraId="7EF5232C" w14:textId="77777777" w:rsidR="00893D5B" w:rsidRPr="000250FA" w:rsidRDefault="00893D5B" w:rsidP="00893D5B">
      <w:pPr>
        <w:jc w:val="both"/>
        <w:rPr>
          <w:sz w:val="22"/>
          <w:szCs w:val="22"/>
        </w:rPr>
      </w:pPr>
    </w:p>
    <w:p w14:paraId="1D534D17" w14:textId="77777777" w:rsidR="00893D5B" w:rsidRPr="000250FA" w:rsidRDefault="00893D5B" w:rsidP="00893D5B">
      <w:pPr>
        <w:jc w:val="both"/>
        <w:rPr>
          <w:sz w:val="22"/>
          <w:szCs w:val="22"/>
        </w:rPr>
      </w:pPr>
      <w:r w:rsidRPr="000250FA">
        <w:rPr>
          <w:bCs/>
          <w:iCs/>
          <w:sz w:val="22"/>
          <w:szCs w:val="22"/>
        </w:rPr>
        <w:t xml:space="preserve">(8) A kamarai jogtanácsos és a jogi előadó ügyvédi tevékenységének gyakorlása az ügyvédi tevékenységről szóló törvényben, végrehajtási rendeleteiben, a pénzmosás és a terrorizmus </w:t>
      </w:r>
      <w:proofErr w:type="gramStart"/>
      <w:r w:rsidRPr="000250FA">
        <w:rPr>
          <w:bCs/>
          <w:iCs/>
          <w:sz w:val="22"/>
          <w:szCs w:val="22"/>
        </w:rPr>
        <w:t>finanszírozásának</w:t>
      </w:r>
      <w:proofErr w:type="gramEnd"/>
      <w:r w:rsidRPr="000250FA">
        <w:rPr>
          <w:bCs/>
          <w:iCs/>
          <w:sz w:val="22"/>
          <w:szCs w:val="22"/>
        </w:rPr>
        <w:t xml:space="preserve"> megelőzéséről és megakadályozásáról szóló rendelkezésekben, a kamarai szabályzatban, valamint a kamarai hatósági ügyben hozott végrehajtható határozatban meghatározott feltételeinek a megtartását a Pécsi Ügyvédi Kamara a munkáltatóval együttműködve ellenőrzi.</w:t>
      </w:r>
    </w:p>
    <w:p w14:paraId="1FC139CF" w14:textId="77777777" w:rsidR="00893D5B" w:rsidRPr="000250FA" w:rsidRDefault="00893D5B" w:rsidP="00893D5B">
      <w:pPr>
        <w:jc w:val="both"/>
        <w:rPr>
          <w:bCs/>
          <w:sz w:val="22"/>
          <w:szCs w:val="22"/>
          <w:u w:val="single"/>
        </w:rPr>
      </w:pPr>
    </w:p>
    <w:p w14:paraId="52D3747E" w14:textId="77777777" w:rsidR="00385CF2" w:rsidRDefault="00385CF2">
      <w:pPr>
        <w:spacing w:after="160" w:line="259" w:lineRule="auto"/>
        <w:rPr>
          <w:b/>
          <w:sz w:val="22"/>
          <w:szCs w:val="22"/>
        </w:rPr>
      </w:pPr>
      <w:r>
        <w:rPr>
          <w:b/>
          <w:sz w:val="22"/>
          <w:szCs w:val="22"/>
        </w:rPr>
        <w:br w:type="page"/>
      </w:r>
    </w:p>
    <w:p w14:paraId="1528EBC1" w14:textId="77777777" w:rsidR="00893D5B" w:rsidRPr="000250FA" w:rsidRDefault="00893D5B" w:rsidP="00893D5B">
      <w:pPr>
        <w:tabs>
          <w:tab w:val="left" w:pos="9781"/>
        </w:tabs>
        <w:ind w:right="-144"/>
        <w:rPr>
          <w:b/>
          <w:sz w:val="22"/>
          <w:szCs w:val="22"/>
        </w:rPr>
      </w:pPr>
    </w:p>
    <w:p w14:paraId="5DE906C1" w14:textId="77777777" w:rsidR="00893D5B" w:rsidRPr="000250FA" w:rsidRDefault="00893D5B" w:rsidP="00893D5B">
      <w:pPr>
        <w:pStyle w:val="Cmsor1"/>
      </w:pPr>
      <w:bookmarkStart w:id="230" w:name="_Toc58569549"/>
      <w:r w:rsidRPr="000250FA">
        <w:t>ÖTÖDIK RÉSZ</w:t>
      </w:r>
      <w:bookmarkEnd w:id="230"/>
    </w:p>
    <w:p w14:paraId="4FB50A6E" w14:textId="77777777" w:rsidR="00893D5B" w:rsidRPr="000250FA" w:rsidRDefault="00893D5B" w:rsidP="00893D5B">
      <w:pPr>
        <w:tabs>
          <w:tab w:val="left" w:pos="9781"/>
        </w:tabs>
        <w:ind w:right="-144"/>
        <w:jc w:val="center"/>
        <w:rPr>
          <w:b/>
          <w:sz w:val="22"/>
          <w:szCs w:val="22"/>
        </w:rPr>
      </w:pPr>
    </w:p>
    <w:p w14:paraId="6F5E0283" w14:textId="77777777" w:rsidR="00893D5B" w:rsidRPr="00F01C44" w:rsidRDefault="00893D5B" w:rsidP="00893D5B">
      <w:pPr>
        <w:pStyle w:val="Cmsor3"/>
      </w:pPr>
      <w:bookmarkStart w:id="231" w:name="_Toc58569550"/>
      <w:r>
        <w:t>I. fejezet</w:t>
      </w:r>
      <w:bookmarkStart w:id="232" w:name="_Toc432753605"/>
      <w:bookmarkStart w:id="233" w:name="_Toc444603567"/>
      <w:bookmarkStart w:id="234" w:name="_Toc445200827"/>
      <w:r>
        <w:t xml:space="preserve"> - </w:t>
      </w:r>
      <w:r w:rsidRPr="000250FA">
        <w:t>Magasabb vezetőkre és vezetőkre vonatkozó különös szabályok</w:t>
      </w:r>
      <w:bookmarkEnd w:id="231"/>
      <w:bookmarkEnd w:id="232"/>
      <w:bookmarkEnd w:id="233"/>
      <w:bookmarkEnd w:id="234"/>
    </w:p>
    <w:p w14:paraId="049352A8" w14:textId="77777777" w:rsidR="00893D5B" w:rsidRPr="000250FA" w:rsidRDefault="00893D5B" w:rsidP="00893D5B">
      <w:pPr>
        <w:tabs>
          <w:tab w:val="left" w:pos="9781"/>
        </w:tabs>
        <w:ind w:right="-144"/>
        <w:rPr>
          <w:b/>
          <w:sz w:val="22"/>
          <w:szCs w:val="22"/>
        </w:rPr>
      </w:pPr>
    </w:p>
    <w:p w14:paraId="22D69C46" w14:textId="77777777" w:rsidR="00893D5B" w:rsidRPr="000250FA" w:rsidRDefault="00893D5B" w:rsidP="00893D5B">
      <w:pPr>
        <w:pStyle w:val="Cmsor4"/>
      </w:pPr>
      <w:bookmarkStart w:id="235" w:name="_Toc432753606"/>
      <w:r w:rsidRPr="000250FA">
        <w:t>Magasabb vezetők és vezetők köre</w:t>
      </w:r>
      <w:bookmarkEnd w:id="235"/>
    </w:p>
    <w:p w14:paraId="1E35E779" w14:textId="77777777" w:rsidR="00893D5B" w:rsidRPr="000250FA" w:rsidRDefault="00893D5B" w:rsidP="00893D5B">
      <w:pPr>
        <w:rPr>
          <w:b/>
          <w:sz w:val="22"/>
          <w:szCs w:val="22"/>
        </w:rPr>
      </w:pPr>
    </w:p>
    <w:p w14:paraId="14FDCFB9" w14:textId="77777777" w:rsidR="00893D5B" w:rsidRPr="000250FA" w:rsidRDefault="00893D5B" w:rsidP="00893D5B">
      <w:pPr>
        <w:rPr>
          <w:bCs/>
          <w:sz w:val="22"/>
          <w:szCs w:val="22"/>
        </w:rPr>
      </w:pPr>
      <w:r w:rsidRPr="000250FA">
        <w:rPr>
          <w:b/>
          <w:sz w:val="22"/>
          <w:szCs w:val="22"/>
        </w:rPr>
        <w:t>97. §</w:t>
      </w:r>
      <w:r w:rsidRPr="000250FA">
        <w:rPr>
          <w:rStyle w:val="Lbjegyzet-hivatkozs"/>
          <w:sz w:val="22"/>
          <w:szCs w:val="22"/>
        </w:rPr>
        <w:footnoteReference w:id="321"/>
      </w:r>
      <w:r w:rsidRPr="000250FA">
        <w:rPr>
          <w:b/>
          <w:sz w:val="22"/>
          <w:szCs w:val="22"/>
        </w:rPr>
        <w:t xml:space="preserve"> </w:t>
      </w:r>
      <w:r w:rsidRPr="000250FA">
        <w:rPr>
          <w:rStyle w:val="Lbjegyzet-hivatkozs"/>
          <w:sz w:val="22"/>
          <w:szCs w:val="22"/>
        </w:rPr>
        <w:footnoteReference w:id="322"/>
      </w:r>
      <w:r w:rsidRPr="000250FA">
        <w:rPr>
          <w:b/>
          <w:sz w:val="22"/>
          <w:szCs w:val="22"/>
        </w:rPr>
        <w:t xml:space="preserve"> </w:t>
      </w:r>
      <w:r w:rsidRPr="000250FA">
        <w:rPr>
          <w:rStyle w:val="Lbjegyzet-hivatkozs"/>
          <w:sz w:val="22"/>
          <w:szCs w:val="22"/>
        </w:rPr>
        <w:footnoteReference w:id="323"/>
      </w:r>
      <w:r w:rsidRPr="000250FA">
        <w:rPr>
          <w:b/>
          <w:sz w:val="22"/>
          <w:szCs w:val="22"/>
        </w:rPr>
        <w:t xml:space="preserve"> </w:t>
      </w:r>
      <w:r w:rsidRPr="000250FA">
        <w:rPr>
          <w:rStyle w:val="Lbjegyzet-hivatkozs"/>
          <w:sz w:val="22"/>
          <w:szCs w:val="22"/>
        </w:rPr>
        <w:footnoteReference w:id="324"/>
      </w:r>
      <w:r w:rsidRPr="000250FA">
        <w:rPr>
          <w:bCs/>
          <w:sz w:val="22"/>
          <w:szCs w:val="22"/>
        </w:rPr>
        <w:t>(1)</w:t>
      </w:r>
      <w:r w:rsidRPr="000250FA">
        <w:rPr>
          <w:rStyle w:val="Lbjegyzet-hivatkozs"/>
          <w:bCs/>
          <w:sz w:val="22"/>
          <w:szCs w:val="22"/>
        </w:rPr>
        <w:footnoteReference w:id="325"/>
      </w:r>
      <w:r w:rsidRPr="000250FA">
        <w:rPr>
          <w:bCs/>
          <w:sz w:val="22"/>
          <w:szCs w:val="22"/>
        </w:rPr>
        <w:t xml:space="preserve"> Az Egyetemen a következő magasabb vezetői megbízások adhatók ki:</w:t>
      </w:r>
    </w:p>
    <w:p w14:paraId="6816999D" w14:textId="77777777" w:rsidR="00893D5B" w:rsidRPr="000250FA" w:rsidRDefault="00893D5B" w:rsidP="00893D5B">
      <w:pPr>
        <w:rPr>
          <w:bCs/>
          <w:iCs/>
          <w:sz w:val="22"/>
          <w:szCs w:val="22"/>
        </w:rPr>
      </w:pPr>
    </w:p>
    <w:p w14:paraId="460FF8B9" w14:textId="77777777" w:rsidR="00893D5B" w:rsidRPr="000250FA" w:rsidRDefault="00893D5B" w:rsidP="00F83E93">
      <w:pPr>
        <w:numPr>
          <w:ilvl w:val="0"/>
          <w:numId w:val="105"/>
        </w:numPr>
        <w:jc w:val="both"/>
        <w:rPr>
          <w:sz w:val="22"/>
          <w:szCs w:val="22"/>
        </w:rPr>
      </w:pPr>
      <w:r w:rsidRPr="000250FA">
        <w:rPr>
          <w:sz w:val="22"/>
          <w:szCs w:val="22"/>
        </w:rPr>
        <w:t>rektor,</w:t>
      </w:r>
    </w:p>
    <w:p w14:paraId="6DC59F21" w14:textId="77777777" w:rsidR="00893D5B" w:rsidRPr="000250FA" w:rsidRDefault="00893D5B" w:rsidP="00F83E93">
      <w:pPr>
        <w:numPr>
          <w:ilvl w:val="0"/>
          <w:numId w:val="105"/>
        </w:numPr>
        <w:jc w:val="both"/>
        <w:rPr>
          <w:sz w:val="22"/>
          <w:szCs w:val="22"/>
        </w:rPr>
      </w:pPr>
      <w:r w:rsidRPr="000250FA">
        <w:rPr>
          <w:sz w:val="22"/>
          <w:szCs w:val="22"/>
        </w:rPr>
        <w:t>rektorhelyettes,</w:t>
      </w:r>
    </w:p>
    <w:p w14:paraId="5176B198" w14:textId="77777777" w:rsidR="00893D5B" w:rsidRPr="000250FA" w:rsidRDefault="00893D5B" w:rsidP="00F83E93">
      <w:pPr>
        <w:numPr>
          <w:ilvl w:val="0"/>
          <w:numId w:val="105"/>
        </w:numPr>
        <w:jc w:val="both"/>
        <w:rPr>
          <w:sz w:val="22"/>
          <w:szCs w:val="22"/>
        </w:rPr>
      </w:pPr>
      <w:r w:rsidRPr="000250FA">
        <w:rPr>
          <w:sz w:val="22"/>
          <w:szCs w:val="22"/>
        </w:rPr>
        <w:t>dékán,</w:t>
      </w:r>
    </w:p>
    <w:p w14:paraId="5187F0C1" w14:textId="77777777" w:rsidR="00893D5B" w:rsidRPr="000250FA" w:rsidRDefault="00893D5B" w:rsidP="00F83E93">
      <w:pPr>
        <w:numPr>
          <w:ilvl w:val="0"/>
          <w:numId w:val="105"/>
        </w:numPr>
        <w:jc w:val="both"/>
        <w:rPr>
          <w:sz w:val="22"/>
          <w:szCs w:val="22"/>
        </w:rPr>
      </w:pPr>
      <w:r w:rsidRPr="000250FA">
        <w:rPr>
          <w:sz w:val="22"/>
          <w:szCs w:val="22"/>
        </w:rPr>
        <w:t>kancellár,</w:t>
      </w:r>
    </w:p>
    <w:p w14:paraId="672C0277" w14:textId="77777777" w:rsidR="00893D5B" w:rsidRPr="000250FA" w:rsidRDefault="00893D5B" w:rsidP="00F83E93">
      <w:pPr>
        <w:numPr>
          <w:ilvl w:val="0"/>
          <w:numId w:val="105"/>
        </w:numPr>
        <w:jc w:val="both"/>
        <w:rPr>
          <w:sz w:val="22"/>
          <w:szCs w:val="22"/>
        </w:rPr>
      </w:pPr>
      <w:r w:rsidRPr="000250FA">
        <w:rPr>
          <w:sz w:val="22"/>
          <w:szCs w:val="22"/>
        </w:rPr>
        <w:t>Klinikai Központ elnöke</w:t>
      </w:r>
    </w:p>
    <w:p w14:paraId="1E676DB8" w14:textId="77777777" w:rsidR="00893D5B" w:rsidRPr="000250FA" w:rsidRDefault="00893D5B" w:rsidP="00F83E93">
      <w:pPr>
        <w:numPr>
          <w:ilvl w:val="0"/>
          <w:numId w:val="105"/>
        </w:numPr>
        <w:jc w:val="both"/>
        <w:rPr>
          <w:sz w:val="22"/>
          <w:szCs w:val="22"/>
        </w:rPr>
      </w:pPr>
      <w:r w:rsidRPr="000250FA">
        <w:rPr>
          <w:sz w:val="22"/>
          <w:szCs w:val="22"/>
        </w:rPr>
        <w:t>orvosigazgató,</w:t>
      </w:r>
    </w:p>
    <w:p w14:paraId="00E8E132" w14:textId="77777777" w:rsidR="00893D5B" w:rsidRPr="000250FA" w:rsidRDefault="00893D5B" w:rsidP="00F83E93">
      <w:pPr>
        <w:numPr>
          <w:ilvl w:val="0"/>
          <w:numId w:val="105"/>
        </w:numPr>
        <w:jc w:val="both"/>
        <w:rPr>
          <w:sz w:val="22"/>
          <w:szCs w:val="22"/>
        </w:rPr>
      </w:pPr>
      <w:r w:rsidRPr="000250FA">
        <w:rPr>
          <w:sz w:val="22"/>
          <w:szCs w:val="22"/>
        </w:rPr>
        <w:t>ápolási igazgató,</w:t>
      </w:r>
    </w:p>
    <w:p w14:paraId="0113FB3B" w14:textId="77777777" w:rsidR="00893D5B" w:rsidRPr="000250FA" w:rsidRDefault="00893D5B" w:rsidP="00F83E93">
      <w:pPr>
        <w:numPr>
          <w:ilvl w:val="0"/>
          <w:numId w:val="105"/>
        </w:numPr>
        <w:jc w:val="both"/>
        <w:rPr>
          <w:sz w:val="22"/>
          <w:szCs w:val="22"/>
        </w:rPr>
      </w:pPr>
      <w:r w:rsidRPr="000250FA">
        <w:rPr>
          <w:sz w:val="22"/>
          <w:szCs w:val="22"/>
        </w:rPr>
        <w:t xml:space="preserve">Egyetemi Könyvtár és Tudásközpont főigazgató, </w:t>
      </w:r>
    </w:p>
    <w:p w14:paraId="7699C585" w14:textId="77777777" w:rsidR="00893D5B" w:rsidRPr="000250FA" w:rsidRDefault="00893D5B" w:rsidP="00F83E93">
      <w:pPr>
        <w:numPr>
          <w:ilvl w:val="0"/>
          <w:numId w:val="105"/>
        </w:numPr>
        <w:jc w:val="both"/>
        <w:rPr>
          <w:sz w:val="22"/>
          <w:szCs w:val="22"/>
        </w:rPr>
      </w:pPr>
      <w:r w:rsidRPr="000250FA">
        <w:rPr>
          <w:sz w:val="22"/>
          <w:szCs w:val="22"/>
        </w:rPr>
        <w:t>Egyetemi Könyvtár és Tudásközpont főigazgató-helyettes,</w:t>
      </w:r>
    </w:p>
    <w:p w14:paraId="043B88C6" w14:textId="77777777" w:rsidR="00893D5B" w:rsidRPr="000250FA" w:rsidRDefault="00893D5B" w:rsidP="00F83E93">
      <w:pPr>
        <w:numPr>
          <w:ilvl w:val="0"/>
          <w:numId w:val="105"/>
        </w:numPr>
        <w:jc w:val="both"/>
        <w:rPr>
          <w:sz w:val="22"/>
          <w:szCs w:val="22"/>
        </w:rPr>
      </w:pPr>
      <w:r w:rsidRPr="000250FA">
        <w:rPr>
          <w:sz w:val="22"/>
          <w:szCs w:val="22"/>
        </w:rPr>
        <w:t>Egyetemi Levéltár igazgatója,</w:t>
      </w:r>
    </w:p>
    <w:p w14:paraId="7AFACC0C" w14:textId="77777777" w:rsidR="00893D5B" w:rsidRPr="000250FA" w:rsidRDefault="00893D5B" w:rsidP="00F83E93">
      <w:pPr>
        <w:numPr>
          <w:ilvl w:val="0"/>
          <w:numId w:val="105"/>
        </w:numPr>
        <w:jc w:val="both"/>
        <w:rPr>
          <w:sz w:val="22"/>
          <w:szCs w:val="22"/>
        </w:rPr>
      </w:pPr>
      <w:r w:rsidRPr="000250FA">
        <w:rPr>
          <w:sz w:val="22"/>
          <w:szCs w:val="22"/>
        </w:rPr>
        <w:t>köznevelési intézmények vezetői, vezető-helyettesei, tagintézmény vezető, intézményegység vezető.</w:t>
      </w:r>
    </w:p>
    <w:p w14:paraId="0272EA70" w14:textId="77777777" w:rsidR="00893D5B" w:rsidRPr="000250FA" w:rsidRDefault="00893D5B" w:rsidP="00893D5B">
      <w:pPr>
        <w:jc w:val="both"/>
        <w:rPr>
          <w:sz w:val="22"/>
          <w:szCs w:val="22"/>
        </w:rPr>
      </w:pPr>
    </w:p>
    <w:p w14:paraId="0D988AC1" w14:textId="77777777" w:rsidR="00893D5B" w:rsidRPr="000250FA" w:rsidRDefault="00893D5B" w:rsidP="00893D5B">
      <w:pPr>
        <w:rPr>
          <w:bCs/>
          <w:sz w:val="22"/>
          <w:szCs w:val="22"/>
        </w:rPr>
      </w:pPr>
      <w:r w:rsidRPr="000250FA">
        <w:rPr>
          <w:bCs/>
          <w:sz w:val="22"/>
          <w:szCs w:val="22"/>
        </w:rPr>
        <w:t>(2)</w:t>
      </w:r>
      <w:r w:rsidRPr="000250FA">
        <w:rPr>
          <w:bCs/>
          <w:sz w:val="22"/>
          <w:szCs w:val="22"/>
          <w:vertAlign w:val="superscript"/>
        </w:rPr>
        <w:footnoteReference w:id="326"/>
      </w:r>
      <w:r w:rsidRPr="000250FA">
        <w:rPr>
          <w:bCs/>
          <w:sz w:val="22"/>
          <w:szCs w:val="22"/>
        </w:rPr>
        <w:t xml:space="preserve"> </w:t>
      </w:r>
      <w:r w:rsidRPr="000250FA">
        <w:rPr>
          <w:rStyle w:val="Lbjegyzet-hivatkozs"/>
          <w:bCs/>
          <w:sz w:val="22"/>
          <w:szCs w:val="22"/>
        </w:rPr>
        <w:footnoteReference w:id="327"/>
      </w:r>
      <w:r w:rsidRPr="000250FA">
        <w:rPr>
          <w:bCs/>
          <w:sz w:val="22"/>
          <w:szCs w:val="22"/>
        </w:rPr>
        <w:t xml:space="preserve"> </w:t>
      </w:r>
      <w:r w:rsidRPr="000250FA">
        <w:rPr>
          <w:rStyle w:val="Lbjegyzet-hivatkozs"/>
          <w:bCs/>
          <w:sz w:val="22"/>
          <w:szCs w:val="22"/>
        </w:rPr>
        <w:footnoteReference w:id="328"/>
      </w:r>
      <w:r w:rsidRPr="000250FA">
        <w:rPr>
          <w:bCs/>
          <w:sz w:val="22"/>
          <w:szCs w:val="22"/>
        </w:rPr>
        <w:t xml:space="preserve"> </w:t>
      </w:r>
      <w:r w:rsidRPr="000250FA">
        <w:rPr>
          <w:rStyle w:val="Lbjegyzet-hivatkozs"/>
          <w:bCs/>
          <w:sz w:val="22"/>
          <w:szCs w:val="22"/>
        </w:rPr>
        <w:footnoteReference w:id="329"/>
      </w:r>
      <w:r w:rsidRPr="000250FA">
        <w:rPr>
          <w:bCs/>
          <w:sz w:val="22"/>
          <w:szCs w:val="22"/>
        </w:rPr>
        <w:t xml:space="preserve"> </w:t>
      </w:r>
      <w:r w:rsidRPr="000250FA">
        <w:rPr>
          <w:rStyle w:val="Lbjegyzet-hivatkozs"/>
          <w:bCs/>
          <w:sz w:val="22"/>
          <w:szCs w:val="22"/>
        </w:rPr>
        <w:footnoteReference w:id="330"/>
      </w:r>
      <w:r w:rsidRPr="000250FA">
        <w:rPr>
          <w:rStyle w:val="Lbjegyzet-hivatkozs"/>
          <w:bCs/>
          <w:sz w:val="22"/>
          <w:szCs w:val="22"/>
        </w:rPr>
        <w:footnoteReference w:id="331"/>
      </w:r>
      <w:r w:rsidRPr="000250FA">
        <w:rPr>
          <w:rStyle w:val="Lbjegyzet-hivatkozs"/>
          <w:bCs/>
          <w:sz w:val="22"/>
          <w:szCs w:val="22"/>
        </w:rPr>
        <w:footnoteReference w:id="332"/>
      </w:r>
      <w:r w:rsidRPr="000250FA">
        <w:rPr>
          <w:bCs/>
          <w:sz w:val="22"/>
          <w:szCs w:val="22"/>
        </w:rPr>
        <w:t>Az Egyetemen a következő vezetői megbízások adhatók ki:</w:t>
      </w:r>
    </w:p>
    <w:p w14:paraId="300FCD35" w14:textId="77777777" w:rsidR="00893D5B" w:rsidRPr="000250FA" w:rsidRDefault="00893D5B" w:rsidP="00F83E93">
      <w:pPr>
        <w:numPr>
          <w:ilvl w:val="0"/>
          <w:numId w:val="106"/>
        </w:numPr>
        <w:jc w:val="both"/>
        <w:rPr>
          <w:sz w:val="22"/>
          <w:szCs w:val="22"/>
        </w:rPr>
      </w:pPr>
      <w:r w:rsidRPr="000250FA">
        <w:rPr>
          <w:sz w:val="22"/>
          <w:szCs w:val="22"/>
        </w:rPr>
        <w:t>rektori kabinetvezető,</w:t>
      </w:r>
    </w:p>
    <w:p w14:paraId="6940327C" w14:textId="77777777" w:rsidR="00893D5B" w:rsidRPr="000250FA" w:rsidRDefault="00893D5B" w:rsidP="00F83E93">
      <w:pPr>
        <w:numPr>
          <w:ilvl w:val="0"/>
          <w:numId w:val="106"/>
        </w:numPr>
        <w:jc w:val="both"/>
        <w:rPr>
          <w:sz w:val="22"/>
          <w:szCs w:val="22"/>
        </w:rPr>
      </w:pPr>
      <w:r w:rsidRPr="000250FA">
        <w:rPr>
          <w:sz w:val="22"/>
          <w:szCs w:val="22"/>
        </w:rPr>
        <w:t>Rektori Kabinet szervezeti egységeinek vezetői,</w:t>
      </w:r>
    </w:p>
    <w:p w14:paraId="5EDD9CC8" w14:textId="77777777" w:rsidR="00893D5B" w:rsidRPr="000250FA" w:rsidRDefault="00893D5B" w:rsidP="00F83E93">
      <w:pPr>
        <w:numPr>
          <w:ilvl w:val="0"/>
          <w:numId w:val="106"/>
        </w:numPr>
        <w:jc w:val="both"/>
        <w:rPr>
          <w:sz w:val="22"/>
          <w:szCs w:val="22"/>
        </w:rPr>
      </w:pPr>
      <w:r w:rsidRPr="000250FA">
        <w:rPr>
          <w:sz w:val="22"/>
          <w:szCs w:val="22"/>
        </w:rPr>
        <w:t>kancellári hivatalvezető,</w:t>
      </w:r>
    </w:p>
    <w:p w14:paraId="76D48769" w14:textId="77777777" w:rsidR="00893D5B" w:rsidRPr="000250FA" w:rsidRDefault="00893D5B" w:rsidP="00F83E93">
      <w:pPr>
        <w:numPr>
          <w:ilvl w:val="0"/>
          <w:numId w:val="106"/>
        </w:numPr>
        <w:jc w:val="both"/>
        <w:rPr>
          <w:sz w:val="22"/>
          <w:szCs w:val="22"/>
        </w:rPr>
      </w:pPr>
      <w:r w:rsidRPr="000250FA">
        <w:rPr>
          <w:sz w:val="22"/>
          <w:szCs w:val="22"/>
        </w:rPr>
        <w:t>Kancellária szervezeti egységeinek vezetői,</w:t>
      </w:r>
    </w:p>
    <w:p w14:paraId="525BB06B" w14:textId="77777777" w:rsidR="00893D5B" w:rsidRPr="000250FA" w:rsidRDefault="00893D5B" w:rsidP="00893D5B">
      <w:pPr>
        <w:ind w:left="360"/>
        <w:jc w:val="both"/>
        <w:rPr>
          <w:sz w:val="22"/>
          <w:szCs w:val="22"/>
        </w:rPr>
      </w:pPr>
      <w:proofErr w:type="gramStart"/>
      <w:r w:rsidRPr="000250FA">
        <w:rPr>
          <w:sz w:val="22"/>
          <w:szCs w:val="22"/>
        </w:rPr>
        <w:t>e</w:t>
      </w:r>
      <w:proofErr w:type="gramEnd"/>
      <w:r w:rsidRPr="000250FA">
        <w:rPr>
          <w:sz w:val="22"/>
          <w:szCs w:val="22"/>
        </w:rPr>
        <w:t>) dékánhelyettes,</w:t>
      </w:r>
    </w:p>
    <w:p w14:paraId="228BDAA8" w14:textId="77777777" w:rsidR="00893D5B" w:rsidRPr="000250FA" w:rsidRDefault="00893D5B" w:rsidP="00893D5B">
      <w:pPr>
        <w:ind w:left="360"/>
        <w:jc w:val="both"/>
        <w:rPr>
          <w:sz w:val="22"/>
          <w:szCs w:val="22"/>
        </w:rPr>
      </w:pPr>
      <w:proofErr w:type="gramStart"/>
      <w:r w:rsidRPr="000250FA">
        <w:rPr>
          <w:sz w:val="22"/>
          <w:szCs w:val="22"/>
        </w:rPr>
        <w:t>f</w:t>
      </w:r>
      <w:proofErr w:type="gramEnd"/>
      <w:r w:rsidRPr="000250FA">
        <w:rPr>
          <w:sz w:val="22"/>
          <w:szCs w:val="22"/>
        </w:rPr>
        <w:t xml:space="preserve">) oktatási, kutatási szervezeti egység vezetője és helyettese, kari oktatási-kutatási egységeken kívüli, SZMSZ-ben meghatározott szervezeti egységek vezetői, Klinikai Központ betegellátó egységeken kívüli, SZMSZ-ben meghatározott szervezeti egységének vezetője, </w:t>
      </w:r>
    </w:p>
    <w:p w14:paraId="6A501414" w14:textId="77777777" w:rsidR="00893D5B" w:rsidRPr="000250FA" w:rsidRDefault="00893D5B" w:rsidP="00893D5B">
      <w:pPr>
        <w:ind w:left="360"/>
        <w:jc w:val="both"/>
        <w:rPr>
          <w:sz w:val="22"/>
          <w:szCs w:val="22"/>
        </w:rPr>
      </w:pPr>
      <w:proofErr w:type="gramStart"/>
      <w:r w:rsidRPr="000250FA">
        <w:rPr>
          <w:sz w:val="22"/>
          <w:szCs w:val="22"/>
        </w:rPr>
        <w:t>g</w:t>
      </w:r>
      <w:proofErr w:type="gramEnd"/>
      <w:r w:rsidRPr="000250FA">
        <w:rPr>
          <w:sz w:val="22"/>
          <w:szCs w:val="22"/>
        </w:rPr>
        <w:t>) ápolási igazgató helyettese,</w:t>
      </w:r>
    </w:p>
    <w:p w14:paraId="1D1F342F" w14:textId="77777777" w:rsidR="00893D5B" w:rsidRPr="000250FA" w:rsidRDefault="00893D5B" w:rsidP="00893D5B">
      <w:pPr>
        <w:ind w:left="360"/>
        <w:jc w:val="both"/>
        <w:rPr>
          <w:sz w:val="22"/>
          <w:szCs w:val="22"/>
        </w:rPr>
      </w:pPr>
      <w:proofErr w:type="gramStart"/>
      <w:r w:rsidRPr="000250FA">
        <w:rPr>
          <w:sz w:val="22"/>
          <w:szCs w:val="22"/>
        </w:rPr>
        <w:t>h</w:t>
      </w:r>
      <w:proofErr w:type="gramEnd"/>
      <w:r w:rsidRPr="000250FA">
        <w:rPr>
          <w:sz w:val="22"/>
          <w:szCs w:val="22"/>
        </w:rPr>
        <w:t xml:space="preserve">) klinikai </w:t>
      </w:r>
      <w:proofErr w:type="spellStart"/>
      <w:r w:rsidRPr="000250FA">
        <w:rPr>
          <w:sz w:val="22"/>
          <w:szCs w:val="22"/>
        </w:rPr>
        <w:t>főgyógyszerész</w:t>
      </w:r>
      <w:proofErr w:type="spellEnd"/>
      <w:r w:rsidRPr="000250FA">
        <w:rPr>
          <w:sz w:val="22"/>
          <w:szCs w:val="22"/>
        </w:rPr>
        <w:t>,</w:t>
      </w:r>
    </w:p>
    <w:p w14:paraId="5121BEA6" w14:textId="77777777" w:rsidR="00893D5B" w:rsidRPr="000250FA" w:rsidRDefault="00893D5B" w:rsidP="00893D5B">
      <w:pPr>
        <w:ind w:left="360"/>
        <w:jc w:val="both"/>
        <w:rPr>
          <w:sz w:val="22"/>
          <w:szCs w:val="22"/>
        </w:rPr>
      </w:pPr>
      <w:r w:rsidRPr="000250FA">
        <w:rPr>
          <w:sz w:val="22"/>
          <w:szCs w:val="22"/>
        </w:rPr>
        <w:t>i) Klinikai Központ betegellátó egységeinek vezetője és helyettesei,</w:t>
      </w:r>
    </w:p>
    <w:p w14:paraId="169BBC66" w14:textId="77777777" w:rsidR="00893D5B" w:rsidRPr="000250FA" w:rsidRDefault="00893D5B" w:rsidP="00893D5B">
      <w:pPr>
        <w:ind w:left="360"/>
        <w:jc w:val="both"/>
        <w:rPr>
          <w:sz w:val="22"/>
          <w:szCs w:val="22"/>
        </w:rPr>
      </w:pPr>
      <w:r w:rsidRPr="000250FA">
        <w:rPr>
          <w:sz w:val="22"/>
          <w:szCs w:val="22"/>
        </w:rPr>
        <w:t>j) Egyetemi Könyvtár és Tudásközpont szervezeti egységeinek vezetői (amennyiben nem magasabb vezető), kari könyvtár vezetője,</w:t>
      </w:r>
    </w:p>
    <w:p w14:paraId="6F976394" w14:textId="77777777" w:rsidR="00893D5B" w:rsidRPr="000250FA" w:rsidRDefault="00893D5B" w:rsidP="00893D5B">
      <w:pPr>
        <w:ind w:left="360"/>
        <w:jc w:val="both"/>
        <w:rPr>
          <w:sz w:val="22"/>
          <w:szCs w:val="22"/>
        </w:rPr>
      </w:pPr>
      <w:r w:rsidRPr="000250FA">
        <w:rPr>
          <w:sz w:val="22"/>
          <w:szCs w:val="22"/>
        </w:rPr>
        <w:t>k) Janus Egyetemi Színház igazgatója,</w:t>
      </w:r>
    </w:p>
    <w:p w14:paraId="1DD40C65" w14:textId="77777777" w:rsidR="00893D5B" w:rsidRPr="000250FA" w:rsidRDefault="00893D5B" w:rsidP="00893D5B">
      <w:pPr>
        <w:ind w:left="360"/>
        <w:jc w:val="both"/>
        <w:rPr>
          <w:sz w:val="22"/>
          <w:szCs w:val="22"/>
        </w:rPr>
      </w:pPr>
      <w:proofErr w:type="gramStart"/>
      <w:r w:rsidRPr="000250FA">
        <w:rPr>
          <w:sz w:val="22"/>
          <w:szCs w:val="22"/>
        </w:rPr>
        <w:t>l</w:t>
      </w:r>
      <w:proofErr w:type="gramEnd"/>
      <w:r w:rsidRPr="000250FA">
        <w:rPr>
          <w:sz w:val="22"/>
          <w:szCs w:val="22"/>
        </w:rPr>
        <w:t>) Zenélő Egyetem vezetője,</w:t>
      </w:r>
    </w:p>
    <w:p w14:paraId="6AEC3A42" w14:textId="77777777" w:rsidR="00893D5B" w:rsidRPr="000250FA" w:rsidRDefault="00893D5B" w:rsidP="00893D5B">
      <w:pPr>
        <w:ind w:left="360"/>
        <w:jc w:val="both"/>
        <w:rPr>
          <w:sz w:val="22"/>
          <w:szCs w:val="22"/>
        </w:rPr>
      </w:pPr>
      <w:proofErr w:type="gramStart"/>
      <w:r w:rsidRPr="000250FA">
        <w:rPr>
          <w:sz w:val="22"/>
          <w:szCs w:val="22"/>
        </w:rPr>
        <w:t>m</w:t>
      </w:r>
      <w:proofErr w:type="gramEnd"/>
      <w:r w:rsidRPr="000250FA">
        <w:rPr>
          <w:sz w:val="22"/>
          <w:szCs w:val="22"/>
        </w:rPr>
        <w:t xml:space="preserve">) </w:t>
      </w:r>
      <w:proofErr w:type="spellStart"/>
      <w:r w:rsidRPr="000250FA">
        <w:rPr>
          <w:sz w:val="22"/>
          <w:szCs w:val="22"/>
        </w:rPr>
        <w:t>Szentágothai</w:t>
      </w:r>
      <w:proofErr w:type="spellEnd"/>
      <w:r w:rsidRPr="000250FA">
        <w:rPr>
          <w:sz w:val="22"/>
          <w:szCs w:val="22"/>
        </w:rPr>
        <w:t xml:space="preserve"> János Kutatóközpont vezetői,</w:t>
      </w:r>
    </w:p>
    <w:p w14:paraId="0383DF54" w14:textId="77777777" w:rsidR="00893D5B" w:rsidRPr="000250FA" w:rsidRDefault="00893D5B" w:rsidP="00893D5B">
      <w:pPr>
        <w:ind w:left="360"/>
        <w:jc w:val="both"/>
        <w:rPr>
          <w:sz w:val="22"/>
          <w:szCs w:val="22"/>
        </w:rPr>
      </w:pPr>
      <w:r w:rsidRPr="000250FA">
        <w:rPr>
          <w:sz w:val="22"/>
          <w:szCs w:val="22"/>
        </w:rPr>
        <w:t>n) Tanárképző Központ főigazgatója,</w:t>
      </w:r>
    </w:p>
    <w:p w14:paraId="751B5BF9" w14:textId="4F371068" w:rsidR="00893D5B" w:rsidRPr="00CE662A" w:rsidRDefault="00893D5B" w:rsidP="00CE662A">
      <w:pPr>
        <w:ind w:left="360"/>
        <w:jc w:val="both"/>
        <w:rPr>
          <w:sz w:val="22"/>
          <w:szCs w:val="22"/>
        </w:rPr>
      </w:pPr>
      <w:r w:rsidRPr="000250FA">
        <w:rPr>
          <w:sz w:val="22"/>
          <w:szCs w:val="22"/>
        </w:rPr>
        <w:lastRenderedPageBreak/>
        <w:t xml:space="preserve">o) </w:t>
      </w:r>
      <w:r w:rsidR="00835916" w:rsidRPr="00CE662A">
        <w:rPr>
          <w:sz w:val="22"/>
          <w:szCs w:val="22"/>
        </w:rPr>
        <w:t>Szőlészeti és Borászati Kutatóintézet elnöke és kutatási igazgatója</w:t>
      </w:r>
      <w:r w:rsidR="00CE662A">
        <w:rPr>
          <w:i/>
          <w:sz w:val="20"/>
          <w:szCs w:val="22"/>
        </w:rPr>
        <w:t>,</w:t>
      </w:r>
      <w:r w:rsidR="00835916" w:rsidRPr="00835916">
        <w:rPr>
          <w:rStyle w:val="Lbjegyzet-hivatkozs"/>
          <w:i/>
          <w:sz w:val="20"/>
          <w:szCs w:val="22"/>
        </w:rPr>
        <w:footnoteReference w:id="333"/>
      </w:r>
      <w:r w:rsidR="00835916" w:rsidRPr="00835916">
        <w:rPr>
          <w:sz w:val="20"/>
          <w:szCs w:val="22"/>
        </w:rPr>
        <w:t xml:space="preserve">  </w:t>
      </w:r>
    </w:p>
    <w:p w14:paraId="35A46415" w14:textId="2F1ADA4B" w:rsidR="00893D5B" w:rsidRPr="00844351" w:rsidRDefault="00893D5B" w:rsidP="00893D5B">
      <w:pPr>
        <w:ind w:left="360"/>
        <w:jc w:val="both"/>
        <w:rPr>
          <w:strike/>
          <w:sz w:val="22"/>
          <w:szCs w:val="22"/>
        </w:rPr>
      </w:pPr>
      <w:r w:rsidRPr="000250FA">
        <w:rPr>
          <w:sz w:val="22"/>
          <w:szCs w:val="22"/>
        </w:rPr>
        <w:t>p)</w:t>
      </w:r>
      <w:r w:rsidR="00844351">
        <w:rPr>
          <w:rStyle w:val="Lbjegyzet-hivatkozs"/>
          <w:sz w:val="22"/>
          <w:szCs w:val="22"/>
        </w:rPr>
        <w:footnoteReference w:id="334"/>
      </w:r>
      <w:r w:rsidRPr="000250FA">
        <w:rPr>
          <w:sz w:val="22"/>
          <w:szCs w:val="22"/>
        </w:rPr>
        <w:t xml:space="preserve"> </w:t>
      </w:r>
    </w:p>
    <w:p w14:paraId="7EA04095" w14:textId="5E3757F6" w:rsidR="00893D5B" w:rsidRPr="00CE662A" w:rsidRDefault="00893D5B" w:rsidP="00893D5B">
      <w:pPr>
        <w:ind w:left="360"/>
        <w:jc w:val="both"/>
        <w:rPr>
          <w:sz w:val="22"/>
          <w:szCs w:val="22"/>
        </w:rPr>
      </w:pPr>
      <w:r w:rsidRPr="00CE662A">
        <w:rPr>
          <w:sz w:val="22"/>
          <w:szCs w:val="22"/>
        </w:rPr>
        <w:t xml:space="preserve">q) </w:t>
      </w:r>
    </w:p>
    <w:p w14:paraId="64DA94DB" w14:textId="574E274F" w:rsidR="00893D5B" w:rsidRPr="00055D3C" w:rsidRDefault="00893D5B" w:rsidP="007D2E59">
      <w:pPr>
        <w:ind w:left="360"/>
        <w:jc w:val="both"/>
        <w:rPr>
          <w:sz w:val="22"/>
          <w:szCs w:val="22"/>
        </w:rPr>
      </w:pPr>
      <w:r w:rsidRPr="000250FA">
        <w:rPr>
          <w:sz w:val="22"/>
          <w:szCs w:val="22"/>
        </w:rPr>
        <w:t xml:space="preserve">r) </w:t>
      </w:r>
      <w:r w:rsidRPr="000250FA">
        <w:rPr>
          <w:rStyle w:val="Lbjegyzet-hivatkozs"/>
          <w:sz w:val="22"/>
          <w:szCs w:val="22"/>
        </w:rPr>
        <w:footnoteReference w:id="335"/>
      </w:r>
      <w:r w:rsidR="007D2E59">
        <w:rPr>
          <w:rStyle w:val="Lbjegyzet-hivatkozs"/>
          <w:sz w:val="22"/>
          <w:szCs w:val="22"/>
        </w:rPr>
        <w:footnoteReference w:id="336"/>
      </w:r>
      <w:r w:rsidRPr="000250FA">
        <w:rPr>
          <w:sz w:val="22"/>
          <w:szCs w:val="22"/>
        </w:rPr>
        <w:t xml:space="preserve"> </w:t>
      </w:r>
      <w:r w:rsidR="007D2E59" w:rsidRPr="007D2E59">
        <w:rPr>
          <w:sz w:val="22"/>
          <w:szCs w:val="22"/>
        </w:rPr>
        <w:t xml:space="preserve">Klinikai Központ általános elnökhelyettese, </w:t>
      </w:r>
      <w:r w:rsidR="007D2E59" w:rsidRPr="00055D3C">
        <w:rPr>
          <w:sz w:val="22"/>
          <w:szCs w:val="22"/>
        </w:rPr>
        <w:t>stratégiai elnökhelyettese, gazdálkodásért felelős elnökhelyettese,</w:t>
      </w:r>
    </w:p>
    <w:p w14:paraId="308D71CC" w14:textId="77777777" w:rsidR="00893D5B" w:rsidRPr="000250FA" w:rsidRDefault="00893D5B" w:rsidP="00893D5B">
      <w:pPr>
        <w:ind w:left="360"/>
        <w:jc w:val="both"/>
        <w:rPr>
          <w:sz w:val="22"/>
          <w:szCs w:val="22"/>
        </w:rPr>
      </w:pPr>
      <w:proofErr w:type="gramStart"/>
      <w:r w:rsidRPr="000250FA">
        <w:rPr>
          <w:sz w:val="22"/>
          <w:szCs w:val="22"/>
        </w:rPr>
        <w:t>s</w:t>
      </w:r>
      <w:proofErr w:type="gramEnd"/>
      <w:r w:rsidRPr="000250FA">
        <w:rPr>
          <w:sz w:val="22"/>
          <w:szCs w:val="22"/>
        </w:rPr>
        <w:t xml:space="preserve">) </w:t>
      </w:r>
      <w:r w:rsidRPr="000250FA">
        <w:rPr>
          <w:rStyle w:val="Lbjegyzet-hivatkozs"/>
          <w:sz w:val="22"/>
          <w:szCs w:val="22"/>
        </w:rPr>
        <w:footnoteReference w:id="337"/>
      </w:r>
      <w:r w:rsidRPr="000250FA">
        <w:rPr>
          <w:sz w:val="22"/>
          <w:szCs w:val="22"/>
        </w:rPr>
        <w:t xml:space="preserve"> Önálló Oktatási-Kutatási Központ vezetője és vezetőhelyettese(i),</w:t>
      </w:r>
    </w:p>
    <w:p w14:paraId="3D536997" w14:textId="77777777" w:rsidR="00893D5B" w:rsidRPr="000250FA" w:rsidRDefault="00893D5B" w:rsidP="00893D5B">
      <w:pPr>
        <w:ind w:left="360"/>
        <w:jc w:val="both"/>
        <w:rPr>
          <w:sz w:val="22"/>
          <w:szCs w:val="22"/>
        </w:rPr>
      </w:pPr>
      <w:proofErr w:type="gramStart"/>
      <w:r w:rsidRPr="000250FA">
        <w:rPr>
          <w:sz w:val="22"/>
          <w:szCs w:val="22"/>
        </w:rPr>
        <w:t>t</w:t>
      </w:r>
      <w:proofErr w:type="gramEnd"/>
      <w:r w:rsidRPr="000250FA">
        <w:rPr>
          <w:sz w:val="22"/>
          <w:szCs w:val="22"/>
        </w:rPr>
        <w:t>) a 3D Nyomtatási és Vizualizációs Központ vezetője,</w:t>
      </w:r>
    </w:p>
    <w:p w14:paraId="44068E76" w14:textId="77777777" w:rsidR="00893D5B" w:rsidRPr="000250FA" w:rsidRDefault="00893D5B" w:rsidP="00893D5B">
      <w:pPr>
        <w:ind w:left="360"/>
        <w:jc w:val="both"/>
        <w:rPr>
          <w:sz w:val="22"/>
          <w:szCs w:val="22"/>
        </w:rPr>
      </w:pPr>
      <w:r w:rsidRPr="000250FA">
        <w:rPr>
          <w:sz w:val="22"/>
          <w:szCs w:val="22"/>
        </w:rPr>
        <w:t xml:space="preserve">u) </w:t>
      </w:r>
      <w:proofErr w:type="spellStart"/>
      <w:r w:rsidRPr="000250FA">
        <w:rPr>
          <w:sz w:val="22"/>
          <w:szCs w:val="22"/>
        </w:rPr>
        <w:t>Grastyán</w:t>
      </w:r>
      <w:proofErr w:type="spellEnd"/>
      <w:r w:rsidRPr="000250FA">
        <w:rPr>
          <w:sz w:val="22"/>
          <w:szCs w:val="22"/>
        </w:rPr>
        <w:t xml:space="preserve"> Endre Transzlációs Kutatási Központ vezetője,</w:t>
      </w:r>
    </w:p>
    <w:p w14:paraId="4A941F15" w14:textId="77777777" w:rsidR="00893D5B" w:rsidRPr="000250FA" w:rsidRDefault="00893D5B" w:rsidP="00893D5B">
      <w:pPr>
        <w:ind w:left="360"/>
        <w:jc w:val="both"/>
        <w:rPr>
          <w:sz w:val="22"/>
          <w:szCs w:val="22"/>
        </w:rPr>
      </w:pPr>
      <w:r w:rsidRPr="000250FA">
        <w:rPr>
          <w:sz w:val="22"/>
          <w:szCs w:val="22"/>
        </w:rPr>
        <w:t xml:space="preserve">v) </w:t>
      </w:r>
      <w:r w:rsidRPr="000250FA">
        <w:rPr>
          <w:rStyle w:val="Lbjegyzet-hivatkozs"/>
          <w:sz w:val="22"/>
          <w:szCs w:val="22"/>
        </w:rPr>
        <w:footnoteReference w:id="338"/>
      </w:r>
      <w:r w:rsidRPr="000250FA">
        <w:rPr>
          <w:sz w:val="22"/>
          <w:szCs w:val="22"/>
        </w:rPr>
        <w:t xml:space="preserve"> Klinikai Vizsgálatok Ko</w:t>
      </w:r>
      <w:r w:rsidR="00A6538B">
        <w:rPr>
          <w:sz w:val="22"/>
          <w:szCs w:val="22"/>
        </w:rPr>
        <w:t>ordinációs Központja igazgatója,</w:t>
      </w:r>
    </w:p>
    <w:p w14:paraId="2F7936C8" w14:textId="77777777" w:rsidR="00A6538B" w:rsidRPr="00A6538B" w:rsidRDefault="00A6538B" w:rsidP="00A6538B">
      <w:pPr>
        <w:ind w:left="360"/>
        <w:jc w:val="both"/>
        <w:rPr>
          <w:sz w:val="22"/>
          <w:szCs w:val="22"/>
        </w:rPr>
      </w:pPr>
      <w:r w:rsidRPr="00A6538B">
        <w:rPr>
          <w:color w:val="000000"/>
          <w:sz w:val="22"/>
          <w:szCs w:val="22"/>
        </w:rPr>
        <w:t>w)</w:t>
      </w:r>
      <w:r>
        <w:rPr>
          <w:color w:val="000000"/>
          <w:sz w:val="22"/>
          <w:szCs w:val="22"/>
        </w:rPr>
        <w:t xml:space="preserve"> </w:t>
      </w:r>
      <w:r w:rsidRPr="00A6538B">
        <w:rPr>
          <w:rStyle w:val="Lbjegyzet-hivatkozs"/>
          <w:color w:val="000000"/>
          <w:sz w:val="22"/>
          <w:szCs w:val="22"/>
        </w:rPr>
        <w:footnoteReference w:id="339"/>
      </w:r>
      <w:r w:rsidRPr="00A6538B">
        <w:rPr>
          <w:color w:val="000000"/>
          <w:sz w:val="22"/>
          <w:szCs w:val="22"/>
        </w:rPr>
        <w:t xml:space="preserve"> Kollégiumi Központ</w:t>
      </w:r>
      <w:r w:rsidRPr="00A6538B">
        <w:rPr>
          <w:sz w:val="22"/>
          <w:szCs w:val="22"/>
        </w:rPr>
        <w:t xml:space="preserve"> igazgatója,</w:t>
      </w:r>
    </w:p>
    <w:p w14:paraId="58375B70" w14:textId="77777777" w:rsidR="00A037FC" w:rsidRDefault="00A6538B" w:rsidP="00A037FC">
      <w:pPr>
        <w:ind w:left="360"/>
        <w:jc w:val="both"/>
        <w:rPr>
          <w:sz w:val="22"/>
          <w:szCs w:val="22"/>
        </w:rPr>
      </w:pPr>
      <w:r w:rsidRPr="00A6538B">
        <w:rPr>
          <w:sz w:val="22"/>
          <w:szCs w:val="22"/>
        </w:rPr>
        <w:t>x)</w:t>
      </w:r>
      <w:r>
        <w:rPr>
          <w:sz w:val="22"/>
          <w:szCs w:val="22"/>
        </w:rPr>
        <w:t xml:space="preserve"> </w:t>
      </w:r>
      <w:r w:rsidRPr="00A6538B">
        <w:rPr>
          <w:rStyle w:val="Lbjegyzet-hivatkozs"/>
          <w:sz w:val="22"/>
          <w:szCs w:val="22"/>
        </w:rPr>
        <w:footnoteReference w:id="340"/>
      </w:r>
      <w:r w:rsidRPr="00A6538B">
        <w:rPr>
          <w:sz w:val="22"/>
          <w:szCs w:val="22"/>
        </w:rPr>
        <w:t xml:space="preserve"> Kollégiumi Központ</w:t>
      </w:r>
      <w:r w:rsidR="00A037FC">
        <w:rPr>
          <w:sz w:val="22"/>
          <w:szCs w:val="22"/>
        </w:rPr>
        <w:t xml:space="preserve"> szervezeti egységeinek vezetői,</w:t>
      </w:r>
    </w:p>
    <w:p w14:paraId="5EBBCE26" w14:textId="77777777" w:rsidR="00A037FC" w:rsidRPr="00962C23" w:rsidRDefault="00A037FC" w:rsidP="00145B57">
      <w:pPr>
        <w:ind w:left="360"/>
        <w:jc w:val="both"/>
        <w:rPr>
          <w:sz w:val="22"/>
          <w:szCs w:val="22"/>
        </w:rPr>
      </w:pPr>
      <w:r w:rsidRPr="00962C23">
        <w:rPr>
          <w:sz w:val="22"/>
          <w:szCs w:val="22"/>
        </w:rPr>
        <w:t xml:space="preserve">y) </w:t>
      </w:r>
      <w:r w:rsidRPr="00962C23">
        <w:rPr>
          <w:rStyle w:val="Lbjegyzet-hivatkozs"/>
          <w:sz w:val="22"/>
          <w:szCs w:val="22"/>
        </w:rPr>
        <w:footnoteReference w:id="341"/>
      </w:r>
      <w:r w:rsidRPr="00962C23">
        <w:rPr>
          <w:sz w:val="22"/>
          <w:szCs w:val="22"/>
        </w:rPr>
        <w:t xml:space="preserve"> Egészégügyi Adatelemző, Adathasznosítási, valamint Okoseszköz- és Technológia Fejlesztő Központ </w:t>
      </w:r>
      <w:r w:rsidR="00145B57" w:rsidRPr="00962C23">
        <w:rPr>
          <w:sz w:val="22"/>
          <w:szCs w:val="22"/>
        </w:rPr>
        <w:t>(Kompetencia Központ) vezetője.</w:t>
      </w:r>
    </w:p>
    <w:p w14:paraId="65E0684F" w14:textId="77777777" w:rsidR="00A6538B" w:rsidRPr="00614373" w:rsidRDefault="00A6538B" w:rsidP="00A6538B">
      <w:pPr>
        <w:ind w:left="360"/>
        <w:jc w:val="both"/>
        <w:rPr>
          <w:b/>
          <w:i/>
          <w:sz w:val="22"/>
          <w:szCs w:val="22"/>
        </w:rPr>
      </w:pPr>
    </w:p>
    <w:p w14:paraId="6D0E9D1A" w14:textId="77777777" w:rsidR="00893D5B" w:rsidRPr="000250FA" w:rsidRDefault="00893D5B" w:rsidP="00A6538B">
      <w:pPr>
        <w:tabs>
          <w:tab w:val="left" w:pos="9781"/>
        </w:tabs>
        <w:ind w:right="-144"/>
        <w:jc w:val="both"/>
        <w:rPr>
          <w:strike/>
          <w:sz w:val="22"/>
          <w:szCs w:val="22"/>
        </w:rPr>
      </w:pPr>
      <w:r w:rsidRPr="000250FA">
        <w:rPr>
          <w:sz w:val="22"/>
          <w:szCs w:val="22"/>
        </w:rPr>
        <w:t>(3)</w:t>
      </w:r>
      <w:r w:rsidRPr="000250FA">
        <w:rPr>
          <w:rStyle w:val="Lbjegyzet-hivatkozs"/>
          <w:sz w:val="22"/>
          <w:szCs w:val="22"/>
        </w:rPr>
        <w:footnoteReference w:id="342"/>
      </w:r>
      <w:r w:rsidRPr="000250FA">
        <w:rPr>
          <w:sz w:val="22"/>
          <w:szCs w:val="22"/>
        </w:rPr>
        <w:t xml:space="preserve"> Az (1) és (2) bekezdésben meghatározott vezetői megbízások határozott időre – az (1) bekezdés </w:t>
      </w:r>
      <w:r w:rsidRPr="000250FA">
        <w:rPr>
          <w:iCs/>
          <w:sz w:val="22"/>
          <w:szCs w:val="22"/>
        </w:rPr>
        <w:t xml:space="preserve">a)-c) és e) </w:t>
      </w:r>
      <w:r w:rsidRPr="000250FA">
        <w:rPr>
          <w:sz w:val="22"/>
          <w:szCs w:val="22"/>
        </w:rPr>
        <w:t xml:space="preserve">pontja esetében legfeljebb öt évre – adhatók. Az (1) bekezdés </w:t>
      </w:r>
      <w:r w:rsidRPr="000250FA">
        <w:rPr>
          <w:iCs/>
          <w:sz w:val="22"/>
          <w:szCs w:val="22"/>
        </w:rPr>
        <w:t xml:space="preserve">a), c) és e) </w:t>
      </w:r>
      <w:r w:rsidRPr="000250FA">
        <w:rPr>
          <w:sz w:val="22"/>
          <w:szCs w:val="22"/>
        </w:rPr>
        <w:t xml:space="preserve">pontjában felsorolt megbízások egy, az (1) bekezdés </w:t>
      </w:r>
      <w:r w:rsidRPr="000250FA">
        <w:rPr>
          <w:iCs/>
          <w:sz w:val="22"/>
          <w:szCs w:val="22"/>
        </w:rPr>
        <w:t xml:space="preserve">b) </w:t>
      </w:r>
      <w:r w:rsidRPr="000250FA">
        <w:rPr>
          <w:sz w:val="22"/>
          <w:szCs w:val="22"/>
        </w:rPr>
        <w:t xml:space="preserve">és </w:t>
      </w:r>
      <w:r w:rsidRPr="000250FA">
        <w:rPr>
          <w:iCs/>
          <w:sz w:val="22"/>
          <w:szCs w:val="22"/>
        </w:rPr>
        <w:t xml:space="preserve">d) </w:t>
      </w:r>
      <w:r w:rsidRPr="000250FA">
        <w:rPr>
          <w:sz w:val="22"/>
          <w:szCs w:val="22"/>
        </w:rPr>
        <w:t xml:space="preserve">pontjában, f)-l) pontjában, továbbá a (2) bekezdésben felsorolt megbízások több alkalommal meghosszabbíthatók. </w:t>
      </w:r>
    </w:p>
    <w:p w14:paraId="64ADD8B1" w14:textId="77777777" w:rsidR="00893D5B" w:rsidRPr="000250FA" w:rsidRDefault="00893D5B" w:rsidP="00893D5B">
      <w:pPr>
        <w:tabs>
          <w:tab w:val="left" w:pos="9781"/>
        </w:tabs>
        <w:ind w:right="-144"/>
        <w:jc w:val="both"/>
        <w:rPr>
          <w:sz w:val="22"/>
          <w:szCs w:val="22"/>
        </w:rPr>
      </w:pPr>
    </w:p>
    <w:p w14:paraId="7C5EEE04" w14:textId="77777777" w:rsidR="00893D5B" w:rsidRPr="000250FA" w:rsidRDefault="00893D5B" w:rsidP="00893D5B">
      <w:pPr>
        <w:rPr>
          <w:sz w:val="22"/>
          <w:szCs w:val="22"/>
        </w:rPr>
      </w:pPr>
      <w:r w:rsidRPr="000250FA">
        <w:rPr>
          <w:sz w:val="22"/>
          <w:szCs w:val="22"/>
        </w:rPr>
        <w:t>(4)</w:t>
      </w:r>
    </w:p>
    <w:p w14:paraId="60DE08FC" w14:textId="77777777" w:rsidR="00893D5B" w:rsidRPr="000250FA" w:rsidRDefault="00893D5B" w:rsidP="00893D5B">
      <w:pPr>
        <w:rPr>
          <w:sz w:val="22"/>
          <w:szCs w:val="22"/>
        </w:rPr>
      </w:pPr>
    </w:p>
    <w:p w14:paraId="410B9D5D" w14:textId="77777777" w:rsidR="00893D5B" w:rsidRPr="000250FA" w:rsidRDefault="00893D5B" w:rsidP="00893D5B">
      <w:pPr>
        <w:jc w:val="both"/>
        <w:rPr>
          <w:sz w:val="22"/>
          <w:szCs w:val="22"/>
        </w:rPr>
      </w:pPr>
      <w:r w:rsidRPr="000250FA">
        <w:rPr>
          <w:sz w:val="22"/>
          <w:szCs w:val="22"/>
        </w:rPr>
        <w:t>(5) Az (1)-(2) bekezdésben meghatározott vezetői megbízásokra nyilvános pályázatot kell kiírni.</w:t>
      </w:r>
    </w:p>
    <w:p w14:paraId="75A0CF40" w14:textId="77777777" w:rsidR="00893D5B" w:rsidRPr="000250FA" w:rsidRDefault="00893D5B" w:rsidP="00893D5B">
      <w:pPr>
        <w:rPr>
          <w:sz w:val="22"/>
          <w:szCs w:val="22"/>
        </w:rPr>
      </w:pPr>
    </w:p>
    <w:p w14:paraId="353BBB9E" w14:textId="77777777" w:rsidR="00893D5B" w:rsidRPr="000250FA" w:rsidRDefault="00893D5B" w:rsidP="00893D5B">
      <w:pPr>
        <w:jc w:val="both"/>
        <w:rPr>
          <w:sz w:val="22"/>
          <w:szCs w:val="22"/>
        </w:rPr>
      </w:pPr>
      <w:r w:rsidRPr="000250FA">
        <w:rPr>
          <w:sz w:val="22"/>
          <w:szCs w:val="22"/>
        </w:rPr>
        <w:t>(6) Az Egyetemen magasabb vezetői és vezetői munkakörök nincsenek, a kinevezés a 3. §-</w:t>
      </w:r>
      <w:proofErr w:type="spellStart"/>
      <w:r w:rsidRPr="000250FA">
        <w:rPr>
          <w:sz w:val="22"/>
          <w:szCs w:val="22"/>
        </w:rPr>
        <w:t>ban</w:t>
      </w:r>
      <w:proofErr w:type="spellEnd"/>
      <w:r w:rsidRPr="000250FA">
        <w:rPr>
          <w:sz w:val="22"/>
          <w:szCs w:val="22"/>
        </w:rPr>
        <w:t xml:space="preserve"> meghatározott alapmunkakörökre történik. Az e § (1) és (2) bekezdésében meghatározott magasabb vezetői és vezetői feladatok határozott idejű megbízás útján láthatóak el.</w:t>
      </w:r>
      <w:r w:rsidRPr="000250FA">
        <w:rPr>
          <w:b/>
          <w:i/>
          <w:sz w:val="22"/>
          <w:szCs w:val="22"/>
        </w:rPr>
        <w:t xml:space="preserve"> </w:t>
      </w:r>
      <w:r w:rsidRPr="000250FA">
        <w:rPr>
          <w:sz w:val="22"/>
          <w:szCs w:val="22"/>
        </w:rPr>
        <w:t xml:space="preserve">A vezetői megbízásban meg kell határozni a vezetői megbízáshoz tartozó </w:t>
      </w:r>
      <w:proofErr w:type="gramStart"/>
      <w:r w:rsidRPr="000250FA">
        <w:rPr>
          <w:sz w:val="22"/>
          <w:szCs w:val="22"/>
        </w:rPr>
        <w:t>konkrét</w:t>
      </w:r>
      <w:proofErr w:type="gramEnd"/>
      <w:r w:rsidRPr="000250FA">
        <w:rPr>
          <w:sz w:val="22"/>
          <w:szCs w:val="22"/>
        </w:rPr>
        <w:t xml:space="preserve"> feladatokat is. A (2) bekezdés szerinti</w:t>
      </w:r>
      <w:r w:rsidRPr="000250FA">
        <w:rPr>
          <w:b/>
          <w:i/>
          <w:sz w:val="22"/>
          <w:szCs w:val="22"/>
        </w:rPr>
        <w:t xml:space="preserve"> </w:t>
      </w:r>
      <w:r w:rsidRPr="000250FA">
        <w:rPr>
          <w:sz w:val="22"/>
          <w:szCs w:val="22"/>
        </w:rPr>
        <w:t>vezetői megbízás akkor adható ki, amennyiben a megbízás az Egyetem szabályzataiban nevesített szervezeti egység vezetésére vonatkozik.</w:t>
      </w:r>
    </w:p>
    <w:p w14:paraId="4F996F7E" w14:textId="77777777" w:rsidR="00893D5B" w:rsidRPr="000250FA" w:rsidRDefault="00893D5B" w:rsidP="00893D5B">
      <w:pPr>
        <w:rPr>
          <w:sz w:val="22"/>
          <w:szCs w:val="22"/>
        </w:rPr>
      </w:pPr>
    </w:p>
    <w:p w14:paraId="4C571F79" w14:textId="77777777" w:rsidR="00893D5B" w:rsidRPr="000250FA" w:rsidRDefault="00893D5B" w:rsidP="00893D5B">
      <w:pPr>
        <w:jc w:val="both"/>
        <w:rPr>
          <w:sz w:val="22"/>
          <w:szCs w:val="22"/>
        </w:rPr>
      </w:pPr>
      <w:r w:rsidRPr="000250FA">
        <w:rPr>
          <w:sz w:val="22"/>
          <w:szCs w:val="22"/>
        </w:rPr>
        <w:t>(7)</w:t>
      </w:r>
      <w:r w:rsidRPr="00C40553">
        <w:rPr>
          <w:sz w:val="22"/>
          <w:szCs w:val="22"/>
          <w:vertAlign w:val="superscript"/>
        </w:rPr>
        <w:footnoteReference w:id="343"/>
      </w:r>
      <w:r w:rsidR="00C40553">
        <w:rPr>
          <w:sz w:val="22"/>
          <w:szCs w:val="22"/>
        </w:rPr>
        <w:t xml:space="preserve"> </w:t>
      </w:r>
      <w:r w:rsidRPr="000250FA">
        <w:rPr>
          <w:sz w:val="22"/>
          <w:szCs w:val="22"/>
        </w:rPr>
        <w:t>A rektor megbízására és felmentésére a köztársasági elnök jogosult. A belső ellenőrzési vezető megbízásának és a megbízása visszavonásának jogát a fenntartó előzetes egyetértésével a kancellár gyakorolja. A kancellár megbízására, a megbízás visszavonására a miniszterelnök jogosult.</w:t>
      </w:r>
    </w:p>
    <w:p w14:paraId="455F319C" w14:textId="77777777" w:rsidR="00893D5B" w:rsidRPr="000250FA" w:rsidRDefault="00893D5B" w:rsidP="00893D5B">
      <w:pPr>
        <w:jc w:val="both"/>
        <w:rPr>
          <w:sz w:val="22"/>
          <w:szCs w:val="22"/>
        </w:rPr>
      </w:pPr>
    </w:p>
    <w:p w14:paraId="6FFF008A" w14:textId="77777777" w:rsidR="00893D5B" w:rsidRPr="000250FA" w:rsidRDefault="00893D5B" w:rsidP="00893D5B">
      <w:pPr>
        <w:tabs>
          <w:tab w:val="left" w:pos="9781"/>
        </w:tabs>
        <w:ind w:right="-144"/>
        <w:jc w:val="both"/>
        <w:rPr>
          <w:sz w:val="22"/>
          <w:szCs w:val="22"/>
        </w:rPr>
      </w:pPr>
      <w:r w:rsidRPr="000250FA">
        <w:rPr>
          <w:sz w:val="22"/>
          <w:szCs w:val="22"/>
        </w:rPr>
        <w:t>(8)</w:t>
      </w:r>
      <w:r w:rsidRPr="000250FA">
        <w:rPr>
          <w:rStyle w:val="Lbjegyzet-hivatkozs"/>
          <w:sz w:val="22"/>
          <w:szCs w:val="22"/>
        </w:rPr>
        <w:footnoteReference w:id="344"/>
      </w:r>
      <w:r w:rsidRPr="000250FA">
        <w:rPr>
          <w:sz w:val="22"/>
          <w:szCs w:val="22"/>
        </w:rPr>
        <w:t xml:space="preserve"> Vezetői megbízás csak felsőfokú iskolai végzettséggel és szakképzettséggel rendelkező közalkalmazottnak adható.</w:t>
      </w:r>
    </w:p>
    <w:p w14:paraId="24C4AA4A" w14:textId="77777777" w:rsidR="00893D5B" w:rsidRPr="000250FA" w:rsidRDefault="00893D5B" w:rsidP="00893D5B">
      <w:pPr>
        <w:tabs>
          <w:tab w:val="left" w:pos="9781"/>
        </w:tabs>
        <w:ind w:right="-144"/>
        <w:jc w:val="both"/>
        <w:rPr>
          <w:sz w:val="22"/>
          <w:szCs w:val="22"/>
        </w:rPr>
      </w:pPr>
    </w:p>
    <w:p w14:paraId="27C5B1F9" w14:textId="77777777" w:rsidR="00893D5B" w:rsidRPr="000250FA" w:rsidRDefault="00893D5B" w:rsidP="00893D5B">
      <w:pPr>
        <w:jc w:val="both"/>
        <w:rPr>
          <w:sz w:val="22"/>
          <w:szCs w:val="22"/>
        </w:rPr>
      </w:pPr>
      <w:r w:rsidRPr="000250FA">
        <w:rPr>
          <w:sz w:val="22"/>
          <w:szCs w:val="22"/>
        </w:rPr>
        <w:lastRenderedPageBreak/>
        <w:t>(9)</w:t>
      </w:r>
      <w:r w:rsidRPr="000250FA">
        <w:rPr>
          <w:rStyle w:val="Lbjegyzet-hivatkozs"/>
          <w:sz w:val="22"/>
          <w:szCs w:val="22"/>
        </w:rPr>
        <w:footnoteReference w:id="345"/>
      </w:r>
      <w:r w:rsidRPr="000250FA">
        <w:rPr>
          <w:sz w:val="22"/>
          <w:szCs w:val="22"/>
        </w:rPr>
        <w:t xml:space="preserve"> A vezetői megbízás kiadásának, módosításának és visszavonásának jogkörét a vonatkozó utasítás tartalmazza.</w:t>
      </w:r>
    </w:p>
    <w:p w14:paraId="3E436BE5" w14:textId="77777777" w:rsidR="00877976" w:rsidRPr="00055D3C" w:rsidRDefault="00877976" w:rsidP="00877976">
      <w:pPr>
        <w:jc w:val="both"/>
        <w:rPr>
          <w:sz w:val="22"/>
          <w:szCs w:val="22"/>
        </w:rPr>
      </w:pPr>
    </w:p>
    <w:p w14:paraId="06364205" w14:textId="125FE77B" w:rsidR="00877976" w:rsidRPr="00055D3C" w:rsidRDefault="00877976" w:rsidP="00877976">
      <w:pPr>
        <w:jc w:val="both"/>
        <w:rPr>
          <w:sz w:val="22"/>
          <w:szCs w:val="22"/>
        </w:rPr>
      </w:pPr>
      <w:r w:rsidRPr="00055D3C">
        <w:rPr>
          <w:sz w:val="22"/>
          <w:szCs w:val="22"/>
        </w:rPr>
        <w:t>(10)</w:t>
      </w:r>
      <w:r w:rsidRPr="00055D3C">
        <w:rPr>
          <w:rStyle w:val="Lbjegyzet-hivatkozs"/>
          <w:sz w:val="22"/>
          <w:szCs w:val="22"/>
        </w:rPr>
        <w:footnoteReference w:id="346"/>
      </w:r>
      <w:r w:rsidRPr="00055D3C">
        <w:rPr>
          <w:sz w:val="22"/>
          <w:szCs w:val="22"/>
        </w:rPr>
        <w:t xml:space="preserve"> A veszélyhelyzet idején a Klinikai Központ vezetői megbízásai kiadására vonatkozó szabályokat az 524/2020. (XI.25.) Kormányrendeletben foglalt eltérésekkel kell alkalmazni. A Klinikai Központ elnökének személyére a rektor véleményének kikérésével az országos kórház-főigazgató tesz javaslatot. A Klinikai Központ elnökének megbízására és megbízása visszavonására az egészségügyért felelős miniszter és - a felsőoktatással összefüggő feladat- és hatáskörében eljárva - az oktatásért felelős miniszter együttesen jogosult. A Klinikai Központ elnöke felett - a megbízás és a megbízás visszavonása, valamint az oktatói és kutatói tevékenység kivételével - a munkáltatói jogokat az országos kórház-főigazgató gyakorolja.</w:t>
      </w:r>
    </w:p>
    <w:p w14:paraId="6649762C" w14:textId="77777777" w:rsidR="00893D5B" w:rsidRPr="000250FA" w:rsidRDefault="00893D5B" w:rsidP="00893D5B">
      <w:pPr>
        <w:tabs>
          <w:tab w:val="left" w:pos="9781"/>
        </w:tabs>
        <w:ind w:right="-144"/>
        <w:jc w:val="both"/>
        <w:rPr>
          <w:b/>
          <w:i/>
          <w:sz w:val="22"/>
          <w:szCs w:val="22"/>
        </w:rPr>
      </w:pPr>
    </w:p>
    <w:p w14:paraId="2B475239" w14:textId="77777777" w:rsidR="00893D5B" w:rsidRPr="000250FA" w:rsidRDefault="00893D5B" w:rsidP="00893D5B">
      <w:pPr>
        <w:tabs>
          <w:tab w:val="left" w:pos="9781"/>
        </w:tabs>
        <w:ind w:right="-144"/>
        <w:jc w:val="both"/>
        <w:rPr>
          <w:b/>
          <w:i/>
          <w:sz w:val="22"/>
          <w:szCs w:val="22"/>
        </w:rPr>
      </w:pPr>
      <w:r w:rsidRPr="000250FA">
        <w:rPr>
          <w:b/>
          <w:sz w:val="22"/>
          <w:szCs w:val="22"/>
        </w:rPr>
        <w:t>98. §</w:t>
      </w:r>
      <w:r w:rsidRPr="000250FA">
        <w:rPr>
          <w:sz w:val="22"/>
          <w:szCs w:val="22"/>
        </w:rPr>
        <w:t xml:space="preserve"> (1)</w:t>
      </w:r>
      <w:r w:rsidRPr="000250FA">
        <w:rPr>
          <w:rStyle w:val="Lbjegyzet-hivatkozs"/>
          <w:sz w:val="22"/>
          <w:szCs w:val="22"/>
        </w:rPr>
        <w:footnoteReference w:id="347"/>
      </w:r>
      <w:r w:rsidRPr="000250FA">
        <w:rPr>
          <w:sz w:val="22"/>
          <w:szCs w:val="22"/>
        </w:rPr>
        <w:t xml:space="preserve"> Ha a határozott idő lejártakor, illetve a korhatár elérésekor a magasabb vezetői, illetve vezetői tisztségre kiírt pályázat nem került elbírálásra, vagy az eredménytelen volt, ideiglenes megbízást kell kiadni. Ideiglenes megbízást kell kiadni a pályázat eredményes lezárásáig abban az esetben is, amennyiben a vezetői megbízás a határozott idő letelte előtt e szabályzat 100. § (1) bekezdése b)-f) pontjában meghatározott okból szűnik meg.</w:t>
      </w:r>
    </w:p>
    <w:p w14:paraId="6A2A1F2F" w14:textId="77777777" w:rsidR="00893D5B" w:rsidRPr="000250FA" w:rsidRDefault="00893D5B" w:rsidP="00893D5B">
      <w:pPr>
        <w:rPr>
          <w:sz w:val="22"/>
          <w:szCs w:val="22"/>
        </w:rPr>
      </w:pPr>
    </w:p>
    <w:p w14:paraId="6CFB3D0A" w14:textId="77777777" w:rsidR="00893D5B" w:rsidRPr="000250FA" w:rsidRDefault="00893D5B" w:rsidP="00893D5B">
      <w:pPr>
        <w:tabs>
          <w:tab w:val="left" w:pos="9781"/>
        </w:tabs>
        <w:ind w:right="-144"/>
        <w:jc w:val="both"/>
        <w:rPr>
          <w:sz w:val="22"/>
          <w:szCs w:val="22"/>
        </w:rPr>
      </w:pPr>
      <w:r w:rsidRPr="000250FA">
        <w:rPr>
          <w:sz w:val="22"/>
          <w:szCs w:val="22"/>
        </w:rPr>
        <w:t>(2) Ideiglenes magasabb vezetői, illetve vezetői megbízást lehet kiadni</w:t>
      </w:r>
    </w:p>
    <w:p w14:paraId="7D61A935" w14:textId="77777777" w:rsidR="00893D5B" w:rsidRPr="000250FA" w:rsidRDefault="00893D5B" w:rsidP="00893D5B">
      <w:pPr>
        <w:tabs>
          <w:tab w:val="left" w:pos="9781"/>
        </w:tabs>
        <w:ind w:left="540" w:right="-144"/>
        <w:jc w:val="both"/>
        <w:rPr>
          <w:sz w:val="22"/>
          <w:szCs w:val="22"/>
        </w:rPr>
      </w:pPr>
    </w:p>
    <w:p w14:paraId="26A54AC5" w14:textId="77777777" w:rsidR="00893D5B" w:rsidRPr="000250FA" w:rsidRDefault="00893D5B" w:rsidP="00F83E93">
      <w:pPr>
        <w:numPr>
          <w:ilvl w:val="0"/>
          <w:numId w:val="107"/>
        </w:numPr>
        <w:jc w:val="both"/>
        <w:rPr>
          <w:sz w:val="22"/>
          <w:szCs w:val="22"/>
        </w:rPr>
      </w:pPr>
      <w:r w:rsidRPr="000250FA">
        <w:rPr>
          <w:sz w:val="22"/>
          <w:szCs w:val="22"/>
          <w:vertAlign w:val="superscript"/>
        </w:rPr>
        <w:footnoteReference w:id="348"/>
      </w:r>
      <w:r w:rsidRPr="000250FA">
        <w:rPr>
          <w:sz w:val="22"/>
          <w:szCs w:val="22"/>
          <w:vertAlign w:val="superscript"/>
        </w:rPr>
        <w:t xml:space="preserve"> </w:t>
      </w:r>
      <w:r w:rsidRPr="000250FA">
        <w:rPr>
          <w:sz w:val="22"/>
          <w:szCs w:val="22"/>
        </w:rPr>
        <w:t>a hatvanötödik életéve betöltéséig a vezetői feladattal megbízott személynek, vagy</w:t>
      </w:r>
    </w:p>
    <w:p w14:paraId="2E322C6D" w14:textId="77777777" w:rsidR="00893D5B" w:rsidRPr="000250FA" w:rsidRDefault="00893D5B" w:rsidP="00F83E93">
      <w:pPr>
        <w:numPr>
          <w:ilvl w:val="0"/>
          <w:numId w:val="107"/>
        </w:numPr>
        <w:jc w:val="both"/>
        <w:rPr>
          <w:sz w:val="22"/>
          <w:szCs w:val="22"/>
        </w:rPr>
      </w:pPr>
      <w:r w:rsidRPr="000250FA">
        <w:rPr>
          <w:sz w:val="22"/>
          <w:szCs w:val="22"/>
        </w:rPr>
        <w:t>a szervezeti egység megfelelő végzettséggel, képzettséggel, vagy tudományos fokozattal rendelkező más munkatársának, akkor is, ha a pályázati eljárásban nem vett részt,</w:t>
      </w:r>
    </w:p>
    <w:p w14:paraId="55DF28AA" w14:textId="77777777" w:rsidR="00893D5B" w:rsidRPr="000250FA" w:rsidRDefault="00893D5B" w:rsidP="00F83E93">
      <w:pPr>
        <w:numPr>
          <w:ilvl w:val="0"/>
          <w:numId w:val="107"/>
        </w:numPr>
        <w:jc w:val="both"/>
        <w:rPr>
          <w:sz w:val="22"/>
          <w:szCs w:val="22"/>
        </w:rPr>
      </w:pPr>
      <w:r w:rsidRPr="000250FA">
        <w:rPr>
          <w:sz w:val="22"/>
          <w:szCs w:val="22"/>
        </w:rPr>
        <w:t>a szervezeti egység olyan munkatársának, aki nem rendelkezik a megfelelő végzettséggel, képzettséggel, vagy tudományos fokozattal, ha az a) és b) pontokban foglaltak alkalmazására nincs lehetőség,</w:t>
      </w:r>
    </w:p>
    <w:p w14:paraId="6D27DE24" w14:textId="77777777" w:rsidR="00893D5B" w:rsidRPr="000250FA" w:rsidRDefault="00893D5B" w:rsidP="00F83E93">
      <w:pPr>
        <w:numPr>
          <w:ilvl w:val="0"/>
          <w:numId w:val="107"/>
        </w:numPr>
        <w:jc w:val="both"/>
        <w:rPr>
          <w:sz w:val="22"/>
          <w:szCs w:val="22"/>
        </w:rPr>
      </w:pPr>
      <w:r w:rsidRPr="000250FA">
        <w:rPr>
          <w:sz w:val="22"/>
          <w:szCs w:val="22"/>
        </w:rPr>
        <w:t>más szervezeti egység vezetőjének, ha az a) és b) pontokban foglaltak alkalmazására nincs lehetőség.</w:t>
      </w:r>
    </w:p>
    <w:p w14:paraId="2D8209DC" w14:textId="77777777" w:rsidR="00893D5B" w:rsidRPr="000250FA" w:rsidRDefault="00893D5B" w:rsidP="00893D5B">
      <w:pPr>
        <w:rPr>
          <w:sz w:val="22"/>
          <w:szCs w:val="22"/>
        </w:rPr>
      </w:pPr>
    </w:p>
    <w:p w14:paraId="70C0FD48"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349"/>
      </w:r>
      <w:r w:rsidRPr="000250FA">
        <w:rPr>
          <w:sz w:val="22"/>
          <w:szCs w:val="22"/>
        </w:rPr>
        <w:t xml:space="preserve"> </w:t>
      </w:r>
      <w:r w:rsidRPr="000250FA">
        <w:rPr>
          <w:rStyle w:val="Lbjegyzet-hivatkozs"/>
          <w:sz w:val="22"/>
          <w:szCs w:val="22"/>
        </w:rPr>
        <w:footnoteReference w:id="350"/>
      </w:r>
      <w:r w:rsidRPr="000250FA">
        <w:rPr>
          <w:sz w:val="22"/>
          <w:szCs w:val="22"/>
        </w:rPr>
        <w:t xml:space="preserve"> </w:t>
      </w:r>
      <w:r w:rsidRPr="000250FA">
        <w:rPr>
          <w:rStyle w:val="Lbjegyzet-hivatkozs"/>
          <w:sz w:val="22"/>
          <w:szCs w:val="22"/>
        </w:rPr>
        <w:footnoteReference w:id="351"/>
      </w:r>
      <w:r w:rsidRPr="000250FA">
        <w:rPr>
          <w:sz w:val="22"/>
          <w:szCs w:val="22"/>
        </w:rPr>
        <w:t xml:space="preserve"> Az ideiglenes megbízás (mb. magasabb vezető, vezető) határozott időre – legfeljebb a pályázat eredményes elbírálásáig terjedő időtartamra, de legfeljebb 9 hónapra szól. Amennyiben a kiírt pályázat eredménytelen, úgy az ideiglenes megbízás 1 alkalommal, legfeljebb további 3 hónappal meghosszabbítható a pályázat ismételt kiírása mellett. Amennyiben a vezetői megbízással rendelkező személy a jogszabályban meghatározott életkori korlátok miatt a következő vezetői megbízás időtartamát – legalább 3 év – nem tölti ki, részére a Dékán javaslatára és a Rektor, a Kancellária területén a kancellár engedélyével ideiglenes vezetői megbízás hatvanötödik életéve betöltéséig adható.</w:t>
      </w:r>
    </w:p>
    <w:p w14:paraId="36C1B47C" w14:textId="77777777" w:rsidR="00893D5B" w:rsidRPr="000250FA" w:rsidRDefault="00893D5B" w:rsidP="00893D5B">
      <w:pPr>
        <w:tabs>
          <w:tab w:val="left" w:pos="9781"/>
        </w:tabs>
        <w:ind w:right="-144"/>
        <w:jc w:val="both"/>
        <w:rPr>
          <w:sz w:val="22"/>
          <w:szCs w:val="22"/>
        </w:rPr>
      </w:pPr>
    </w:p>
    <w:p w14:paraId="4035C04E" w14:textId="77777777" w:rsidR="00893D5B" w:rsidRPr="000250FA" w:rsidRDefault="00893D5B" w:rsidP="00893D5B">
      <w:pPr>
        <w:tabs>
          <w:tab w:val="left" w:pos="9781"/>
        </w:tabs>
        <w:ind w:right="-144"/>
        <w:jc w:val="both"/>
        <w:rPr>
          <w:sz w:val="22"/>
          <w:szCs w:val="22"/>
        </w:rPr>
      </w:pPr>
      <w:r w:rsidRPr="000250FA">
        <w:rPr>
          <w:rFonts w:eastAsia="Calibri"/>
          <w:lang w:eastAsia="en-US"/>
        </w:rPr>
        <w:t>(</w:t>
      </w:r>
      <w:r w:rsidRPr="000250FA">
        <w:rPr>
          <w:rFonts w:eastAsia="Calibri"/>
          <w:sz w:val="22"/>
          <w:szCs w:val="22"/>
          <w:lang w:eastAsia="en-US"/>
        </w:rPr>
        <w:t xml:space="preserve">4) </w:t>
      </w:r>
      <w:r w:rsidRPr="000250FA">
        <w:rPr>
          <w:rStyle w:val="Lbjegyzet-hivatkozs"/>
          <w:rFonts w:eastAsia="Calibri"/>
          <w:sz w:val="22"/>
          <w:szCs w:val="22"/>
          <w:lang w:eastAsia="en-US"/>
        </w:rPr>
        <w:footnoteReference w:id="352"/>
      </w:r>
      <w:r w:rsidRPr="000250FA">
        <w:rPr>
          <w:rFonts w:eastAsia="Calibri"/>
          <w:sz w:val="22"/>
          <w:szCs w:val="22"/>
          <w:lang w:eastAsia="en-US"/>
        </w:rPr>
        <w:t xml:space="preserve">A 97. § (2) bekezdés i) pontjában meghatározott vezetői megbízás esetében az ideiglenes vezetői megbízás időtartama – a (3) bekezdéstől eltérően - legfeljebb három év lehet.  </w:t>
      </w:r>
    </w:p>
    <w:p w14:paraId="691F4035" w14:textId="77777777" w:rsidR="00893D5B" w:rsidRPr="000250FA" w:rsidRDefault="00893D5B" w:rsidP="00893D5B">
      <w:pPr>
        <w:tabs>
          <w:tab w:val="left" w:pos="9781"/>
        </w:tabs>
        <w:ind w:right="-144"/>
        <w:jc w:val="both"/>
        <w:rPr>
          <w:sz w:val="22"/>
          <w:szCs w:val="22"/>
        </w:rPr>
      </w:pPr>
    </w:p>
    <w:p w14:paraId="6EEF2338" w14:textId="77777777" w:rsidR="00893D5B" w:rsidRPr="000250FA" w:rsidRDefault="00893D5B" w:rsidP="00893D5B">
      <w:pPr>
        <w:tabs>
          <w:tab w:val="left" w:pos="9781"/>
        </w:tabs>
        <w:ind w:right="-144"/>
        <w:jc w:val="both"/>
        <w:rPr>
          <w:sz w:val="22"/>
          <w:szCs w:val="22"/>
        </w:rPr>
      </w:pPr>
      <w:r w:rsidRPr="000250FA">
        <w:rPr>
          <w:sz w:val="22"/>
          <w:szCs w:val="22"/>
        </w:rPr>
        <w:t xml:space="preserve">(5) </w:t>
      </w:r>
      <w:r w:rsidRPr="000250FA">
        <w:rPr>
          <w:rStyle w:val="Lbjegyzet-hivatkozs"/>
          <w:sz w:val="22"/>
          <w:szCs w:val="22"/>
        </w:rPr>
        <w:footnoteReference w:id="353"/>
      </w:r>
      <w:r w:rsidRPr="000250FA">
        <w:rPr>
          <w:sz w:val="22"/>
          <w:szCs w:val="22"/>
        </w:rPr>
        <w:t xml:space="preserve"> </w:t>
      </w:r>
      <w:r w:rsidRPr="000250FA">
        <w:rPr>
          <w:rStyle w:val="Lbjegyzet-hivatkozs"/>
          <w:sz w:val="22"/>
          <w:szCs w:val="22"/>
        </w:rPr>
        <w:footnoteReference w:id="354"/>
      </w:r>
      <w:r w:rsidRPr="000250FA">
        <w:rPr>
          <w:sz w:val="22"/>
          <w:szCs w:val="22"/>
        </w:rPr>
        <w:t xml:space="preserve">Amennyiben valamely magasabb vezetői, illetve vezetői megbízás betöltése ideiglenes megbízással történik, a magasabb vezetői, illetve vezetői megbízást betöltők a megbízás időtartama alatt </w:t>
      </w:r>
      <w:r w:rsidRPr="000250FA">
        <w:rPr>
          <w:sz w:val="22"/>
          <w:szCs w:val="22"/>
        </w:rPr>
        <w:lastRenderedPageBreak/>
        <w:t>a vezetői megbízással összefüggő jogokat és kötelezettségeket korlátlanul gyakorolhatják, ideértve az egyetemi vagy a kari testületekben való tagsági és szavazati jogot is.</w:t>
      </w:r>
    </w:p>
    <w:p w14:paraId="6726FFBF" w14:textId="77777777" w:rsidR="00893D5B" w:rsidRPr="000250FA" w:rsidRDefault="00893D5B" w:rsidP="00893D5B">
      <w:pPr>
        <w:tabs>
          <w:tab w:val="left" w:pos="9781"/>
        </w:tabs>
        <w:ind w:right="-144"/>
        <w:jc w:val="both"/>
        <w:rPr>
          <w:sz w:val="22"/>
          <w:szCs w:val="22"/>
        </w:rPr>
      </w:pPr>
    </w:p>
    <w:p w14:paraId="5E2E2B82" w14:textId="77777777" w:rsidR="00893D5B" w:rsidRPr="000250FA" w:rsidRDefault="00893D5B" w:rsidP="00893D5B">
      <w:pPr>
        <w:tabs>
          <w:tab w:val="left" w:pos="9781"/>
        </w:tabs>
        <w:ind w:right="-144"/>
        <w:jc w:val="both"/>
        <w:rPr>
          <w:sz w:val="22"/>
          <w:szCs w:val="22"/>
        </w:rPr>
      </w:pPr>
      <w:r w:rsidRPr="000250FA">
        <w:rPr>
          <w:b/>
          <w:sz w:val="22"/>
          <w:szCs w:val="22"/>
        </w:rPr>
        <w:t>99. §</w:t>
      </w:r>
      <w:r w:rsidRPr="000250FA">
        <w:rPr>
          <w:rStyle w:val="Lbjegyzet-hivatkozs"/>
          <w:sz w:val="22"/>
          <w:szCs w:val="22"/>
        </w:rPr>
        <w:footnoteReference w:id="355"/>
      </w:r>
      <w:r w:rsidRPr="000250FA">
        <w:rPr>
          <w:b/>
          <w:sz w:val="22"/>
          <w:szCs w:val="22"/>
        </w:rPr>
        <w:t xml:space="preserve"> </w:t>
      </w:r>
      <w:r w:rsidRPr="00C40553">
        <w:rPr>
          <w:rStyle w:val="Lbjegyzet-hivatkozs"/>
          <w:sz w:val="22"/>
          <w:szCs w:val="22"/>
        </w:rPr>
        <w:footnoteReference w:id="356"/>
      </w:r>
      <w:r w:rsidRPr="000250FA">
        <w:rPr>
          <w:sz w:val="22"/>
          <w:szCs w:val="22"/>
        </w:rPr>
        <w:t xml:space="preserve"> </w:t>
      </w:r>
      <w:r w:rsidRPr="000250FA">
        <w:rPr>
          <w:rStyle w:val="Lbjegyzet-hivatkozs"/>
          <w:sz w:val="22"/>
          <w:szCs w:val="22"/>
        </w:rPr>
        <w:footnoteReference w:id="357"/>
      </w:r>
      <w:r w:rsidRPr="000250FA">
        <w:rPr>
          <w:sz w:val="22"/>
          <w:szCs w:val="22"/>
        </w:rPr>
        <w:t>Az Egyetemen magasabb vezetői, illetve vezetői megbízás a hatvanötödik életév betöltéséig szólhat.</w:t>
      </w:r>
    </w:p>
    <w:p w14:paraId="2C48145C" w14:textId="77777777" w:rsidR="00893D5B" w:rsidRPr="000250FA" w:rsidRDefault="00893D5B" w:rsidP="00893D5B">
      <w:pPr>
        <w:tabs>
          <w:tab w:val="left" w:pos="9781"/>
        </w:tabs>
        <w:ind w:right="-144"/>
        <w:jc w:val="both"/>
        <w:rPr>
          <w:sz w:val="22"/>
          <w:szCs w:val="22"/>
        </w:rPr>
      </w:pPr>
    </w:p>
    <w:p w14:paraId="6441EA1B" w14:textId="77777777" w:rsidR="00893D5B" w:rsidRPr="00C40553" w:rsidRDefault="00893D5B" w:rsidP="00D75251">
      <w:pPr>
        <w:tabs>
          <w:tab w:val="left" w:pos="9781"/>
        </w:tabs>
        <w:ind w:right="-144"/>
        <w:jc w:val="both"/>
        <w:rPr>
          <w:sz w:val="22"/>
          <w:szCs w:val="22"/>
        </w:rPr>
      </w:pPr>
      <w:r w:rsidRPr="000250FA">
        <w:rPr>
          <w:b/>
          <w:sz w:val="22"/>
          <w:szCs w:val="22"/>
        </w:rPr>
        <w:t>100. §</w:t>
      </w:r>
      <w:r w:rsidRPr="000250FA">
        <w:rPr>
          <w:sz w:val="22"/>
          <w:szCs w:val="22"/>
        </w:rPr>
        <w:t xml:space="preserve"> (1)</w:t>
      </w:r>
      <w:r w:rsidRPr="000250FA">
        <w:rPr>
          <w:rStyle w:val="Lbjegyzet-hivatkozs"/>
          <w:sz w:val="22"/>
          <w:szCs w:val="22"/>
        </w:rPr>
        <w:footnoteReference w:id="358"/>
      </w:r>
      <w:r w:rsidRPr="000250FA">
        <w:rPr>
          <w:sz w:val="22"/>
          <w:szCs w:val="22"/>
        </w:rPr>
        <w:t xml:space="preserve"> </w:t>
      </w:r>
      <w:r w:rsidRPr="000250FA">
        <w:rPr>
          <w:rStyle w:val="Lbjegyzet-hivatkozs"/>
          <w:sz w:val="22"/>
          <w:szCs w:val="22"/>
        </w:rPr>
        <w:footnoteReference w:id="359"/>
      </w:r>
      <w:r w:rsidR="00D75251">
        <w:rPr>
          <w:sz w:val="22"/>
          <w:szCs w:val="22"/>
        </w:rPr>
        <w:t xml:space="preserve"> </w:t>
      </w:r>
      <w:r w:rsidR="00D75251">
        <w:rPr>
          <w:rStyle w:val="Lbjegyzet-hivatkozs"/>
          <w:sz w:val="22"/>
          <w:szCs w:val="22"/>
        </w:rPr>
        <w:footnoteReference w:id="360"/>
      </w:r>
      <w:r w:rsidR="000E2113">
        <w:rPr>
          <w:sz w:val="22"/>
          <w:szCs w:val="22"/>
        </w:rPr>
        <w:t xml:space="preserve"> </w:t>
      </w:r>
      <w:r w:rsidR="00D75251" w:rsidRPr="00113C81">
        <w:rPr>
          <w:sz w:val="22"/>
          <w:szCs w:val="22"/>
        </w:rPr>
        <w:t>Megszűnik</w:t>
      </w:r>
      <w:r w:rsidR="00D75251" w:rsidRPr="000E2113">
        <w:rPr>
          <w:bCs/>
          <w:iCs/>
          <w:sz w:val="22"/>
          <w:szCs w:val="22"/>
        </w:rPr>
        <w:t>,</w:t>
      </w:r>
      <w:r w:rsidR="00D75251" w:rsidRPr="00113C81">
        <w:rPr>
          <w:sz w:val="22"/>
          <w:szCs w:val="22"/>
        </w:rPr>
        <w:t xml:space="preserve"> </w:t>
      </w:r>
      <w:r w:rsidR="00D75251" w:rsidRPr="000E2113">
        <w:rPr>
          <w:bCs/>
          <w:iCs/>
          <w:sz w:val="22"/>
          <w:szCs w:val="22"/>
        </w:rPr>
        <w:t>illetve</w:t>
      </w:r>
      <w:r w:rsidR="00D75251" w:rsidRPr="000E2113">
        <w:rPr>
          <w:b/>
          <w:bCs/>
          <w:i/>
          <w:iCs/>
          <w:sz w:val="22"/>
          <w:szCs w:val="22"/>
        </w:rPr>
        <w:t xml:space="preserve"> </w:t>
      </w:r>
      <w:r w:rsidR="00D75251" w:rsidRPr="00113C81">
        <w:rPr>
          <w:sz w:val="22"/>
          <w:szCs w:val="22"/>
        </w:rPr>
        <w:t>a munkáltató által visszavonásra kerül a magasabb vezetői és</w:t>
      </w:r>
      <w:r w:rsidR="00D75251" w:rsidRPr="00113C81">
        <w:rPr>
          <w:b/>
          <w:bCs/>
          <w:i/>
          <w:iCs/>
          <w:sz w:val="22"/>
          <w:szCs w:val="22"/>
        </w:rPr>
        <w:t xml:space="preserve"> </w:t>
      </w:r>
      <w:r w:rsidR="00D75251" w:rsidRPr="00113C81">
        <w:rPr>
          <w:sz w:val="22"/>
          <w:szCs w:val="22"/>
        </w:rPr>
        <w:t xml:space="preserve">vezetői megbízatás: </w:t>
      </w:r>
      <w:r w:rsidR="00D75251">
        <w:rPr>
          <w:sz w:val="22"/>
          <w:szCs w:val="22"/>
        </w:rPr>
        <w:t xml:space="preserve"> </w:t>
      </w:r>
    </w:p>
    <w:p w14:paraId="4FBF0219" w14:textId="77777777" w:rsidR="00893D5B" w:rsidRPr="00C40553" w:rsidRDefault="00893D5B" w:rsidP="00F83E93">
      <w:pPr>
        <w:numPr>
          <w:ilvl w:val="0"/>
          <w:numId w:val="178"/>
        </w:numPr>
        <w:jc w:val="both"/>
        <w:rPr>
          <w:sz w:val="22"/>
          <w:szCs w:val="22"/>
        </w:rPr>
      </w:pPr>
      <w:r w:rsidRPr="00C40553">
        <w:rPr>
          <w:sz w:val="22"/>
          <w:szCs w:val="22"/>
        </w:rPr>
        <w:t>a megbízási idő lejártával,</w:t>
      </w:r>
    </w:p>
    <w:p w14:paraId="6DC04F52" w14:textId="77777777" w:rsidR="00893D5B" w:rsidRPr="00C40553" w:rsidRDefault="00893D5B" w:rsidP="00F83E93">
      <w:pPr>
        <w:numPr>
          <w:ilvl w:val="0"/>
          <w:numId w:val="178"/>
        </w:numPr>
        <w:jc w:val="both"/>
        <w:rPr>
          <w:sz w:val="22"/>
          <w:szCs w:val="22"/>
        </w:rPr>
      </w:pPr>
      <w:r w:rsidRPr="00C40553">
        <w:rPr>
          <w:sz w:val="22"/>
          <w:szCs w:val="22"/>
        </w:rPr>
        <w:t xml:space="preserve">lemondással, </w:t>
      </w:r>
    </w:p>
    <w:p w14:paraId="05AFFF9E" w14:textId="77777777" w:rsidR="00893D5B" w:rsidRPr="00C40553" w:rsidRDefault="00893D5B" w:rsidP="00F83E93">
      <w:pPr>
        <w:numPr>
          <w:ilvl w:val="0"/>
          <w:numId w:val="178"/>
        </w:numPr>
        <w:jc w:val="both"/>
        <w:rPr>
          <w:sz w:val="22"/>
          <w:szCs w:val="22"/>
        </w:rPr>
      </w:pPr>
      <w:r w:rsidRPr="00C40553">
        <w:rPr>
          <w:sz w:val="22"/>
          <w:szCs w:val="22"/>
        </w:rPr>
        <w:t>visszavonással,</w:t>
      </w:r>
    </w:p>
    <w:p w14:paraId="4BEE0991" w14:textId="77777777" w:rsidR="00893D5B" w:rsidRPr="002E505A" w:rsidRDefault="00893D5B" w:rsidP="00F83E93">
      <w:pPr>
        <w:numPr>
          <w:ilvl w:val="0"/>
          <w:numId w:val="178"/>
        </w:numPr>
        <w:jc w:val="both"/>
        <w:rPr>
          <w:sz w:val="22"/>
          <w:szCs w:val="22"/>
        </w:rPr>
      </w:pPr>
      <w:r w:rsidRPr="00C40553">
        <w:rPr>
          <w:sz w:val="22"/>
          <w:szCs w:val="22"/>
        </w:rPr>
        <w:t xml:space="preserve">a szervezeti egység átalakulásával, megszűnésével, </w:t>
      </w:r>
      <w:r w:rsidRPr="002E505A">
        <w:rPr>
          <w:sz w:val="22"/>
          <w:szCs w:val="22"/>
        </w:rPr>
        <w:t xml:space="preserve">az Egyetem megszűnése, átalakulása esetén, </w:t>
      </w:r>
    </w:p>
    <w:p w14:paraId="05F1F039" w14:textId="77777777" w:rsidR="00893D5B" w:rsidRPr="00C40553" w:rsidRDefault="00893D5B" w:rsidP="00F83E93">
      <w:pPr>
        <w:numPr>
          <w:ilvl w:val="0"/>
          <w:numId w:val="178"/>
        </w:numPr>
        <w:jc w:val="both"/>
        <w:rPr>
          <w:sz w:val="22"/>
          <w:szCs w:val="22"/>
        </w:rPr>
      </w:pPr>
      <w:r w:rsidRPr="00C40553">
        <w:rPr>
          <w:sz w:val="22"/>
          <w:szCs w:val="22"/>
        </w:rPr>
        <w:t>a vezető közalkalmazotti jogviszonyának megszűnésével,</w:t>
      </w:r>
    </w:p>
    <w:p w14:paraId="2D996771" w14:textId="77777777" w:rsidR="00893D5B" w:rsidRPr="00C40553" w:rsidRDefault="00893D5B" w:rsidP="00F83E93">
      <w:pPr>
        <w:numPr>
          <w:ilvl w:val="0"/>
          <w:numId w:val="178"/>
        </w:numPr>
        <w:jc w:val="both"/>
        <w:rPr>
          <w:sz w:val="22"/>
          <w:szCs w:val="22"/>
        </w:rPr>
      </w:pPr>
      <w:r w:rsidRPr="00C40553">
        <w:rPr>
          <w:sz w:val="22"/>
          <w:szCs w:val="22"/>
        </w:rPr>
        <w:t>a vezető halálával</w:t>
      </w:r>
    </w:p>
    <w:p w14:paraId="71221E62" w14:textId="77777777" w:rsidR="00893D5B" w:rsidRPr="00C40553" w:rsidRDefault="00893D5B" w:rsidP="00F83E93">
      <w:pPr>
        <w:numPr>
          <w:ilvl w:val="0"/>
          <w:numId w:val="178"/>
        </w:numPr>
        <w:jc w:val="both"/>
        <w:rPr>
          <w:sz w:val="22"/>
          <w:szCs w:val="22"/>
        </w:rPr>
      </w:pPr>
      <w:r w:rsidRPr="00C40553">
        <w:rPr>
          <w:sz w:val="22"/>
          <w:szCs w:val="22"/>
        </w:rPr>
        <w:t>a vezető 65. életévének betöltésével.</w:t>
      </w:r>
    </w:p>
    <w:p w14:paraId="44F4889E" w14:textId="77777777" w:rsidR="00893D5B" w:rsidRPr="000250FA" w:rsidRDefault="00893D5B" w:rsidP="00893D5B">
      <w:pPr>
        <w:tabs>
          <w:tab w:val="left" w:pos="9781"/>
        </w:tabs>
        <w:ind w:left="561" w:right="-144"/>
        <w:jc w:val="both"/>
        <w:rPr>
          <w:sz w:val="22"/>
          <w:szCs w:val="22"/>
        </w:rPr>
      </w:pPr>
    </w:p>
    <w:p w14:paraId="7429E857" w14:textId="77777777" w:rsidR="00893D5B" w:rsidRDefault="00893D5B" w:rsidP="00893D5B">
      <w:pPr>
        <w:tabs>
          <w:tab w:val="left" w:pos="9781"/>
        </w:tabs>
        <w:ind w:right="-144"/>
        <w:jc w:val="both"/>
        <w:rPr>
          <w:sz w:val="22"/>
          <w:szCs w:val="22"/>
        </w:rPr>
      </w:pPr>
      <w:r w:rsidRPr="000250FA">
        <w:rPr>
          <w:sz w:val="22"/>
          <w:szCs w:val="22"/>
        </w:rPr>
        <w:t>(2)</w:t>
      </w:r>
      <w:r w:rsidRPr="00E658DE">
        <w:rPr>
          <w:sz w:val="22"/>
          <w:szCs w:val="22"/>
          <w:vertAlign w:val="superscript"/>
        </w:rPr>
        <w:footnoteReference w:id="361"/>
      </w:r>
      <w:r w:rsidRPr="000250FA">
        <w:rPr>
          <w:b/>
          <w:i/>
          <w:sz w:val="22"/>
          <w:szCs w:val="22"/>
        </w:rPr>
        <w:t xml:space="preserve"> </w:t>
      </w:r>
      <w:r w:rsidR="00D75251" w:rsidRPr="00D75251">
        <w:rPr>
          <w:rStyle w:val="Lbjegyzet-hivatkozs"/>
          <w:sz w:val="22"/>
          <w:szCs w:val="22"/>
        </w:rPr>
        <w:footnoteReference w:id="362"/>
      </w:r>
      <w:r w:rsidR="00D75251">
        <w:rPr>
          <w:b/>
          <w:i/>
          <w:sz w:val="22"/>
          <w:szCs w:val="22"/>
        </w:rPr>
        <w:t xml:space="preserve"> </w:t>
      </w:r>
      <w:r w:rsidR="00D75251" w:rsidRPr="00113C81">
        <w:rPr>
          <w:sz w:val="22"/>
          <w:szCs w:val="22"/>
        </w:rPr>
        <w:t>Az (1) d.) és g.) pontja esetén a munkáltatói jogkör gyakorlója a vezetői megbízást írásban visszavonja</w:t>
      </w:r>
      <w:r w:rsidR="000E2113">
        <w:rPr>
          <w:sz w:val="22"/>
          <w:szCs w:val="22"/>
        </w:rPr>
        <w:t>.</w:t>
      </w:r>
    </w:p>
    <w:p w14:paraId="06C354BC" w14:textId="77777777" w:rsidR="000E2113" w:rsidRPr="000250FA" w:rsidRDefault="000E2113" w:rsidP="00893D5B">
      <w:pPr>
        <w:tabs>
          <w:tab w:val="left" w:pos="9781"/>
        </w:tabs>
        <w:ind w:right="-144"/>
        <w:jc w:val="both"/>
        <w:rPr>
          <w:sz w:val="22"/>
          <w:szCs w:val="22"/>
        </w:rPr>
      </w:pPr>
    </w:p>
    <w:p w14:paraId="0E965EFB" w14:textId="77777777" w:rsidR="00893D5B" w:rsidRPr="00D75251" w:rsidRDefault="00893D5B" w:rsidP="00893D5B">
      <w:pPr>
        <w:tabs>
          <w:tab w:val="left" w:pos="9781"/>
        </w:tabs>
        <w:ind w:right="-144"/>
        <w:jc w:val="both"/>
        <w:rPr>
          <w:sz w:val="22"/>
          <w:szCs w:val="22"/>
        </w:rPr>
      </w:pPr>
      <w:r w:rsidRPr="000250FA">
        <w:rPr>
          <w:sz w:val="22"/>
          <w:szCs w:val="22"/>
        </w:rPr>
        <w:t>(3)</w:t>
      </w:r>
      <w:r w:rsidRPr="00E658DE">
        <w:rPr>
          <w:sz w:val="22"/>
          <w:szCs w:val="22"/>
          <w:vertAlign w:val="superscript"/>
        </w:rPr>
        <w:footnoteReference w:id="363"/>
      </w:r>
      <w:r w:rsidR="00E658DE">
        <w:rPr>
          <w:sz w:val="22"/>
          <w:szCs w:val="22"/>
        </w:rPr>
        <w:t xml:space="preserve"> </w:t>
      </w:r>
      <w:r w:rsidR="00D75251">
        <w:rPr>
          <w:rStyle w:val="Lbjegyzet-hivatkozs"/>
          <w:sz w:val="22"/>
          <w:szCs w:val="22"/>
        </w:rPr>
        <w:footnoteReference w:id="364"/>
      </w:r>
      <w:r w:rsidR="00D75251">
        <w:rPr>
          <w:sz w:val="22"/>
          <w:szCs w:val="22"/>
        </w:rPr>
        <w:t xml:space="preserve"> </w:t>
      </w:r>
      <w:r w:rsidR="00D75251" w:rsidRPr="00D75251">
        <w:rPr>
          <w:sz w:val="22"/>
          <w:szCs w:val="22"/>
        </w:rPr>
        <w:t xml:space="preserve">A munkáltatói jogkör gyakorlója a magasabb vezetői és vezetői megbízást írásban visszavonhatja. </w:t>
      </w:r>
      <w:r w:rsidR="00D75251" w:rsidRPr="000E2113">
        <w:rPr>
          <w:bCs/>
          <w:iCs/>
          <w:sz w:val="22"/>
          <w:szCs w:val="22"/>
        </w:rPr>
        <w:t>A megbízás visszavonását – a közalkalmazott kérelmére – indokolni kell. Az indokolásból a visszavonás okának világosan ki kell tűnnie.</w:t>
      </w:r>
      <w:r w:rsidR="00D75251" w:rsidRPr="00D75251">
        <w:rPr>
          <w:b/>
          <w:bCs/>
          <w:i/>
          <w:iCs/>
          <w:sz w:val="22"/>
          <w:szCs w:val="22"/>
        </w:rPr>
        <w:t xml:space="preserve"> </w:t>
      </w:r>
      <w:r w:rsidR="00D75251" w:rsidRPr="00D75251">
        <w:rPr>
          <w:sz w:val="22"/>
          <w:szCs w:val="22"/>
        </w:rPr>
        <w:t>A magasabb vezetői, illetve a vezetői megbízás megszüntetésével egyidejűleg a vezetői pótlék, illetve a vezetői illetménykiegészítés visszavonásáról is intézkedni kell.</w:t>
      </w:r>
    </w:p>
    <w:p w14:paraId="39C67CE1" w14:textId="77777777" w:rsidR="00893D5B" w:rsidRPr="000250FA" w:rsidRDefault="00893D5B" w:rsidP="00893D5B">
      <w:pPr>
        <w:tabs>
          <w:tab w:val="left" w:pos="9781"/>
        </w:tabs>
        <w:ind w:left="357" w:right="-144"/>
        <w:jc w:val="both"/>
        <w:rPr>
          <w:sz w:val="22"/>
          <w:szCs w:val="22"/>
        </w:rPr>
      </w:pPr>
    </w:p>
    <w:p w14:paraId="0EB19856" w14:textId="77777777" w:rsidR="00893D5B" w:rsidRPr="000250FA" w:rsidRDefault="00893D5B" w:rsidP="00893D5B">
      <w:pPr>
        <w:tabs>
          <w:tab w:val="left" w:pos="9781"/>
        </w:tabs>
        <w:ind w:right="-144"/>
        <w:jc w:val="both"/>
        <w:rPr>
          <w:sz w:val="22"/>
          <w:szCs w:val="22"/>
        </w:rPr>
      </w:pPr>
      <w:r w:rsidRPr="000250FA">
        <w:rPr>
          <w:sz w:val="22"/>
          <w:szCs w:val="22"/>
        </w:rPr>
        <w:t>(4)</w:t>
      </w:r>
      <w:r w:rsidRPr="000250FA">
        <w:rPr>
          <w:rStyle w:val="Lbjegyzet-hivatkozs"/>
          <w:sz w:val="22"/>
          <w:szCs w:val="22"/>
        </w:rPr>
        <w:footnoteReference w:id="365"/>
      </w:r>
    </w:p>
    <w:p w14:paraId="4E2DD17D" w14:textId="77777777" w:rsidR="00893D5B" w:rsidRPr="000250FA" w:rsidRDefault="00893D5B" w:rsidP="00893D5B">
      <w:pPr>
        <w:tabs>
          <w:tab w:val="left" w:pos="9781"/>
        </w:tabs>
        <w:ind w:right="-144"/>
        <w:jc w:val="both"/>
        <w:rPr>
          <w:sz w:val="22"/>
          <w:szCs w:val="22"/>
        </w:rPr>
      </w:pPr>
    </w:p>
    <w:p w14:paraId="4ECA95BB" w14:textId="77777777" w:rsidR="00893D5B" w:rsidRPr="000250FA" w:rsidRDefault="00893D5B" w:rsidP="00893D5B">
      <w:pPr>
        <w:tabs>
          <w:tab w:val="left" w:pos="9781"/>
        </w:tabs>
        <w:ind w:right="-144"/>
        <w:jc w:val="both"/>
        <w:rPr>
          <w:sz w:val="22"/>
          <w:szCs w:val="22"/>
        </w:rPr>
      </w:pPr>
      <w:r w:rsidRPr="000250FA">
        <w:rPr>
          <w:sz w:val="22"/>
          <w:szCs w:val="22"/>
        </w:rPr>
        <w:t>(5) A vezetői megbízásra és a megbízás visszavonására vonatkozó iratmintát a HR Kézikönyv tartalmazza.</w:t>
      </w:r>
    </w:p>
    <w:p w14:paraId="4CDF014C" w14:textId="77777777" w:rsidR="00893D5B" w:rsidRPr="000250FA" w:rsidRDefault="00893D5B" w:rsidP="00893D5B">
      <w:pPr>
        <w:tabs>
          <w:tab w:val="left" w:pos="9781"/>
        </w:tabs>
        <w:ind w:right="-144"/>
        <w:jc w:val="both"/>
        <w:rPr>
          <w:sz w:val="22"/>
          <w:szCs w:val="22"/>
        </w:rPr>
      </w:pPr>
    </w:p>
    <w:p w14:paraId="22419CB3" w14:textId="77777777" w:rsidR="00893D5B" w:rsidRPr="000250FA" w:rsidRDefault="00893D5B" w:rsidP="00893D5B">
      <w:pPr>
        <w:pStyle w:val="Cmsor4"/>
      </w:pPr>
      <w:bookmarkStart w:id="236" w:name="_Toc432753607"/>
      <w:r w:rsidRPr="000250FA">
        <w:t>A magasabb vezetői és a vezetői megbízásokkal összefüggő hatásköri feladatok átadása, illetve átvétele</w:t>
      </w:r>
      <w:bookmarkEnd w:id="236"/>
    </w:p>
    <w:p w14:paraId="4A253B92" w14:textId="77777777" w:rsidR="00893D5B" w:rsidRPr="000250FA" w:rsidRDefault="00893D5B" w:rsidP="00893D5B">
      <w:pPr>
        <w:tabs>
          <w:tab w:val="left" w:pos="9781"/>
        </w:tabs>
        <w:ind w:right="-144"/>
        <w:jc w:val="both"/>
        <w:rPr>
          <w:bCs/>
          <w:sz w:val="22"/>
          <w:szCs w:val="22"/>
        </w:rPr>
      </w:pPr>
    </w:p>
    <w:p w14:paraId="116B20E4" w14:textId="77777777" w:rsidR="00893D5B" w:rsidRPr="000250FA" w:rsidRDefault="00893D5B" w:rsidP="00893D5B">
      <w:pPr>
        <w:tabs>
          <w:tab w:val="left" w:pos="9781"/>
        </w:tabs>
        <w:ind w:right="-144"/>
        <w:jc w:val="both"/>
        <w:rPr>
          <w:bCs/>
          <w:sz w:val="22"/>
          <w:szCs w:val="22"/>
        </w:rPr>
      </w:pPr>
      <w:r w:rsidRPr="000250FA">
        <w:rPr>
          <w:b/>
          <w:bCs/>
          <w:sz w:val="22"/>
          <w:szCs w:val="22"/>
        </w:rPr>
        <w:t>101. §</w:t>
      </w:r>
      <w:r w:rsidRPr="000250FA">
        <w:rPr>
          <w:bCs/>
          <w:sz w:val="22"/>
          <w:szCs w:val="22"/>
        </w:rPr>
        <w:t xml:space="preserve"> (1) Az Egyetem Szervezeti és Működési Szabályzatában felsorolt valamennyi magasabb vezetői és vezetői feladatot átadás-átvételi eljárásban kell átadni, illetve átvenni.</w:t>
      </w:r>
    </w:p>
    <w:p w14:paraId="55D97DEE" w14:textId="77777777" w:rsidR="00893D5B" w:rsidRPr="000250FA" w:rsidRDefault="00893D5B" w:rsidP="00893D5B">
      <w:pPr>
        <w:tabs>
          <w:tab w:val="left" w:pos="9781"/>
        </w:tabs>
        <w:ind w:right="-144"/>
        <w:jc w:val="both"/>
        <w:rPr>
          <w:bCs/>
          <w:sz w:val="22"/>
          <w:szCs w:val="22"/>
        </w:rPr>
      </w:pPr>
    </w:p>
    <w:p w14:paraId="13C0E8A8" w14:textId="77777777" w:rsidR="00893D5B" w:rsidRPr="000250FA" w:rsidRDefault="00893D5B" w:rsidP="00893D5B">
      <w:pPr>
        <w:tabs>
          <w:tab w:val="left" w:pos="9781"/>
        </w:tabs>
        <w:ind w:right="-144"/>
        <w:jc w:val="both"/>
        <w:rPr>
          <w:bCs/>
          <w:sz w:val="22"/>
          <w:szCs w:val="22"/>
        </w:rPr>
      </w:pPr>
      <w:r w:rsidRPr="000250FA">
        <w:rPr>
          <w:bCs/>
          <w:sz w:val="22"/>
          <w:szCs w:val="22"/>
        </w:rPr>
        <w:t>(2) Az átadó az a vezető, akinek vezetői megbízása lejár, illetve aki tartósan akadályozott vezetői feladatainak ellátásában. Abban az esetben, ha az átadó – indokoltan és igazoltan – akadályozott a feladatok átadásában is, akkor a munkáltatói jogkör gyakorlója köteles rendelkezni a feladatok átadásáról, az akadályozott vezető egyidejű értesítése mellett. Az értesítésben fel kell hívni a figyelmet arra, hogy az akadályozott vezető az eljárásban meghatalmazottal képviseltetheti magát.</w:t>
      </w:r>
    </w:p>
    <w:p w14:paraId="6AAA3CA9" w14:textId="77777777" w:rsidR="00893D5B" w:rsidRPr="000250FA" w:rsidRDefault="00893D5B" w:rsidP="00893D5B">
      <w:pPr>
        <w:tabs>
          <w:tab w:val="left" w:pos="9781"/>
        </w:tabs>
        <w:ind w:right="-144"/>
        <w:jc w:val="both"/>
        <w:rPr>
          <w:bCs/>
          <w:sz w:val="22"/>
          <w:szCs w:val="22"/>
        </w:rPr>
      </w:pPr>
    </w:p>
    <w:p w14:paraId="1FE6121D" w14:textId="77777777" w:rsidR="00893D5B" w:rsidRPr="000250FA" w:rsidRDefault="00893D5B" w:rsidP="00893D5B">
      <w:pPr>
        <w:tabs>
          <w:tab w:val="left" w:pos="9781"/>
        </w:tabs>
        <w:ind w:right="-144"/>
        <w:jc w:val="both"/>
        <w:rPr>
          <w:bCs/>
          <w:sz w:val="22"/>
          <w:szCs w:val="22"/>
        </w:rPr>
      </w:pPr>
      <w:r w:rsidRPr="000250FA">
        <w:rPr>
          <w:bCs/>
          <w:sz w:val="22"/>
          <w:szCs w:val="22"/>
        </w:rPr>
        <w:t>(3) Az átvevő az új vezető, illetve a tartós helyettesítésre kijelölt személy. Abban az esetben, ha a régi vezető vezetői megbízásának megszűnésekor még nincs új vezető, akkor a munkáltatói jogkör gyakorlója jelöli ki az átvevő személyt.</w:t>
      </w:r>
    </w:p>
    <w:p w14:paraId="58519988" w14:textId="77777777" w:rsidR="00893D5B" w:rsidRPr="000250FA" w:rsidRDefault="00893D5B" w:rsidP="00893D5B">
      <w:pPr>
        <w:tabs>
          <w:tab w:val="left" w:pos="9781"/>
        </w:tabs>
        <w:ind w:left="360" w:right="-144"/>
        <w:jc w:val="both"/>
        <w:rPr>
          <w:bCs/>
          <w:sz w:val="22"/>
          <w:szCs w:val="22"/>
        </w:rPr>
      </w:pPr>
    </w:p>
    <w:p w14:paraId="4D7BDCAF" w14:textId="77777777" w:rsidR="00893D5B" w:rsidRPr="000250FA" w:rsidRDefault="00893D5B" w:rsidP="00893D5B">
      <w:pPr>
        <w:tabs>
          <w:tab w:val="left" w:pos="9781"/>
        </w:tabs>
        <w:ind w:right="-144"/>
        <w:jc w:val="both"/>
        <w:rPr>
          <w:bCs/>
          <w:sz w:val="22"/>
          <w:szCs w:val="22"/>
        </w:rPr>
      </w:pPr>
      <w:r w:rsidRPr="000250FA">
        <w:rPr>
          <w:bCs/>
          <w:sz w:val="22"/>
          <w:szCs w:val="22"/>
        </w:rPr>
        <w:t>(4) Az átadás-átvételi eljárást a vezető utolsó munkában töltött napján be kell fejezni. Abban az esetben, ha az átadás-átvételi eljárásra akadályoztatás mellett kerül sor, akkor az eljárást a (2) bekezdés szerinti rendelkezés kiadásától számított 15 napon belül kell befejezni.</w:t>
      </w:r>
    </w:p>
    <w:p w14:paraId="23CDFD18" w14:textId="77777777" w:rsidR="00893D5B" w:rsidRPr="000250FA" w:rsidRDefault="00893D5B" w:rsidP="00893D5B">
      <w:pPr>
        <w:tabs>
          <w:tab w:val="left" w:pos="9781"/>
        </w:tabs>
        <w:ind w:left="360" w:right="-144"/>
        <w:jc w:val="both"/>
        <w:rPr>
          <w:bCs/>
          <w:sz w:val="22"/>
          <w:szCs w:val="22"/>
        </w:rPr>
      </w:pPr>
    </w:p>
    <w:p w14:paraId="30733B31" w14:textId="77777777" w:rsidR="00893D5B" w:rsidRPr="000250FA" w:rsidRDefault="00893D5B" w:rsidP="00893D5B">
      <w:pPr>
        <w:tabs>
          <w:tab w:val="left" w:pos="9781"/>
        </w:tabs>
        <w:ind w:right="-144"/>
        <w:jc w:val="both"/>
        <w:rPr>
          <w:bCs/>
          <w:sz w:val="22"/>
          <w:szCs w:val="22"/>
        </w:rPr>
      </w:pPr>
      <w:r w:rsidRPr="000250FA">
        <w:rPr>
          <w:b/>
          <w:bCs/>
          <w:sz w:val="22"/>
          <w:szCs w:val="22"/>
        </w:rPr>
        <w:t>102. §</w:t>
      </w:r>
      <w:r w:rsidRPr="000250FA">
        <w:rPr>
          <w:bCs/>
          <w:sz w:val="22"/>
          <w:szCs w:val="22"/>
        </w:rPr>
        <w:t xml:space="preserve"> (1) Az átadás-átvételről jegyzőkönyvet kell készíteni, amelynek tartalmaznia kell:</w:t>
      </w:r>
    </w:p>
    <w:p w14:paraId="4FB2867D" w14:textId="77777777" w:rsidR="00893D5B" w:rsidRPr="000250FA" w:rsidRDefault="00893D5B" w:rsidP="00893D5B">
      <w:pPr>
        <w:tabs>
          <w:tab w:val="left" w:pos="9781"/>
        </w:tabs>
        <w:ind w:left="561" w:right="-144"/>
        <w:jc w:val="both"/>
        <w:rPr>
          <w:bCs/>
          <w:sz w:val="22"/>
          <w:szCs w:val="22"/>
        </w:rPr>
      </w:pPr>
    </w:p>
    <w:p w14:paraId="0EDE5263" w14:textId="77777777" w:rsidR="00893D5B" w:rsidRPr="000250FA" w:rsidRDefault="00893D5B" w:rsidP="00F83E93">
      <w:pPr>
        <w:numPr>
          <w:ilvl w:val="0"/>
          <w:numId w:val="108"/>
        </w:numPr>
        <w:jc w:val="both"/>
        <w:rPr>
          <w:sz w:val="22"/>
          <w:szCs w:val="22"/>
        </w:rPr>
      </w:pPr>
      <w:r w:rsidRPr="000250FA">
        <w:rPr>
          <w:sz w:val="22"/>
          <w:szCs w:val="22"/>
        </w:rPr>
        <w:t>a jegyzőkönyv felvételének időpontját,</w:t>
      </w:r>
    </w:p>
    <w:p w14:paraId="020B65CD" w14:textId="77777777" w:rsidR="00893D5B" w:rsidRPr="000250FA" w:rsidRDefault="00893D5B" w:rsidP="00F83E93">
      <w:pPr>
        <w:numPr>
          <w:ilvl w:val="0"/>
          <w:numId w:val="108"/>
        </w:numPr>
        <w:jc w:val="both"/>
        <w:rPr>
          <w:sz w:val="22"/>
          <w:szCs w:val="22"/>
        </w:rPr>
      </w:pPr>
      <w:r w:rsidRPr="000250FA">
        <w:rPr>
          <w:sz w:val="22"/>
          <w:szCs w:val="22"/>
        </w:rPr>
        <w:t>az átadás-átvételben résztvevő személyek nevét, beosztását,</w:t>
      </w:r>
    </w:p>
    <w:p w14:paraId="0A4D280B" w14:textId="77777777" w:rsidR="00893D5B" w:rsidRPr="000250FA" w:rsidRDefault="00893D5B" w:rsidP="00F83E93">
      <w:pPr>
        <w:numPr>
          <w:ilvl w:val="0"/>
          <w:numId w:val="108"/>
        </w:numPr>
        <w:jc w:val="both"/>
        <w:rPr>
          <w:sz w:val="22"/>
          <w:szCs w:val="22"/>
        </w:rPr>
      </w:pPr>
      <w:r w:rsidRPr="000250FA">
        <w:rPr>
          <w:sz w:val="22"/>
          <w:szCs w:val="22"/>
        </w:rPr>
        <w:t xml:space="preserve">a vezetői feladattal kapcsolatos általános jellegű </w:t>
      </w:r>
      <w:proofErr w:type="gramStart"/>
      <w:r w:rsidRPr="000250FA">
        <w:rPr>
          <w:sz w:val="22"/>
          <w:szCs w:val="22"/>
        </w:rPr>
        <w:t>információkat</w:t>
      </w:r>
      <w:proofErr w:type="gramEnd"/>
      <w:r w:rsidRPr="000250FA">
        <w:rPr>
          <w:sz w:val="22"/>
          <w:szCs w:val="22"/>
        </w:rPr>
        <w:t>,</w:t>
      </w:r>
    </w:p>
    <w:p w14:paraId="4D05D4D0" w14:textId="77777777" w:rsidR="00893D5B" w:rsidRPr="000250FA" w:rsidRDefault="00893D5B" w:rsidP="00F83E93">
      <w:pPr>
        <w:numPr>
          <w:ilvl w:val="0"/>
          <w:numId w:val="108"/>
        </w:numPr>
        <w:jc w:val="both"/>
        <w:rPr>
          <w:sz w:val="22"/>
          <w:szCs w:val="22"/>
        </w:rPr>
      </w:pPr>
      <w:r w:rsidRPr="000250FA">
        <w:rPr>
          <w:sz w:val="22"/>
          <w:szCs w:val="22"/>
        </w:rPr>
        <w:t>a folyamatban lévő ügyeket és az azokban megtett, illetve megteendő intézkedéseket,</w:t>
      </w:r>
    </w:p>
    <w:p w14:paraId="73C1FD7A" w14:textId="77777777" w:rsidR="00893D5B" w:rsidRPr="000250FA" w:rsidRDefault="00893D5B" w:rsidP="00F83E93">
      <w:pPr>
        <w:numPr>
          <w:ilvl w:val="0"/>
          <w:numId w:val="108"/>
        </w:numPr>
        <w:jc w:val="both"/>
        <w:rPr>
          <w:sz w:val="22"/>
          <w:szCs w:val="22"/>
        </w:rPr>
      </w:pPr>
      <w:r w:rsidRPr="000250FA">
        <w:rPr>
          <w:sz w:val="22"/>
          <w:szCs w:val="22"/>
        </w:rPr>
        <w:t>minden, a vezetői feladat ellátása szempontjából fontos adatot és körülményt, különös tekintettel a kötelezettségvállalásokra,</w:t>
      </w:r>
    </w:p>
    <w:p w14:paraId="74261EA3" w14:textId="77777777" w:rsidR="00893D5B" w:rsidRPr="000250FA" w:rsidRDefault="00893D5B" w:rsidP="00F83E93">
      <w:pPr>
        <w:numPr>
          <w:ilvl w:val="0"/>
          <w:numId w:val="108"/>
        </w:numPr>
        <w:jc w:val="both"/>
        <w:rPr>
          <w:sz w:val="22"/>
          <w:szCs w:val="22"/>
        </w:rPr>
      </w:pPr>
      <w:r w:rsidRPr="000250FA">
        <w:rPr>
          <w:sz w:val="22"/>
          <w:szCs w:val="22"/>
        </w:rPr>
        <w:t>az átadásra kerülő iratok, bélyegzők, kulcsok és eszközök tételes listáját,</w:t>
      </w:r>
    </w:p>
    <w:p w14:paraId="75725403" w14:textId="77777777" w:rsidR="00893D5B" w:rsidRPr="000250FA" w:rsidRDefault="00893D5B" w:rsidP="00F83E93">
      <w:pPr>
        <w:numPr>
          <w:ilvl w:val="0"/>
          <w:numId w:val="108"/>
        </w:numPr>
        <w:jc w:val="both"/>
        <w:rPr>
          <w:sz w:val="22"/>
          <w:szCs w:val="22"/>
        </w:rPr>
      </w:pPr>
      <w:r w:rsidRPr="000250FA">
        <w:rPr>
          <w:sz w:val="22"/>
          <w:szCs w:val="22"/>
        </w:rPr>
        <w:t>az átadó, illetve az átvevő észrevételeit,</w:t>
      </w:r>
    </w:p>
    <w:p w14:paraId="3E0E0095" w14:textId="77777777" w:rsidR="00893D5B" w:rsidRPr="000250FA" w:rsidRDefault="00893D5B" w:rsidP="00F83E93">
      <w:pPr>
        <w:numPr>
          <w:ilvl w:val="0"/>
          <w:numId w:val="108"/>
        </w:numPr>
        <w:jc w:val="both"/>
        <w:rPr>
          <w:sz w:val="22"/>
          <w:szCs w:val="22"/>
        </w:rPr>
      </w:pPr>
      <w:r w:rsidRPr="000250FA">
        <w:rPr>
          <w:sz w:val="22"/>
          <w:szCs w:val="22"/>
        </w:rPr>
        <w:t>az eljárásban résztvevők aláírását.</w:t>
      </w:r>
    </w:p>
    <w:p w14:paraId="3A3939F5" w14:textId="77777777" w:rsidR="00893D5B" w:rsidRPr="000250FA" w:rsidRDefault="00893D5B" w:rsidP="00893D5B">
      <w:pPr>
        <w:tabs>
          <w:tab w:val="left" w:pos="9781"/>
        </w:tabs>
        <w:ind w:right="-144"/>
        <w:rPr>
          <w:bCs/>
          <w:sz w:val="22"/>
          <w:szCs w:val="22"/>
        </w:rPr>
      </w:pPr>
    </w:p>
    <w:p w14:paraId="40714013" w14:textId="77777777" w:rsidR="00893D5B" w:rsidRPr="000250FA" w:rsidRDefault="00893D5B" w:rsidP="00893D5B">
      <w:pPr>
        <w:tabs>
          <w:tab w:val="left" w:pos="9781"/>
        </w:tabs>
        <w:ind w:right="-144"/>
        <w:jc w:val="both"/>
        <w:rPr>
          <w:bCs/>
          <w:sz w:val="22"/>
          <w:szCs w:val="22"/>
        </w:rPr>
      </w:pPr>
      <w:r w:rsidRPr="000250FA">
        <w:rPr>
          <w:bCs/>
          <w:sz w:val="22"/>
          <w:szCs w:val="22"/>
        </w:rPr>
        <w:t>(2)</w:t>
      </w:r>
      <w:r w:rsidRPr="000250FA">
        <w:rPr>
          <w:b/>
          <w:bCs/>
          <w:sz w:val="22"/>
          <w:szCs w:val="22"/>
          <w:vertAlign w:val="superscript"/>
        </w:rPr>
        <w:footnoteReference w:id="366"/>
      </w:r>
      <w:r w:rsidRPr="000250FA">
        <w:rPr>
          <w:bCs/>
          <w:sz w:val="22"/>
          <w:szCs w:val="22"/>
        </w:rPr>
        <w:t>Az átadás-átvételi jegyzőkönyv felvételénél, illetve aláírásánál jelen kell lennie az új vezető felett munkáltatói jogkört gyakorló és a kancellár által megbízott személynek is, a jegyzőkönyv az ő ellenjegyzésükkel hiteles.</w:t>
      </w:r>
    </w:p>
    <w:p w14:paraId="53B3EB19" w14:textId="77777777" w:rsidR="00893D5B" w:rsidRPr="000250FA" w:rsidRDefault="00893D5B" w:rsidP="00893D5B">
      <w:pPr>
        <w:tabs>
          <w:tab w:val="left" w:pos="9781"/>
        </w:tabs>
        <w:ind w:right="-144"/>
        <w:jc w:val="both"/>
        <w:rPr>
          <w:bCs/>
          <w:sz w:val="22"/>
          <w:szCs w:val="22"/>
        </w:rPr>
      </w:pPr>
    </w:p>
    <w:p w14:paraId="384F01E3" w14:textId="77777777" w:rsidR="00893D5B" w:rsidRPr="000250FA" w:rsidRDefault="00893D5B" w:rsidP="00893D5B">
      <w:pPr>
        <w:tabs>
          <w:tab w:val="left" w:pos="9781"/>
        </w:tabs>
        <w:ind w:right="-144"/>
        <w:jc w:val="both"/>
        <w:rPr>
          <w:bCs/>
          <w:sz w:val="22"/>
          <w:szCs w:val="22"/>
        </w:rPr>
      </w:pPr>
      <w:r w:rsidRPr="000250FA">
        <w:rPr>
          <w:bCs/>
          <w:sz w:val="22"/>
          <w:szCs w:val="22"/>
        </w:rPr>
        <w:t>(3) A jegyzőkönyv három eredeti példányban készül, amelyből</w:t>
      </w:r>
    </w:p>
    <w:p w14:paraId="4A083935" w14:textId="77777777" w:rsidR="00893D5B" w:rsidRPr="000250FA" w:rsidRDefault="00893D5B" w:rsidP="00893D5B">
      <w:pPr>
        <w:tabs>
          <w:tab w:val="left" w:pos="9781"/>
        </w:tabs>
        <w:ind w:left="561" w:right="-144"/>
        <w:jc w:val="both"/>
        <w:rPr>
          <w:bCs/>
          <w:sz w:val="22"/>
          <w:szCs w:val="22"/>
        </w:rPr>
      </w:pPr>
    </w:p>
    <w:p w14:paraId="388774A1" w14:textId="77777777" w:rsidR="00893D5B" w:rsidRPr="000250FA" w:rsidRDefault="00893D5B" w:rsidP="00F83E93">
      <w:pPr>
        <w:numPr>
          <w:ilvl w:val="0"/>
          <w:numId w:val="109"/>
        </w:numPr>
        <w:jc w:val="both"/>
        <w:rPr>
          <w:sz w:val="22"/>
          <w:szCs w:val="22"/>
        </w:rPr>
      </w:pPr>
      <w:r w:rsidRPr="000250FA">
        <w:rPr>
          <w:sz w:val="22"/>
          <w:szCs w:val="22"/>
        </w:rPr>
        <w:t>egy példányt az átadó kap,</w:t>
      </w:r>
    </w:p>
    <w:p w14:paraId="3F921E2E" w14:textId="77777777" w:rsidR="00893D5B" w:rsidRPr="000250FA" w:rsidRDefault="00893D5B" w:rsidP="00F83E93">
      <w:pPr>
        <w:numPr>
          <w:ilvl w:val="0"/>
          <w:numId w:val="109"/>
        </w:numPr>
        <w:jc w:val="both"/>
        <w:rPr>
          <w:sz w:val="22"/>
          <w:szCs w:val="22"/>
        </w:rPr>
      </w:pPr>
      <w:r w:rsidRPr="000250FA">
        <w:rPr>
          <w:sz w:val="22"/>
          <w:szCs w:val="22"/>
        </w:rPr>
        <w:t>egy példányt az átvevő kap,</w:t>
      </w:r>
    </w:p>
    <w:p w14:paraId="639C8E72" w14:textId="77777777" w:rsidR="00893D5B" w:rsidRPr="000250FA" w:rsidRDefault="00893D5B" w:rsidP="00F83E93">
      <w:pPr>
        <w:numPr>
          <w:ilvl w:val="0"/>
          <w:numId w:val="109"/>
        </w:numPr>
        <w:jc w:val="both"/>
        <w:rPr>
          <w:sz w:val="22"/>
          <w:szCs w:val="22"/>
        </w:rPr>
      </w:pPr>
      <w:r w:rsidRPr="000250FA">
        <w:rPr>
          <w:sz w:val="22"/>
          <w:szCs w:val="22"/>
        </w:rPr>
        <w:t>egy példányt az irattárban kell elhelyezni.</w:t>
      </w:r>
    </w:p>
    <w:p w14:paraId="08118D0D" w14:textId="77777777" w:rsidR="00893D5B" w:rsidRPr="000250FA" w:rsidRDefault="00893D5B" w:rsidP="00893D5B">
      <w:pPr>
        <w:tabs>
          <w:tab w:val="left" w:pos="9781"/>
        </w:tabs>
        <w:ind w:right="-144"/>
        <w:jc w:val="both"/>
        <w:rPr>
          <w:bCs/>
          <w:sz w:val="22"/>
          <w:szCs w:val="22"/>
        </w:rPr>
      </w:pPr>
    </w:p>
    <w:p w14:paraId="245CD2D6" w14:textId="77777777" w:rsidR="00893D5B" w:rsidRPr="000250FA" w:rsidRDefault="00893D5B" w:rsidP="00893D5B">
      <w:pPr>
        <w:tabs>
          <w:tab w:val="left" w:pos="9781"/>
        </w:tabs>
        <w:ind w:right="-144"/>
        <w:jc w:val="both"/>
        <w:rPr>
          <w:bCs/>
          <w:sz w:val="22"/>
          <w:szCs w:val="22"/>
        </w:rPr>
      </w:pPr>
      <w:r w:rsidRPr="000250FA">
        <w:rPr>
          <w:b/>
          <w:bCs/>
          <w:sz w:val="22"/>
          <w:szCs w:val="22"/>
        </w:rPr>
        <w:t>103. §</w:t>
      </w:r>
      <w:r w:rsidRPr="000250FA">
        <w:rPr>
          <w:b/>
          <w:bCs/>
          <w:sz w:val="22"/>
          <w:szCs w:val="22"/>
          <w:vertAlign w:val="superscript"/>
        </w:rPr>
        <w:footnoteReference w:id="367"/>
      </w:r>
      <w:r w:rsidRPr="000250FA">
        <w:rPr>
          <w:bCs/>
          <w:sz w:val="22"/>
          <w:szCs w:val="22"/>
        </w:rPr>
        <w:t xml:space="preserve"> (1) Abban az esetben, ha az átadás-átvételi eljárással összefüggésben az átadó vagy az átvevő észrevételt tesz, akkor a jegyzőkönyvet munkáltatói jogkört gyakorló és a kancellár rendelkezésére kell bocsátani.</w:t>
      </w:r>
    </w:p>
    <w:p w14:paraId="18112E8A" w14:textId="77777777" w:rsidR="00893D5B" w:rsidRPr="000250FA" w:rsidRDefault="00893D5B" w:rsidP="00893D5B">
      <w:pPr>
        <w:tabs>
          <w:tab w:val="left" w:pos="9781"/>
        </w:tabs>
        <w:ind w:left="357" w:right="-144"/>
        <w:jc w:val="both"/>
        <w:rPr>
          <w:bCs/>
          <w:sz w:val="22"/>
          <w:szCs w:val="22"/>
        </w:rPr>
      </w:pPr>
    </w:p>
    <w:p w14:paraId="663332F5" w14:textId="77777777" w:rsidR="00893D5B" w:rsidRPr="000250FA" w:rsidRDefault="00893D5B" w:rsidP="00893D5B">
      <w:pPr>
        <w:tabs>
          <w:tab w:val="left" w:pos="9781"/>
        </w:tabs>
        <w:ind w:right="-144"/>
        <w:jc w:val="both"/>
        <w:rPr>
          <w:bCs/>
          <w:sz w:val="22"/>
          <w:szCs w:val="22"/>
        </w:rPr>
      </w:pPr>
      <w:r w:rsidRPr="000250FA">
        <w:rPr>
          <w:bCs/>
          <w:sz w:val="22"/>
          <w:szCs w:val="22"/>
        </w:rPr>
        <w:t>(2) Amennyiben a megtett észrevételek azt indokolják, akkor a munkáltatói jogkör gyakorlója vagy a kancellár kezdeményezi a szükséges vizsgálat elvégeztetését.</w:t>
      </w:r>
    </w:p>
    <w:p w14:paraId="5536BE24" w14:textId="77777777" w:rsidR="00893D5B" w:rsidRPr="000250FA" w:rsidRDefault="00893D5B" w:rsidP="00893D5B">
      <w:pPr>
        <w:tabs>
          <w:tab w:val="left" w:pos="9781"/>
        </w:tabs>
        <w:ind w:left="357" w:right="-144"/>
        <w:jc w:val="both"/>
        <w:rPr>
          <w:bCs/>
          <w:sz w:val="22"/>
          <w:szCs w:val="22"/>
        </w:rPr>
      </w:pPr>
    </w:p>
    <w:p w14:paraId="30293C74" w14:textId="77777777" w:rsidR="00893D5B" w:rsidRPr="000250FA" w:rsidRDefault="00893D5B" w:rsidP="00893D5B">
      <w:pPr>
        <w:tabs>
          <w:tab w:val="left" w:pos="9781"/>
        </w:tabs>
        <w:ind w:right="-144"/>
        <w:jc w:val="both"/>
        <w:rPr>
          <w:bCs/>
          <w:sz w:val="22"/>
          <w:szCs w:val="22"/>
        </w:rPr>
      </w:pPr>
      <w:r w:rsidRPr="000250FA">
        <w:rPr>
          <w:bCs/>
          <w:sz w:val="22"/>
          <w:szCs w:val="22"/>
        </w:rPr>
        <w:t>(3) A véleményeltérésből, észrevételből eredő vizsgálatnak az átadásra, illetve átvételre halasztó hatálya nincs.</w:t>
      </w:r>
    </w:p>
    <w:p w14:paraId="3900EBA8" w14:textId="77777777" w:rsidR="00893D5B" w:rsidRPr="000250FA" w:rsidRDefault="00893D5B" w:rsidP="00893D5B">
      <w:pPr>
        <w:tabs>
          <w:tab w:val="left" w:pos="9781"/>
        </w:tabs>
        <w:ind w:right="-144"/>
        <w:rPr>
          <w:b/>
          <w:sz w:val="22"/>
          <w:szCs w:val="22"/>
        </w:rPr>
      </w:pPr>
    </w:p>
    <w:p w14:paraId="735D6ABD" w14:textId="77777777" w:rsidR="00893D5B" w:rsidRPr="000250FA" w:rsidRDefault="00893D5B" w:rsidP="00893D5B">
      <w:pPr>
        <w:pStyle w:val="Cmsor4"/>
      </w:pPr>
      <w:bookmarkStart w:id="237" w:name="_Toc432753608"/>
      <w:r w:rsidRPr="000250FA">
        <w:t>A vezetői összeférhetetlenség szabályai</w:t>
      </w:r>
      <w:bookmarkEnd w:id="237"/>
    </w:p>
    <w:p w14:paraId="61D4C547" w14:textId="77777777" w:rsidR="00893D5B" w:rsidRPr="000250FA" w:rsidRDefault="00893D5B" w:rsidP="00893D5B">
      <w:pPr>
        <w:tabs>
          <w:tab w:val="left" w:pos="9781"/>
        </w:tabs>
        <w:ind w:right="-144"/>
        <w:jc w:val="both"/>
        <w:rPr>
          <w:sz w:val="22"/>
          <w:szCs w:val="22"/>
        </w:rPr>
      </w:pPr>
    </w:p>
    <w:p w14:paraId="3AA10EEF" w14:textId="77777777" w:rsidR="00893D5B" w:rsidRPr="000250FA" w:rsidRDefault="00893D5B" w:rsidP="00893D5B">
      <w:pPr>
        <w:tabs>
          <w:tab w:val="left" w:pos="9781"/>
        </w:tabs>
        <w:ind w:right="-144"/>
        <w:jc w:val="both"/>
        <w:rPr>
          <w:sz w:val="22"/>
          <w:szCs w:val="22"/>
        </w:rPr>
      </w:pPr>
      <w:r w:rsidRPr="000250FA">
        <w:rPr>
          <w:b/>
          <w:sz w:val="22"/>
          <w:szCs w:val="22"/>
        </w:rPr>
        <w:t>104. §</w:t>
      </w:r>
      <w:r w:rsidRPr="000250FA">
        <w:rPr>
          <w:sz w:val="22"/>
          <w:szCs w:val="22"/>
        </w:rPr>
        <w:t xml:space="preserve"> </w:t>
      </w:r>
      <w:r w:rsidRPr="000250FA">
        <w:rPr>
          <w:rStyle w:val="Lbjegyzet-hivatkozs"/>
          <w:sz w:val="22"/>
          <w:szCs w:val="22"/>
        </w:rPr>
        <w:footnoteReference w:id="368"/>
      </w:r>
      <w:r w:rsidRPr="000250FA">
        <w:rPr>
          <w:sz w:val="22"/>
          <w:szCs w:val="22"/>
        </w:rPr>
        <w:t xml:space="preserve"> </w:t>
      </w:r>
      <w:r w:rsidRPr="000250FA">
        <w:rPr>
          <w:rStyle w:val="Lbjegyzet-hivatkozs"/>
          <w:sz w:val="22"/>
          <w:szCs w:val="22"/>
        </w:rPr>
        <w:footnoteReference w:id="369"/>
      </w:r>
      <w:r w:rsidRPr="000250FA">
        <w:rPr>
          <w:sz w:val="22"/>
          <w:szCs w:val="22"/>
        </w:rPr>
        <w:t xml:space="preserve"> </w:t>
      </w:r>
      <w:r w:rsidRPr="000250FA">
        <w:rPr>
          <w:rStyle w:val="Lbjegyzet-hivatkozs"/>
          <w:sz w:val="22"/>
          <w:szCs w:val="22"/>
        </w:rPr>
        <w:footnoteReference w:id="370"/>
      </w:r>
      <w:r w:rsidRPr="000250FA">
        <w:rPr>
          <w:sz w:val="22"/>
          <w:szCs w:val="22"/>
        </w:rPr>
        <w:t>(1) A magasabb vezető, illetve vezető megbízásával összeférhetetlen</w:t>
      </w:r>
    </w:p>
    <w:p w14:paraId="4FC6AE01" w14:textId="77777777" w:rsidR="00893D5B" w:rsidRPr="000250FA" w:rsidRDefault="00893D5B" w:rsidP="00893D5B">
      <w:pPr>
        <w:tabs>
          <w:tab w:val="left" w:pos="9781"/>
        </w:tabs>
        <w:ind w:left="540" w:right="-144"/>
        <w:jc w:val="both"/>
        <w:rPr>
          <w:sz w:val="22"/>
          <w:szCs w:val="22"/>
        </w:rPr>
      </w:pPr>
    </w:p>
    <w:p w14:paraId="140E4BA3" w14:textId="77777777" w:rsidR="00893D5B" w:rsidRPr="000250FA" w:rsidRDefault="00893D5B" w:rsidP="00F83E93">
      <w:pPr>
        <w:numPr>
          <w:ilvl w:val="0"/>
          <w:numId w:val="110"/>
        </w:numPr>
        <w:jc w:val="both"/>
        <w:rPr>
          <w:sz w:val="22"/>
          <w:szCs w:val="22"/>
        </w:rPr>
      </w:pPr>
      <w:r w:rsidRPr="000250FA">
        <w:rPr>
          <w:sz w:val="22"/>
          <w:szCs w:val="22"/>
        </w:rPr>
        <w:t>ha hozzátartozójával irányítási (felügyeleti), ellenőrzési vagy elszámolási kapcsolatba kerülne,</w:t>
      </w:r>
    </w:p>
    <w:p w14:paraId="03785594" w14:textId="77777777" w:rsidR="00893D5B" w:rsidRPr="000250FA" w:rsidRDefault="00893D5B" w:rsidP="00F83E93">
      <w:pPr>
        <w:numPr>
          <w:ilvl w:val="0"/>
          <w:numId w:val="110"/>
        </w:numPr>
        <w:jc w:val="both"/>
        <w:rPr>
          <w:sz w:val="22"/>
          <w:szCs w:val="22"/>
        </w:rPr>
      </w:pPr>
      <w:r w:rsidRPr="000250FA">
        <w:rPr>
          <w:sz w:val="22"/>
          <w:szCs w:val="22"/>
        </w:rPr>
        <w:lastRenderedPageBreak/>
        <w:t>a munkáltató tevékenységével azonos vagy ahhoz hasonló tevékenységet is végző vagy az Egyetemmel rendszeres gazdasági kapcsolatban álló más gazdasági társaságban betöltött vezető tisztségviselői, felügyelőbizottsági tagság.</w:t>
      </w:r>
    </w:p>
    <w:p w14:paraId="3A77CC6F" w14:textId="77777777" w:rsidR="00893D5B" w:rsidRPr="000250FA" w:rsidRDefault="00893D5B" w:rsidP="00893D5B">
      <w:pPr>
        <w:rPr>
          <w:sz w:val="22"/>
          <w:szCs w:val="22"/>
        </w:rPr>
      </w:pPr>
    </w:p>
    <w:p w14:paraId="20EA849C" w14:textId="77777777" w:rsidR="00893D5B" w:rsidRPr="000250FA" w:rsidRDefault="00893D5B" w:rsidP="00893D5B">
      <w:pPr>
        <w:tabs>
          <w:tab w:val="left" w:pos="9781"/>
        </w:tabs>
        <w:jc w:val="both"/>
        <w:rPr>
          <w:rFonts w:eastAsia="Calibri"/>
          <w:sz w:val="22"/>
          <w:szCs w:val="22"/>
          <w:lang w:eastAsia="en-US"/>
        </w:rPr>
      </w:pPr>
      <w:r w:rsidRPr="000250FA">
        <w:rPr>
          <w:sz w:val="22"/>
          <w:szCs w:val="22"/>
        </w:rPr>
        <w:t>(2) A felsőoktatási intézményben a magasabb vezető és a vezető megbízásával nem összeférhetetlen a felügyelőbizottsági</w:t>
      </w:r>
      <w:r w:rsidRPr="000250FA">
        <w:rPr>
          <w:b/>
          <w:sz w:val="22"/>
          <w:szCs w:val="22"/>
        </w:rPr>
        <w:t xml:space="preserve">, </w:t>
      </w:r>
      <w:r w:rsidRPr="000250FA">
        <w:rPr>
          <w:sz w:val="22"/>
          <w:szCs w:val="22"/>
        </w:rPr>
        <w:t>igazgatósági tagság gazdasági társaságban</w:t>
      </w:r>
      <w:r w:rsidRPr="000250FA">
        <w:rPr>
          <w:rFonts w:eastAsia="Calibri"/>
          <w:b/>
          <w:i/>
          <w:lang w:eastAsia="en-US"/>
        </w:rPr>
        <w:t xml:space="preserve"> </w:t>
      </w:r>
      <w:r w:rsidRPr="000250FA">
        <w:rPr>
          <w:rFonts w:eastAsia="Calibri"/>
          <w:sz w:val="22"/>
          <w:szCs w:val="22"/>
          <w:lang w:eastAsia="en-US"/>
        </w:rPr>
        <w:t>azzal, hogy a magasabb vezetői vagy vezetői megbízással rendelkező személy és a Munka Törvénykönyve szerinti hozzátartozója az intézményi gazdasági társaságnak nem lehet vezető tisztségviselője, könyvvizsgálója vagy felügyelőbizottsági tagja.</w:t>
      </w:r>
    </w:p>
    <w:p w14:paraId="5FEE16AF" w14:textId="77777777" w:rsidR="00893D5B" w:rsidRPr="000250FA" w:rsidRDefault="00893D5B" w:rsidP="00893D5B">
      <w:pPr>
        <w:tabs>
          <w:tab w:val="left" w:pos="9781"/>
        </w:tabs>
        <w:ind w:right="-144"/>
        <w:jc w:val="both"/>
        <w:rPr>
          <w:sz w:val="22"/>
          <w:szCs w:val="22"/>
        </w:rPr>
      </w:pPr>
    </w:p>
    <w:p w14:paraId="4BE91263" w14:textId="77777777" w:rsidR="00893D5B" w:rsidRPr="000250FA" w:rsidRDefault="00893D5B" w:rsidP="00893D5B">
      <w:pPr>
        <w:tabs>
          <w:tab w:val="left" w:pos="9781"/>
        </w:tabs>
        <w:ind w:right="-144"/>
        <w:jc w:val="both"/>
        <w:rPr>
          <w:b/>
          <w:i/>
          <w:sz w:val="22"/>
          <w:szCs w:val="22"/>
        </w:rPr>
      </w:pPr>
    </w:p>
    <w:p w14:paraId="47733F80" w14:textId="77777777" w:rsidR="00893D5B" w:rsidRPr="000250FA" w:rsidRDefault="00893D5B" w:rsidP="00893D5B">
      <w:pPr>
        <w:jc w:val="both"/>
        <w:rPr>
          <w:sz w:val="22"/>
          <w:szCs w:val="22"/>
        </w:rPr>
      </w:pPr>
      <w:r w:rsidRPr="000250FA">
        <w:rPr>
          <w:sz w:val="22"/>
          <w:szCs w:val="22"/>
        </w:rPr>
        <w:t>(3)</w:t>
      </w:r>
      <w:r w:rsidRPr="000250FA">
        <w:rPr>
          <w:rStyle w:val="Lbjegyzet-hivatkozs"/>
          <w:sz w:val="22"/>
          <w:szCs w:val="22"/>
        </w:rPr>
        <w:footnoteReference w:id="371"/>
      </w:r>
      <w:r w:rsidRPr="000250FA">
        <w:rPr>
          <w:sz w:val="22"/>
          <w:szCs w:val="22"/>
        </w:rPr>
        <w:t xml:space="preserve"> A köznevelési intézményben történő foglalkoztatás esetén nem összeférhetetlen, ha a magasabb vezető, vezető a Munka Törvénykönyve szerinti közeli hozzátartozójával irányítási, felügyeleti, ellenőrzési vagy elszámolási kapcsolatba kerülne.</w:t>
      </w:r>
    </w:p>
    <w:p w14:paraId="2B57DBAE" w14:textId="77777777" w:rsidR="00893D5B" w:rsidRPr="000250FA" w:rsidRDefault="00893D5B" w:rsidP="00893D5B">
      <w:pPr>
        <w:rPr>
          <w:b/>
          <w:bCs/>
          <w:sz w:val="22"/>
          <w:szCs w:val="22"/>
        </w:rPr>
      </w:pPr>
    </w:p>
    <w:p w14:paraId="6493754E" w14:textId="77777777" w:rsidR="00893D5B" w:rsidRPr="000250FA" w:rsidRDefault="00893D5B" w:rsidP="00893D5B">
      <w:pPr>
        <w:jc w:val="both"/>
        <w:rPr>
          <w:bCs/>
          <w:sz w:val="22"/>
          <w:szCs w:val="22"/>
        </w:rPr>
      </w:pPr>
      <w:r w:rsidRPr="000250FA">
        <w:rPr>
          <w:bCs/>
          <w:sz w:val="22"/>
          <w:szCs w:val="22"/>
        </w:rPr>
        <w:t>(4) Az összeférhetetlenségre vonatkozó követelmény</w:t>
      </w:r>
      <w:r w:rsidRPr="000250FA">
        <w:rPr>
          <w:bCs/>
          <w:i/>
          <w:sz w:val="22"/>
          <w:szCs w:val="22"/>
        </w:rPr>
        <w:t xml:space="preserve"> </w:t>
      </w:r>
      <w:r w:rsidRPr="000250FA">
        <w:rPr>
          <w:bCs/>
          <w:sz w:val="22"/>
          <w:szCs w:val="22"/>
        </w:rPr>
        <w:t>a megbízás egész időtartamára vonatkozik.</w:t>
      </w:r>
    </w:p>
    <w:p w14:paraId="08081C0A" w14:textId="77777777" w:rsidR="00893D5B" w:rsidRPr="000250FA" w:rsidRDefault="00893D5B" w:rsidP="00893D5B">
      <w:pPr>
        <w:jc w:val="both"/>
        <w:rPr>
          <w:sz w:val="22"/>
          <w:szCs w:val="22"/>
        </w:rPr>
      </w:pPr>
    </w:p>
    <w:p w14:paraId="3A2851EC" w14:textId="77777777" w:rsidR="00893D5B" w:rsidRPr="000250FA" w:rsidRDefault="00893D5B" w:rsidP="00893D5B">
      <w:pPr>
        <w:spacing w:line="259" w:lineRule="auto"/>
        <w:jc w:val="both"/>
        <w:rPr>
          <w:rFonts w:eastAsia="Calibri"/>
          <w:bCs/>
          <w:sz w:val="22"/>
          <w:szCs w:val="22"/>
          <w:lang w:eastAsia="en-US"/>
        </w:rPr>
      </w:pPr>
      <w:r w:rsidRPr="000250FA">
        <w:rPr>
          <w:rFonts w:eastAsia="Calibri"/>
          <w:bCs/>
          <w:sz w:val="22"/>
          <w:szCs w:val="22"/>
          <w:lang w:eastAsia="en-US"/>
        </w:rPr>
        <w:t>(5)</w:t>
      </w:r>
      <w:r w:rsidRPr="000250FA">
        <w:rPr>
          <w:rStyle w:val="Lbjegyzet-hivatkozs"/>
          <w:rFonts w:eastAsia="Calibri"/>
          <w:bCs/>
          <w:sz w:val="22"/>
          <w:szCs w:val="22"/>
          <w:lang w:eastAsia="en-US"/>
        </w:rPr>
        <w:footnoteReference w:id="372"/>
      </w:r>
      <w:r w:rsidRPr="000250FA">
        <w:rPr>
          <w:rFonts w:eastAsia="Calibri"/>
          <w:bCs/>
          <w:sz w:val="22"/>
          <w:szCs w:val="22"/>
          <w:lang w:eastAsia="en-US"/>
        </w:rPr>
        <w:t xml:space="preserve"> Az egészségügyi szolgáltató tevékenység körében betöltött magasabb vezetői vagy vezetői megbízásra a Kjt. 41. § (2) bekezdés a) pontja nem alkalmazható. A Kjt. 41. § (2) bekezdés b) pontjában és a Kjt. 41. § (3) bekezdésében foglaltak alapján a magasabb vezetői vagy vezetői megbízással rendelkező közalkalmazott – a szabályzat 37. § (9) bekezdésének megfelelően – a munkáltatóéval azonos vagy hasonló tevékenységet is végző, vagy a munkáltatóval rendszeres gazdasági kapcsolatban álló gazdasági társaságban betöltött vezető tisztségviselői jogviszonyt, felügyelő bizottsági tagságot a munkáltató fenntartójának jóváhagyásával létesíthet. A fenntartói döntés ellen munkaügyi jogvita kezdeményezhető. A fenntartói jóváhagyás megszerzésére irányuló eljárásrendet és okiratmintát a HR Kézikönyv tartalmazza.</w:t>
      </w:r>
    </w:p>
    <w:p w14:paraId="37DB9D9B" w14:textId="77777777" w:rsidR="00893D5B" w:rsidRPr="000250FA" w:rsidRDefault="00893D5B" w:rsidP="00893D5B">
      <w:pPr>
        <w:jc w:val="both"/>
        <w:rPr>
          <w:sz w:val="22"/>
          <w:szCs w:val="22"/>
        </w:rPr>
      </w:pPr>
    </w:p>
    <w:p w14:paraId="7F3A1919" w14:textId="77777777" w:rsidR="00893D5B" w:rsidRPr="000250FA" w:rsidRDefault="00893D5B" w:rsidP="00893D5B">
      <w:pPr>
        <w:jc w:val="both"/>
        <w:rPr>
          <w:b/>
          <w:sz w:val="22"/>
          <w:szCs w:val="22"/>
        </w:rPr>
      </w:pPr>
      <w:r w:rsidRPr="000250FA">
        <w:rPr>
          <w:b/>
          <w:sz w:val="22"/>
          <w:szCs w:val="22"/>
        </w:rPr>
        <w:t>105. §</w:t>
      </w:r>
      <w:r w:rsidRPr="000250FA">
        <w:rPr>
          <w:rStyle w:val="Lbjegyzet-hivatkozs"/>
          <w:sz w:val="22"/>
          <w:szCs w:val="22"/>
        </w:rPr>
        <w:footnoteReference w:id="373"/>
      </w:r>
    </w:p>
    <w:p w14:paraId="72E1D375" w14:textId="77777777" w:rsidR="00893D5B" w:rsidRPr="000250FA" w:rsidRDefault="00893D5B" w:rsidP="00893D5B">
      <w:pPr>
        <w:jc w:val="both"/>
        <w:rPr>
          <w:sz w:val="22"/>
          <w:szCs w:val="22"/>
        </w:rPr>
      </w:pPr>
    </w:p>
    <w:p w14:paraId="5C7A279D" w14:textId="77777777" w:rsidR="00893D5B" w:rsidRPr="000250FA" w:rsidRDefault="00893D5B" w:rsidP="00893D5B">
      <w:pPr>
        <w:jc w:val="both"/>
        <w:rPr>
          <w:bCs/>
          <w:sz w:val="22"/>
          <w:szCs w:val="22"/>
        </w:rPr>
      </w:pPr>
      <w:r w:rsidRPr="000250FA">
        <w:rPr>
          <w:b/>
          <w:sz w:val="22"/>
          <w:szCs w:val="22"/>
        </w:rPr>
        <w:t>106. §</w:t>
      </w:r>
      <w:r w:rsidRPr="000250FA">
        <w:rPr>
          <w:sz w:val="22"/>
          <w:szCs w:val="22"/>
        </w:rPr>
        <w:t xml:space="preserve"> (1) A</w:t>
      </w:r>
      <w:r w:rsidRPr="000250FA">
        <w:rPr>
          <w:bCs/>
          <w:sz w:val="22"/>
          <w:szCs w:val="22"/>
        </w:rPr>
        <w:t xml:space="preserve"> közalkalmazottnak egyidejűleg egynél több magasabb vezető megbízás nem adható.</w:t>
      </w:r>
    </w:p>
    <w:p w14:paraId="554E9278" w14:textId="77777777" w:rsidR="00893D5B" w:rsidRPr="000250FA" w:rsidRDefault="00893D5B" w:rsidP="00893D5B">
      <w:pPr>
        <w:tabs>
          <w:tab w:val="left" w:pos="9781"/>
        </w:tabs>
        <w:autoSpaceDE w:val="0"/>
        <w:autoSpaceDN w:val="0"/>
        <w:adjustRightInd w:val="0"/>
        <w:ind w:right="-144"/>
        <w:jc w:val="both"/>
        <w:rPr>
          <w:sz w:val="22"/>
          <w:szCs w:val="22"/>
        </w:rPr>
      </w:pPr>
    </w:p>
    <w:p w14:paraId="4255D6AB"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(2) Ha az igazgatási feladatot ellátó hivatal vezetője teljes munkaidőben foglalkoztatott oktató, tanár vagy kutató, megbízatása idejére oktatói, kutatói tevékenységét részben vagy egészben szüneteltetheti.</w:t>
      </w:r>
    </w:p>
    <w:p w14:paraId="72192620" w14:textId="77777777" w:rsidR="00893D5B" w:rsidRPr="000250FA" w:rsidRDefault="00893D5B" w:rsidP="00893D5B">
      <w:pPr>
        <w:tabs>
          <w:tab w:val="left" w:pos="9781"/>
        </w:tabs>
        <w:ind w:right="-144"/>
        <w:jc w:val="both"/>
        <w:rPr>
          <w:sz w:val="22"/>
          <w:szCs w:val="22"/>
        </w:rPr>
      </w:pPr>
    </w:p>
    <w:p w14:paraId="49D888D1" w14:textId="77777777" w:rsidR="00893D5B" w:rsidRPr="000250FA" w:rsidRDefault="00893D5B" w:rsidP="00893D5B">
      <w:pPr>
        <w:tabs>
          <w:tab w:val="left" w:pos="9781"/>
        </w:tabs>
        <w:ind w:right="-144"/>
        <w:jc w:val="both"/>
        <w:rPr>
          <w:sz w:val="22"/>
          <w:szCs w:val="22"/>
        </w:rPr>
      </w:pPr>
      <w:r w:rsidRPr="000250FA">
        <w:rPr>
          <w:sz w:val="22"/>
          <w:szCs w:val="22"/>
        </w:rPr>
        <w:t>(3) A vezetői összeférhetetlenségi nyilatkozatot a HR Kézikönyv tartalmazza.</w:t>
      </w:r>
    </w:p>
    <w:p w14:paraId="1305A90C" w14:textId="77777777" w:rsidR="00893D5B" w:rsidRPr="000250FA" w:rsidRDefault="00893D5B" w:rsidP="00893D5B">
      <w:pPr>
        <w:tabs>
          <w:tab w:val="left" w:pos="9781"/>
        </w:tabs>
        <w:ind w:right="-144"/>
        <w:rPr>
          <w:b/>
          <w:i/>
          <w:sz w:val="22"/>
          <w:szCs w:val="22"/>
        </w:rPr>
      </w:pPr>
    </w:p>
    <w:p w14:paraId="5B32F325" w14:textId="77777777" w:rsidR="00893D5B" w:rsidRPr="000250FA" w:rsidRDefault="00893D5B" w:rsidP="00893D5B">
      <w:pPr>
        <w:pStyle w:val="Cmsor1"/>
      </w:pPr>
      <w:bookmarkStart w:id="238" w:name="_Toc432753609"/>
      <w:bookmarkStart w:id="239" w:name="_Toc444603568"/>
      <w:bookmarkStart w:id="240" w:name="_Toc445200828"/>
      <w:bookmarkStart w:id="241" w:name="_Toc58569551"/>
      <w:r w:rsidRPr="000250FA">
        <w:t>HATODIK RÉSZ</w:t>
      </w:r>
      <w:r w:rsidRPr="000250FA">
        <w:rPr>
          <w:rStyle w:val="Lbjegyzet-hivatkozs"/>
          <w:b w:val="0"/>
          <w:i/>
        </w:rPr>
        <w:footnoteReference w:id="374"/>
      </w:r>
      <w:bookmarkEnd w:id="238"/>
      <w:bookmarkEnd w:id="239"/>
      <w:bookmarkEnd w:id="240"/>
      <w:bookmarkEnd w:id="241"/>
    </w:p>
    <w:p w14:paraId="4CA6BEB6" w14:textId="77777777" w:rsidR="00893D5B" w:rsidRPr="000250FA" w:rsidRDefault="00893D5B" w:rsidP="00893D5B">
      <w:pPr>
        <w:tabs>
          <w:tab w:val="left" w:pos="9781"/>
        </w:tabs>
        <w:ind w:right="-144"/>
        <w:jc w:val="center"/>
        <w:rPr>
          <w:b/>
          <w:i/>
          <w:sz w:val="22"/>
          <w:szCs w:val="22"/>
        </w:rPr>
      </w:pPr>
    </w:p>
    <w:p w14:paraId="33EF3804" w14:textId="77777777" w:rsidR="00893D5B" w:rsidRPr="000250FA" w:rsidRDefault="00893D5B" w:rsidP="00893D5B">
      <w:pPr>
        <w:pStyle w:val="Cmsor2"/>
      </w:pPr>
      <w:bookmarkStart w:id="242" w:name="_Toc432753610"/>
      <w:bookmarkStart w:id="243" w:name="_Toc444603569"/>
      <w:bookmarkStart w:id="244" w:name="_Toc445200829"/>
      <w:bookmarkStart w:id="245" w:name="_Toc58569552"/>
      <w:r w:rsidRPr="000250FA">
        <w:t>A pályázati eljárás rendje</w:t>
      </w:r>
      <w:bookmarkEnd w:id="242"/>
      <w:bookmarkEnd w:id="243"/>
      <w:bookmarkEnd w:id="244"/>
      <w:bookmarkEnd w:id="245"/>
    </w:p>
    <w:p w14:paraId="7B44BA81" w14:textId="77777777" w:rsidR="00893D5B" w:rsidRPr="000250FA" w:rsidRDefault="00893D5B" w:rsidP="00893D5B">
      <w:pPr>
        <w:tabs>
          <w:tab w:val="left" w:pos="9781"/>
        </w:tabs>
        <w:ind w:right="-144"/>
        <w:jc w:val="center"/>
        <w:rPr>
          <w:b/>
          <w:sz w:val="22"/>
          <w:szCs w:val="22"/>
        </w:rPr>
      </w:pPr>
    </w:p>
    <w:p w14:paraId="16B3EAE4" w14:textId="77777777" w:rsidR="00893D5B" w:rsidRPr="000250FA" w:rsidRDefault="00893D5B" w:rsidP="00893D5B">
      <w:pPr>
        <w:pStyle w:val="Cmsor3"/>
      </w:pPr>
      <w:bookmarkStart w:id="246" w:name="_Toc432753611"/>
      <w:bookmarkStart w:id="247" w:name="_Toc444603570"/>
      <w:bookmarkStart w:id="248" w:name="_Toc445200830"/>
      <w:bookmarkStart w:id="249" w:name="_Toc58569553"/>
      <w:r w:rsidRPr="000250FA">
        <w:t>I. fejezet - A pályázati eljárás általános szabályai</w:t>
      </w:r>
      <w:bookmarkEnd w:id="246"/>
      <w:bookmarkEnd w:id="247"/>
      <w:bookmarkEnd w:id="248"/>
      <w:bookmarkEnd w:id="249"/>
    </w:p>
    <w:p w14:paraId="0F46E268" w14:textId="77777777" w:rsidR="00893D5B" w:rsidRPr="000250FA" w:rsidRDefault="00893D5B" w:rsidP="00893D5B">
      <w:pPr>
        <w:tabs>
          <w:tab w:val="left" w:pos="9781"/>
        </w:tabs>
        <w:ind w:right="-144"/>
        <w:jc w:val="both"/>
        <w:rPr>
          <w:b/>
          <w:i/>
          <w:sz w:val="22"/>
          <w:szCs w:val="22"/>
        </w:rPr>
      </w:pPr>
    </w:p>
    <w:p w14:paraId="2D685E63" w14:textId="77777777" w:rsidR="00893D5B" w:rsidRPr="000250FA" w:rsidRDefault="00893D5B" w:rsidP="00893D5B">
      <w:pPr>
        <w:tabs>
          <w:tab w:val="left" w:pos="9781"/>
        </w:tabs>
        <w:ind w:right="-144"/>
        <w:jc w:val="both"/>
        <w:rPr>
          <w:sz w:val="22"/>
          <w:szCs w:val="22"/>
        </w:rPr>
      </w:pPr>
      <w:r w:rsidRPr="000250FA">
        <w:rPr>
          <w:b/>
          <w:sz w:val="22"/>
          <w:szCs w:val="22"/>
        </w:rPr>
        <w:t>107. §</w:t>
      </w:r>
      <w:r w:rsidRPr="000250FA">
        <w:rPr>
          <w:rStyle w:val="Lbjegyzet-hivatkozs"/>
          <w:b/>
          <w:sz w:val="22"/>
          <w:szCs w:val="22"/>
        </w:rPr>
        <w:footnoteReference w:id="375"/>
      </w:r>
      <w:r w:rsidRPr="000250FA">
        <w:rPr>
          <w:b/>
          <w:i/>
          <w:sz w:val="22"/>
          <w:szCs w:val="22"/>
        </w:rPr>
        <w:t xml:space="preserve"> </w:t>
      </w:r>
      <w:r w:rsidRPr="000250FA">
        <w:rPr>
          <w:sz w:val="22"/>
          <w:szCs w:val="22"/>
        </w:rPr>
        <w:t xml:space="preserve">(1) Az Egyetemen közalkalmazotti jogviszony – a (2)-(3) bekezdésekben meghatározott kivételektől eltekintve – pályázat alapján létesíthető. Csak olyan közalkalmazottat lehet kinevezni, aki a </w:t>
      </w:r>
      <w:r w:rsidRPr="000250FA">
        <w:rPr>
          <w:sz w:val="22"/>
          <w:szCs w:val="22"/>
        </w:rPr>
        <w:lastRenderedPageBreak/>
        <w:t xml:space="preserve">pályázaton részt vett és a pályázati feltételeknek megfelelt. A pályázati eljárás –ezen belül a belső pályázat - részletes szabályait a vonatkozó utasítás tartalmazza. </w:t>
      </w:r>
    </w:p>
    <w:p w14:paraId="17F9D50F" w14:textId="77777777" w:rsidR="00893D5B" w:rsidRPr="000250FA" w:rsidRDefault="00893D5B" w:rsidP="00893D5B">
      <w:pPr>
        <w:tabs>
          <w:tab w:val="left" w:pos="9781"/>
        </w:tabs>
        <w:ind w:right="-144"/>
        <w:jc w:val="both"/>
        <w:rPr>
          <w:sz w:val="22"/>
          <w:szCs w:val="22"/>
        </w:rPr>
      </w:pPr>
    </w:p>
    <w:p w14:paraId="666F52CD" w14:textId="77777777" w:rsidR="00893D5B" w:rsidRPr="000250FA" w:rsidRDefault="00893D5B" w:rsidP="00893D5B">
      <w:pPr>
        <w:tabs>
          <w:tab w:val="left" w:pos="9781"/>
        </w:tabs>
        <w:ind w:right="-144"/>
        <w:jc w:val="both"/>
        <w:rPr>
          <w:sz w:val="22"/>
          <w:szCs w:val="22"/>
        </w:rPr>
      </w:pPr>
      <w:r w:rsidRPr="000250FA">
        <w:rPr>
          <w:sz w:val="22"/>
          <w:szCs w:val="22"/>
        </w:rPr>
        <w:t>(2) Az (1) bekezdésben meghatározottaktól eltérőn nem kell pályázatot kiírni:</w:t>
      </w:r>
    </w:p>
    <w:p w14:paraId="57C85EB5" w14:textId="77777777" w:rsidR="00893D5B" w:rsidRPr="000250FA" w:rsidRDefault="00893D5B" w:rsidP="00893D5B">
      <w:pPr>
        <w:tabs>
          <w:tab w:val="left" w:pos="9781"/>
        </w:tabs>
        <w:autoSpaceDE w:val="0"/>
        <w:autoSpaceDN w:val="0"/>
        <w:adjustRightInd w:val="0"/>
        <w:ind w:left="540" w:right="-144"/>
        <w:jc w:val="both"/>
        <w:rPr>
          <w:b/>
          <w:i/>
          <w:sz w:val="22"/>
          <w:szCs w:val="22"/>
        </w:rPr>
      </w:pPr>
    </w:p>
    <w:p w14:paraId="3CE63699" w14:textId="77777777" w:rsidR="00893D5B" w:rsidRPr="000250FA" w:rsidRDefault="00893D5B" w:rsidP="00F83E93">
      <w:pPr>
        <w:numPr>
          <w:ilvl w:val="0"/>
          <w:numId w:val="111"/>
        </w:numPr>
        <w:jc w:val="both"/>
        <w:rPr>
          <w:sz w:val="22"/>
          <w:szCs w:val="22"/>
        </w:rPr>
      </w:pPr>
      <w:r w:rsidRPr="000250FA">
        <w:rPr>
          <w:sz w:val="22"/>
          <w:szCs w:val="22"/>
        </w:rPr>
        <w:t>áthelyezés esetén,</w:t>
      </w:r>
    </w:p>
    <w:p w14:paraId="66C9542F" w14:textId="77777777" w:rsidR="00893D5B" w:rsidRPr="000250FA" w:rsidRDefault="00893D5B" w:rsidP="00F83E93">
      <w:pPr>
        <w:numPr>
          <w:ilvl w:val="0"/>
          <w:numId w:val="111"/>
        </w:numPr>
        <w:jc w:val="both"/>
        <w:rPr>
          <w:sz w:val="22"/>
          <w:szCs w:val="22"/>
        </w:rPr>
      </w:pPr>
      <w:r w:rsidRPr="000250FA">
        <w:rPr>
          <w:sz w:val="22"/>
          <w:szCs w:val="22"/>
        </w:rPr>
        <w:t>olyan munkakör esetén, amely tekintetében - kilencven napon belül - már legalább két alkalommal eredménytelenül került sor pályázati felhívás kiírására,</w:t>
      </w:r>
    </w:p>
    <w:p w14:paraId="54AF8FA6" w14:textId="77777777" w:rsidR="00893D5B" w:rsidRPr="000250FA" w:rsidRDefault="00893D5B" w:rsidP="00F83E93">
      <w:pPr>
        <w:numPr>
          <w:ilvl w:val="0"/>
          <w:numId w:val="111"/>
        </w:numPr>
        <w:jc w:val="both"/>
        <w:rPr>
          <w:sz w:val="22"/>
          <w:szCs w:val="22"/>
        </w:rPr>
      </w:pPr>
      <w:r w:rsidRPr="000250FA">
        <w:rPr>
          <w:sz w:val="22"/>
          <w:szCs w:val="22"/>
        </w:rPr>
        <w:t>ha a munkakör haladéktalan betöltése a folyamatos ellátás biztonságos megszervezéséhez elengedhetetlenül szükséges, és a folyamatos működéshez szükséges személyi feltételek más munkaszervezési eszközökkel nem biztosíthatók,</w:t>
      </w:r>
    </w:p>
    <w:p w14:paraId="6E26C7D1" w14:textId="77777777" w:rsidR="00893D5B" w:rsidRPr="000250FA" w:rsidRDefault="00893D5B" w:rsidP="00F83E93">
      <w:pPr>
        <w:numPr>
          <w:ilvl w:val="0"/>
          <w:numId w:val="111"/>
        </w:numPr>
        <w:jc w:val="both"/>
        <w:rPr>
          <w:sz w:val="22"/>
          <w:szCs w:val="22"/>
        </w:rPr>
      </w:pPr>
      <w:r w:rsidRPr="000250FA">
        <w:rPr>
          <w:sz w:val="22"/>
          <w:szCs w:val="22"/>
        </w:rPr>
        <w:t>ha a munkáltatónál ösztöndíjas foglalkoztatási jogviszonyban legalább kilenc hónapig foglalkoztatott személlyel az ösztöndíjas foglalkoztatási jogviszony megszűnését követő egy hónapon belül létesítenek közalkalmazotti jogviszonyt, feltéve, hogy az ösztöndíjas foglalkoztatottként ellátott feladatai részét képezték a kinevezésében foglalt munkakörének, és az ösztöndíjas foglalkoztatási jogviszony nem a munkáltató azonnali hatályú felmondásával szűnt meg,</w:t>
      </w:r>
    </w:p>
    <w:p w14:paraId="60CC8812" w14:textId="77777777" w:rsidR="00893D5B" w:rsidRPr="000250FA" w:rsidRDefault="00893D5B" w:rsidP="00F83E93">
      <w:pPr>
        <w:numPr>
          <w:ilvl w:val="0"/>
          <w:numId w:val="111"/>
        </w:numPr>
        <w:jc w:val="both"/>
        <w:rPr>
          <w:sz w:val="22"/>
          <w:szCs w:val="22"/>
        </w:rPr>
      </w:pPr>
      <w:r w:rsidRPr="000250FA">
        <w:rPr>
          <w:sz w:val="22"/>
          <w:szCs w:val="22"/>
        </w:rPr>
        <w:t>helyettesítésre vagy meghatározott munka elvégzésére, illetve feladat ellátására szóló határozott idejű kinevezés esetén, vagy</w:t>
      </w:r>
    </w:p>
    <w:p w14:paraId="218D1127" w14:textId="77777777" w:rsidR="00893D5B" w:rsidRPr="000250FA" w:rsidRDefault="00893D5B" w:rsidP="00F83E93">
      <w:pPr>
        <w:numPr>
          <w:ilvl w:val="0"/>
          <w:numId w:val="111"/>
        </w:numPr>
        <w:jc w:val="both"/>
        <w:rPr>
          <w:sz w:val="22"/>
          <w:szCs w:val="22"/>
        </w:rPr>
      </w:pPr>
      <w:r w:rsidRPr="000250FA">
        <w:rPr>
          <w:sz w:val="22"/>
          <w:szCs w:val="22"/>
        </w:rPr>
        <w:t>ha ezt végrehajtási jogszabály előírja.</w:t>
      </w:r>
    </w:p>
    <w:p w14:paraId="3BD7CD40" w14:textId="77777777" w:rsidR="00893D5B" w:rsidRPr="000250FA" w:rsidRDefault="00893D5B" w:rsidP="00893D5B">
      <w:pPr>
        <w:tabs>
          <w:tab w:val="left" w:pos="8025"/>
          <w:tab w:val="left" w:pos="9781"/>
        </w:tabs>
        <w:autoSpaceDE w:val="0"/>
        <w:autoSpaceDN w:val="0"/>
        <w:adjustRightInd w:val="0"/>
        <w:ind w:right="-144"/>
        <w:jc w:val="both"/>
        <w:rPr>
          <w:sz w:val="22"/>
          <w:szCs w:val="22"/>
        </w:rPr>
      </w:pPr>
      <w:r w:rsidRPr="000250FA">
        <w:rPr>
          <w:sz w:val="22"/>
          <w:szCs w:val="22"/>
        </w:rPr>
        <w:t>Jelen bekezdés szerinti kivételek a magasabb vezetői, vezetői pályázatokra nem alkalmazhatóak.</w:t>
      </w:r>
    </w:p>
    <w:p w14:paraId="60E9E00C" w14:textId="77777777" w:rsidR="00893D5B" w:rsidRDefault="00893D5B" w:rsidP="00893D5B">
      <w:pPr>
        <w:tabs>
          <w:tab w:val="left" w:pos="8025"/>
          <w:tab w:val="left" w:pos="9781"/>
        </w:tabs>
        <w:autoSpaceDE w:val="0"/>
        <w:autoSpaceDN w:val="0"/>
        <w:adjustRightInd w:val="0"/>
        <w:ind w:left="540" w:right="-144"/>
        <w:jc w:val="both"/>
        <w:rPr>
          <w:sz w:val="22"/>
          <w:szCs w:val="22"/>
        </w:rPr>
      </w:pPr>
    </w:p>
    <w:p w14:paraId="0745175C" w14:textId="77777777" w:rsidR="00385CF2" w:rsidRPr="000250FA" w:rsidRDefault="00385CF2" w:rsidP="00893D5B">
      <w:pPr>
        <w:tabs>
          <w:tab w:val="left" w:pos="8025"/>
          <w:tab w:val="left" w:pos="9781"/>
        </w:tabs>
        <w:autoSpaceDE w:val="0"/>
        <w:autoSpaceDN w:val="0"/>
        <w:adjustRightInd w:val="0"/>
        <w:ind w:left="540" w:right="-144"/>
        <w:jc w:val="both"/>
        <w:rPr>
          <w:sz w:val="22"/>
          <w:szCs w:val="22"/>
        </w:rPr>
      </w:pPr>
    </w:p>
    <w:p w14:paraId="009DE696" w14:textId="77777777" w:rsidR="00893D5B" w:rsidRPr="000250FA" w:rsidRDefault="00893D5B" w:rsidP="00893D5B">
      <w:pPr>
        <w:tabs>
          <w:tab w:val="left" w:pos="9781"/>
        </w:tabs>
        <w:ind w:right="-144"/>
        <w:jc w:val="both"/>
        <w:rPr>
          <w:sz w:val="22"/>
          <w:szCs w:val="22"/>
        </w:rPr>
      </w:pPr>
      <w:r w:rsidRPr="000250FA">
        <w:rPr>
          <w:sz w:val="22"/>
          <w:szCs w:val="22"/>
        </w:rPr>
        <w:t>(3) Az (2) bekezdés f) pontja alapján az (1) bekezdésben foglaltakon túl nem kötelező pályázat kiírása</w:t>
      </w:r>
    </w:p>
    <w:p w14:paraId="44A3CAE1" w14:textId="77777777" w:rsidR="00893D5B" w:rsidRPr="000250FA" w:rsidRDefault="00893D5B" w:rsidP="00893D5B">
      <w:pPr>
        <w:tabs>
          <w:tab w:val="left" w:pos="9781"/>
        </w:tabs>
        <w:ind w:right="-144"/>
        <w:jc w:val="both"/>
        <w:rPr>
          <w:sz w:val="22"/>
          <w:szCs w:val="22"/>
        </w:rPr>
      </w:pPr>
    </w:p>
    <w:p w14:paraId="5AAAF108" w14:textId="77777777" w:rsidR="00893D5B" w:rsidRPr="000250FA" w:rsidRDefault="00893D5B" w:rsidP="00F83E93">
      <w:pPr>
        <w:numPr>
          <w:ilvl w:val="0"/>
          <w:numId w:val="112"/>
        </w:numPr>
        <w:rPr>
          <w:sz w:val="22"/>
          <w:szCs w:val="22"/>
        </w:rPr>
      </w:pPr>
      <w:r w:rsidRPr="000250FA">
        <w:rPr>
          <w:sz w:val="22"/>
          <w:szCs w:val="22"/>
        </w:rPr>
        <w:t>a közművelődés, közgyűjtemény területén</w:t>
      </w:r>
    </w:p>
    <w:p w14:paraId="6AED964C" w14:textId="77777777" w:rsidR="00893D5B" w:rsidRPr="000250FA" w:rsidRDefault="00893D5B" w:rsidP="00893D5B">
      <w:pPr>
        <w:ind w:left="1080"/>
        <w:rPr>
          <w:sz w:val="22"/>
          <w:szCs w:val="22"/>
        </w:rPr>
      </w:pPr>
      <w:proofErr w:type="spellStart"/>
      <w:r w:rsidRPr="000250FA">
        <w:rPr>
          <w:sz w:val="22"/>
          <w:szCs w:val="22"/>
        </w:rPr>
        <w:t>aa</w:t>
      </w:r>
      <w:proofErr w:type="spellEnd"/>
      <w:r w:rsidRPr="000250FA">
        <w:rPr>
          <w:sz w:val="22"/>
          <w:szCs w:val="22"/>
        </w:rPr>
        <w:t>) a gazdasági, műszaki, igazgatási ügyintéző, az ügyviteli alkalmazott és a műszaki, fenntartási, üzemviteli alkalmazott, szakmunkás, segédmunkás, kisegítő alkalmazott munkakörök esetén,</w:t>
      </w:r>
    </w:p>
    <w:p w14:paraId="37ABCC02" w14:textId="77777777" w:rsidR="00893D5B" w:rsidRPr="000250FA" w:rsidRDefault="00893D5B" w:rsidP="00F83E93">
      <w:pPr>
        <w:numPr>
          <w:ilvl w:val="0"/>
          <w:numId w:val="112"/>
        </w:numPr>
        <w:rPr>
          <w:sz w:val="22"/>
          <w:szCs w:val="22"/>
        </w:rPr>
      </w:pPr>
      <w:r w:rsidRPr="000250FA">
        <w:rPr>
          <w:sz w:val="22"/>
          <w:szCs w:val="22"/>
        </w:rPr>
        <w:t>az egészségügyi szolgáltatónál</w:t>
      </w:r>
    </w:p>
    <w:p w14:paraId="54BE3FDE" w14:textId="77777777" w:rsidR="00893D5B" w:rsidRPr="000250FA" w:rsidRDefault="00893D5B" w:rsidP="00893D5B">
      <w:pPr>
        <w:ind w:left="1080"/>
        <w:rPr>
          <w:sz w:val="22"/>
          <w:szCs w:val="22"/>
        </w:rPr>
      </w:pPr>
      <w:proofErr w:type="spellStart"/>
      <w:r w:rsidRPr="000250FA">
        <w:rPr>
          <w:sz w:val="22"/>
          <w:szCs w:val="22"/>
        </w:rPr>
        <w:t>ba</w:t>
      </w:r>
      <w:proofErr w:type="spellEnd"/>
      <w:r w:rsidRPr="000250FA">
        <w:rPr>
          <w:sz w:val="22"/>
          <w:szCs w:val="22"/>
        </w:rPr>
        <w:t>) az egészségügyi felsőfokú szakirányú szakképesítés megszerzése érdekében, központi gyakornoki, rezidensi rendszerben létesített munkakör tekintetében,</w:t>
      </w:r>
    </w:p>
    <w:p w14:paraId="21A50B01" w14:textId="77777777" w:rsidR="00893D5B" w:rsidRPr="000250FA" w:rsidRDefault="00893D5B" w:rsidP="00893D5B">
      <w:pPr>
        <w:ind w:left="1080"/>
        <w:rPr>
          <w:sz w:val="22"/>
          <w:szCs w:val="22"/>
        </w:rPr>
      </w:pPr>
      <w:proofErr w:type="spellStart"/>
      <w:r w:rsidRPr="000250FA">
        <w:rPr>
          <w:sz w:val="22"/>
          <w:szCs w:val="22"/>
        </w:rPr>
        <w:t>bb</w:t>
      </w:r>
      <w:proofErr w:type="spellEnd"/>
      <w:r w:rsidRPr="000250FA">
        <w:rPr>
          <w:sz w:val="22"/>
          <w:szCs w:val="22"/>
        </w:rPr>
        <w:t>) azon munkakörök tekintetében, amelyeket A-D fizetési osztályba sorolással lehet betölteni,</w:t>
      </w:r>
    </w:p>
    <w:p w14:paraId="53A3F9A8" w14:textId="77777777" w:rsidR="00893D5B" w:rsidRPr="000250FA" w:rsidRDefault="00893D5B" w:rsidP="00F83E93">
      <w:pPr>
        <w:numPr>
          <w:ilvl w:val="0"/>
          <w:numId w:val="112"/>
        </w:numPr>
        <w:rPr>
          <w:sz w:val="22"/>
          <w:szCs w:val="22"/>
        </w:rPr>
      </w:pPr>
      <w:r w:rsidRPr="000250FA">
        <w:rPr>
          <w:sz w:val="22"/>
          <w:szCs w:val="22"/>
        </w:rPr>
        <w:t>a felsőoktatás területén</w:t>
      </w:r>
    </w:p>
    <w:p w14:paraId="54AD8922" w14:textId="77777777" w:rsidR="00893D5B" w:rsidRPr="000250FA" w:rsidRDefault="00893D5B" w:rsidP="00893D5B">
      <w:pPr>
        <w:ind w:left="1080"/>
        <w:rPr>
          <w:sz w:val="22"/>
          <w:szCs w:val="22"/>
        </w:rPr>
      </w:pPr>
      <w:proofErr w:type="spellStart"/>
      <w:r w:rsidRPr="000250FA">
        <w:rPr>
          <w:sz w:val="22"/>
          <w:szCs w:val="22"/>
        </w:rPr>
        <w:t>ca</w:t>
      </w:r>
      <w:proofErr w:type="spellEnd"/>
      <w:r w:rsidRPr="000250FA">
        <w:rPr>
          <w:sz w:val="22"/>
          <w:szCs w:val="22"/>
        </w:rPr>
        <w:t>) ügyintéző,</w:t>
      </w:r>
    </w:p>
    <w:p w14:paraId="2072B4CC" w14:textId="77777777" w:rsidR="00893D5B" w:rsidRPr="000250FA" w:rsidRDefault="00893D5B" w:rsidP="00893D5B">
      <w:pPr>
        <w:ind w:left="1080"/>
        <w:rPr>
          <w:sz w:val="22"/>
          <w:szCs w:val="22"/>
        </w:rPr>
      </w:pPr>
      <w:proofErr w:type="spellStart"/>
      <w:r w:rsidRPr="000250FA">
        <w:rPr>
          <w:sz w:val="22"/>
          <w:szCs w:val="22"/>
        </w:rPr>
        <w:t>cb</w:t>
      </w:r>
      <w:proofErr w:type="spellEnd"/>
      <w:r w:rsidRPr="000250FA">
        <w:rPr>
          <w:sz w:val="22"/>
          <w:szCs w:val="22"/>
        </w:rPr>
        <w:t>) ügyviteli,</w:t>
      </w:r>
    </w:p>
    <w:p w14:paraId="6B8EA89C" w14:textId="77777777" w:rsidR="00893D5B" w:rsidRPr="000250FA" w:rsidRDefault="00893D5B" w:rsidP="00893D5B">
      <w:pPr>
        <w:ind w:left="1080"/>
        <w:rPr>
          <w:sz w:val="22"/>
          <w:szCs w:val="22"/>
        </w:rPr>
      </w:pPr>
      <w:r w:rsidRPr="000250FA">
        <w:rPr>
          <w:sz w:val="22"/>
          <w:szCs w:val="22"/>
        </w:rPr>
        <w:t>cc) szakmai szolgáltató,</w:t>
      </w:r>
    </w:p>
    <w:p w14:paraId="5AE752D8" w14:textId="77777777" w:rsidR="00893D5B" w:rsidRPr="000250FA" w:rsidRDefault="00893D5B" w:rsidP="00893D5B">
      <w:pPr>
        <w:ind w:left="1080"/>
        <w:rPr>
          <w:sz w:val="22"/>
          <w:szCs w:val="22"/>
        </w:rPr>
      </w:pPr>
      <w:proofErr w:type="gramStart"/>
      <w:r w:rsidRPr="000250FA">
        <w:rPr>
          <w:sz w:val="22"/>
          <w:szCs w:val="22"/>
        </w:rPr>
        <w:t>cd</w:t>
      </w:r>
      <w:proofErr w:type="gramEnd"/>
      <w:r w:rsidRPr="000250FA">
        <w:rPr>
          <w:sz w:val="22"/>
          <w:szCs w:val="22"/>
        </w:rPr>
        <w:t>) műszaki szolgáltató</w:t>
      </w:r>
    </w:p>
    <w:p w14:paraId="77621124" w14:textId="77777777" w:rsidR="00893D5B" w:rsidRPr="000250FA" w:rsidRDefault="00893D5B" w:rsidP="00893D5B">
      <w:pPr>
        <w:tabs>
          <w:tab w:val="left" w:pos="9781"/>
        </w:tabs>
        <w:ind w:right="-144"/>
        <w:jc w:val="both"/>
        <w:rPr>
          <w:sz w:val="22"/>
          <w:szCs w:val="22"/>
        </w:rPr>
      </w:pPr>
      <w:proofErr w:type="gramStart"/>
      <w:r w:rsidRPr="000250FA">
        <w:rPr>
          <w:sz w:val="22"/>
          <w:szCs w:val="22"/>
        </w:rPr>
        <w:t>munkakörök</w:t>
      </w:r>
      <w:proofErr w:type="gramEnd"/>
      <w:r w:rsidRPr="000250FA">
        <w:rPr>
          <w:sz w:val="22"/>
          <w:szCs w:val="22"/>
        </w:rPr>
        <w:t xml:space="preserve"> tekintetében.</w:t>
      </w:r>
    </w:p>
    <w:p w14:paraId="083888C5" w14:textId="77777777" w:rsidR="00893D5B" w:rsidRPr="000250FA" w:rsidRDefault="00893D5B" w:rsidP="00893D5B">
      <w:pPr>
        <w:tabs>
          <w:tab w:val="left" w:pos="9781"/>
        </w:tabs>
        <w:ind w:right="-144"/>
        <w:jc w:val="both"/>
        <w:rPr>
          <w:sz w:val="22"/>
          <w:szCs w:val="22"/>
        </w:rPr>
      </w:pPr>
    </w:p>
    <w:p w14:paraId="7BE39640" w14:textId="77777777" w:rsidR="00893D5B" w:rsidRPr="000250FA" w:rsidRDefault="00893D5B" w:rsidP="00893D5B">
      <w:pPr>
        <w:tabs>
          <w:tab w:val="left" w:pos="9781"/>
        </w:tabs>
        <w:ind w:right="-144"/>
        <w:jc w:val="both"/>
        <w:rPr>
          <w:sz w:val="22"/>
          <w:szCs w:val="22"/>
        </w:rPr>
      </w:pPr>
      <w:r w:rsidRPr="000250FA">
        <w:rPr>
          <w:sz w:val="22"/>
          <w:szCs w:val="22"/>
        </w:rPr>
        <w:t xml:space="preserve">(4) Az (2)-(3) bekezdésekben foglalt esetekben a pályázati eljárás mellőzése feltételeinek fennállásáról a munkáltatói jogkör gyakorlója nyilatkozik. </w:t>
      </w:r>
    </w:p>
    <w:p w14:paraId="6508074A" w14:textId="77777777" w:rsidR="00893D5B" w:rsidRPr="000250FA" w:rsidRDefault="00893D5B" w:rsidP="00893D5B">
      <w:pPr>
        <w:tabs>
          <w:tab w:val="left" w:pos="9781"/>
        </w:tabs>
        <w:ind w:right="-144"/>
        <w:jc w:val="both"/>
        <w:rPr>
          <w:b/>
          <w:i/>
          <w:sz w:val="22"/>
          <w:szCs w:val="22"/>
        </w:rPr>
      </w:pPr>
    </w:p>
    <w:p w14:paraId="000C8D69" w14:textId="6CF3BC36" w:rsidR="00893D5B" w:rsidRPr="000250FA" w:rsidRDefault="00893D5B" w:rsidP="00893D5B">
      <w:pPr>
        <w:tabs>
          <w:tab w:val="left" w:pos="9781"/>
        </w:tabs>
        <w:ind w:right="-144"/>
        <w:jc w:val="both"/>
        <w:rPr>
          <w:sz w:val="22"/>
          <w:szCs w:val="22"/>
        </w:rPr>
      </w:pPr>
      <w:r w:rsidRPr="000250FA">
        <w:rPr>
          <w:sz w:val="22"/>
          <w:szCs w:val="22"/>
        </w:rPr>
        <w:t xml:space="preserve">(5) A (3) a), </w:t>
      </w:r>
      <w:proofErr w:type="spellStart"/>
      <w:r w:rsidRPr="000250FA">
        <w:rPr>
          <w:sz w:val="22"/>
          <w:szCs w:val="22"/>
        </w:rPr>
        <w:t>bb</w:t>
      </w:r>
      <w:proofErr w:type="spellEnd"/>
      <w:r w:rsidRPr="000250FA">
        <w:rPr>
          <w:sz w:val="22"/>
          <w:szCs w:val="22"/>
        </w:rPr>
        <w:t xml:space="preserve">), c) szerinti esetekben a pályáztatás nélküli betöltést – erre vonatkozó munkáltatói igény esetén - meg kell előznie belső pályázat lefolytatásának. A belső pályázati hirdetményeket a Humánpolitikai </w:t>
      </w:r>
      <w:r w:rsidR="00734D33" w:rsidRPr="0078578F">
        <w:rPr>
          <w:bCs/>
          <w:iCs/>
          <w:sz w:val="22"/>
          <w:szCs w:val="22"/>
        </w:rPr>
        <w:t>Főosztály</w:t>
      </w:r>
      <w:r w:rsidR="00734D33">
        <w:rPr>
          <w:sz w:val="22"/>
          <w:szCs w:val="22"/>
        </w:rPr>
        <w:t xml:space="preserve"> </w:t>
      </w:r>
      <w:r w:rsidRPr="000250FA">
        <w:rPr>
          <w:sz w:val="22"/>
          <w:szCs w:val="22"/>
        </w:rPr>
        <w:t>honlapján kell közzé tenni.</w:t>
      </w:r>
    </w:p>
    <w:p w14:paraId="7C999B5B" w14:textId="77777777" w:rsidR="00893D5B" w:rsidRPr="000250FA" w:rsidRDefault="00893D5B" w:rsidP="00893D5B">
      <w:pPr>
        <w:tabs>
          <w:tab w:val="left" w:pos="9781"/>
        </w:tabs>
        <w:ind w:right="-144"/>
        <w:jc w:val="both"/>
        <w:rPr>
          <w:sz w:val="22"/>
          <w:szCs w:val="22"/>
        </w:rPr>
      </w:pPr>
    </w:p>
    <w:p w14:paraId="2BE9E454"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b/>
          <w:sz w:val="22"/>
          <w:szCs w:val="22"/>
          <w:vertAlign w:val="superscript"/>
        </w:rPr>
        <w:footnoteReference w:id="376"/>
      </w:r>
      <w:r w:rsidRPr="000250FA">
        <w:rPr>
          <w:sz w:val="22"/>
          <w:szCs w:val="22"/>
        </w:rPr>
        <w:t xml:space="preserve"> Csoportos létszámleépítés időtartama alatt a (2)-(3) bekezdésekben foglaltakat csak belső pályáztatást követően lehet alkalmazni azon </w:t>
      </w:r>
      <w:proofErr w:type="gramStart"/>
      <w:r w:rsidRPr="000250FA">
        <w:rPr>
          <w:sz w:val="22"/>
          <w:szCs w:val="22"/>
        </w:rPr>
        <w:t>munkakörökben</w:t>
      </w:r>
      <w:proofErr w:type="gramEnd"/>
      <w:r w:rsidRPr="000250FA">
        <w:rPr>
          <w:sz w:val="22"/>
          <w:szCs w:val="22"/>
        </w:rPr>
        <w:t xml:space="preserve"> amelyek a csoportos létszámleépítésben érintett dolgozók számára képzettsége, végzettsége alapján felajánlhatók. Részletes szabályait </w:t>
      </w:r>
      <w:proofErr w:type="gramStart"/>
      <w:r w:rsidRPr="000250FA">
        <w:rPr>
          <w:sz w:val="22"/>
          <w:szCs w:val="22"/>
        </w:rPr>
        <w:t>a  vonatkozó</w:t>
      </w:r>
      <w:proofErr w:type="gramEnd"/>
      <w:r w:rsidRPr="000250FA">
        <w:rPr>
          <w:sz w:val="22"/>
          <w:szCs w:val="22"/>
        </w:rPr>
        <w:t xml:space="preserve"> utasítás állapítja meg.</w:t>
      </w:r>
    </w:p>
    <w:p w14:paraId="46E92BC7" w14:textId="77777777" w:rsidR="00893D5B" w:rsidRPr="000250FA" w:rsidRDefault="00893D5B" w:rsidP="00893D5B">
      <w:pPr>
        <w:tabs>
          <w:tab w:val="left" w:pos="9781"/>
        </w:tabs>
        <w:ind w:right="-144"/>
        <w:jc w:val="both"/>
        <w:rPr>
          <w:b/>
          <w:i/>
          <w:sz w:val="22"/>
          <w:szCs w:val="22"/>
          <w:u w:val="single"/>
        </w:rPr>
      </w:pPr>
    </w:p>
    <w:p w14:paraId="7A415325" w14:textId="77777777" w:rsidR="00893D5B" w:rsidRPr="000250FA" w:rsidRDefault="00893D5B" w:rsidP="00893D5B">
      <w:pPr>
        <w:tabs>
          <w:tab w:val="left" w:pos="9781"/>
        </w:tabs>
        <w:autoSpaceDE w:val="0"/>
        <w:autoSpaceDN w:val="0"/>
        <w:adjustRightInd w:val="0"/>
        <w:ind w:right="-144"/>
        <w:rPr>
          <w:sz w:val="22"/>
          <w:szCs w:val="22"/>
        </w:rPr>
      </w:pPr>
      <w:r w:rsidRPr="000250FA">
        <w:rPr>
          <w:b/>
          <w:sz w:val="22"/>
          <w:szCs w:val="22"/>
        </w:rPr>
        <w:lastRenderedPageBreak/>
        <w:t>108. §</w:t>
      </w:r>
    </w:p>
    <w:p w14:paraId="371FBB30" w14:textId="77777777" w:rsidR="00893D5B" w:rsidRPr="000250FA" w:rsidRDefault="00893D5B" w:rsidP="00893D5B">
      <w:pPr>
        <w:rPr>
          <w:b/>
          <w:bCs/>
          <w:sz w:val="22"/>
          <w:szCs w:val="22"/>
        </w:rPr>
      </w:pPr>
    </w:p>
    <w:p w14:paraId="575CE6F2"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b/>
          <w:sz w:val="22"/>
          <w:szCs w:val="22"/>
        </w:rPr>
        <w:t>109 §</w:t>
      </w:r>
      <w:r w:rsidRPr="000250FA">
        <w:rPr>
          <w:rStyle w:val="Lbjegyzet-hivatkozs"/>
          <w:b/>
          <w:sz w:val="22"/>
          <w:szCs w:val="22"/>
        </w:rPr>
        <w:footnoteReference w:id="377"/>
      </w:r>
      <w:r w:rsidRPr="000250FA">
        <w:rPr>
          <w:b/>
          <w:i/>
          <w:sz w:val="22"/>
          <w:szCs w:val="22"/>
        </w:rPr>
        <w:t xml:space="preserve"> </w:t>
      </w:r>
      <w:r w:rsidRPr="000250FA">
        <w:rPr>
          <w:sz w:val="22"/>
          <w:szCs w:val="22"/>
        </w:rPr>
        <w:t xml:space="preserve">(1) A </w:t>
      </w:r>
      <w:r w:rsidRPr="000250FA">
        <w:rPr>
          <w:bCs/>
          <w:sz w:val="22"/>
          <w:szCs w:val="22"/>
        </w:rPr>
        <w:t>pályázati felhívást a Személyügyi Központ (a továbbiakban: SZK) internetes oldalán kell közzétenni.</w:t>
      </w:r>
    </w:p>
    <w:p w14:paraId="2214A8D5" w14:textId="77777777" w:rsidR="00893D5B" w:rsidRPr="000250FA" w:rsidRDefault="00893D5B" w:rsidP="00893D5B">
      <w:pPr>
        <w:tabs>
          <w:tab w:val="left" w:pos="9781"/>
        </w:tabs>
        <w:autoSpaceDE w:val="0"/>
        <w:autoSpaceDN w:val="0"/>
        <w:adjustRightInd w:val="0"/>
        <w:ind w:right="-144"/>
        <w:jc w:val="both"/>
        <w:rPr>
          <w:sz w:val="22"/>
          <w:szCs w:val="22"/>
        </w:rPr>
      </w:pPr>
    </w:p>
    <w:p w14:paraId="0D9DC1D5" w14:textId="77777777" w:rsidR="00893D5B" w:rsidRPr="000250FA" w:rsidRDefault="00893D5B" w:rsidP="00893D5B">
      <w:pPr>
        <w:jc w:val="both"/>
        <w:rPr>
          <w:sz w:val="22"/>
          <w:szCs w:val="22"/>
        </w:rPr>
      </w:pPr>
      <w:r w:rsidRPr="000250FA">
        <w:rPr>
          <w:sz w:val="22"/>
          <w:szCs w:val="22"/>
        </w:rPr>
        <w:t>(2) Ezen túlmenően a pályázati felhívást, és a kinevezés feltételeit az Egyetem honlapján, illetve jogszabályi kötelezettség esetén ágazati közlönyben kell közzétenni.</w:t>
      </w:r>
    </w:p>
    <w:p w14:paraId="7821C2AC" w14:textId="77777777" w:rsidR="00893D5B" w:rsidRPr="000250FA" w:rsidRDefault="00893D5B" w:rsidP="00893D5B">
      <w:pPr>
        <w:jc w:val="both"/>
        <w:rPr>
          <w:sz w:val="22"/>
          <w:szCs w:val="22"/>
        </w:rPr>
      </w:pPr>
    </w:p>
    <w:p w14:paraId="42362676"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378"/>
      </w:r>
      <w:r w:rsidRPr="000250FA">
        <w:rPr>
          <w:sz w:val="22"/>
          <w:szCs w:val="22"/>
        </w:rPr>
        <w:t xml:space="preserve"> </w:t>
      </w:r>
      <w:r w:rsidRPr="000250FA">
        <w:rPr>
          <w:rStyle w:val="Lbjegyzet-hivatkozs"/>
          <w:sz w:val="22"/>
          <w:szCs w:val="22"/>
        </w:rPr>
        <w:footnoteReference w:id="379"/>
      </w:r>
      <w:r w:rsidRPr="000250FA">
        <w:rPr>
          <w:sz w:val="22"/>
          <w:szCs w:val="22"/>
        </w:rPr>
        <w:t>A pályázati eljárás rendjére vonatkozó részletes szabályokat rektori és kancellári együttes utasítás tartalmazza.</w:t>
      </w:r>
    </w:p>
    <w:p w14:paraId="326E5EF3" w14:textId="77777777" w:rsidR="00893D5B" w:rsidRPr="000250FA" w:rsidRDefault="00893D5B" w:rsidP="00893D5B">
      <w:pPr>
        <w:tabs>
          <w:tab w:val="left" w:pos="9781"/>
        </w:tabs>
        <w:ind w:right="-144"/>
        <w:jc w:val="both"/>
        <w:rPr>
          <w:sz w:val="22"/>
          <w:szCs w:val="22"/>
        </w:rPr>
      </w:pPr>
    </w:p>
    <w:p w14:paraId="4F3D6133" w14:textId="77777777" w:rsidR="00893D5B" w:rsidRPr="000250FA" w:rsidRDefault="00893D5B" w:rsidP="00893D5B">
      <w:pPr>
        <w:tabs>
          <w:tab w:val="left" w:pos="9781"/>
        </w:tabs>
        <w:ind w:right="-144"/>
        <w:jc w:val="both"/>
        <w:rPr>
          <w:sz w:val="22"/>
          <w:szCs w:val="22"/>
        </w:rPr>
      </w:pPr>
      <w:r w:rsidRPr="000250FA">
        <w:rPr>
          <w:b/>
          <w:sz w:val="22"/>
          <w:szCs w:val="22"/>
        </w:rPr>
        <w:t>109/</w:t>
      </w:r>
      <w:proofErr w:type="gramStart"/>
      <w:r w:rsidRPr="000250FA">
        <w:rPr>
          <w:b/>
          <w:sz w:val="22"/>
          <w:szCs w:val="22"/>
        </w:rPr>
        <w:t>A.</w:t>
      </w:r>
      <w:proofErr w:type="gramEnd"/>
      <w:r w:rsidRPr="000250FA">
        <w:rPr>
          <w:b/>
          <w:sz w:val="22"/>
          <w:szCs w:val="22"/>
        </w:rPr>
        <w:t xml:space="preserve"> §</w:t>
      </w:r>
      <w:r w:rsidRPr="000250FA">
        <w:rPr>
          <w:rStyle w:val="Lbjegyzet-hivatkozs"/>
          <w:b/>
          <w:sz w:val="22"/>
          <w:szCs w:val="22"/>
        </w:rPr>
        <w:footnoteReference w:id="380"/>
      </w:r>
      <w:r w:rsidRPr="000250FA">
        <w:rPr>
          <w:sz w:val="22"/>
          <w:szCs w:val="22"/>
        </w:rPr>
        <w:t xml:space="preserve"> (1) A pályázati eljárást a pályázat benyújtási határidejét követő 30 napon belül kell lefolytatni, és annak eredményéről valamennyi pályázót írásban értesíteni.</w:t>
      </w:r>
    </w:p>
    <w:p w14:paraId="00C6C1F7" w14:textId="77777777" w:rsidR="00893D5B" w:rsidRDefault="00893D5B" w:rsidP="00893D5B">
      <w:pPr>
        <w:tabs>
          <w:tab w:val="left" w:pos="9781"/>
        </w:tabs>
        <w:ind w:right="-144"/>
        <w:jc w:val="both"/>
        <w:rPr>
          <w:sz w:val="22"/>
          <w:szCs w:val="22"/>
        </w:rPr>
      </w:pPr>
    </w:p>
    <w:p w14:paraId="640BCB70" w14:textId="77777777" w:rsidR="00385CF2" w:rsidRDefault="00385CF2" w:rsidP="00893D5B">
      <w:pPr>
        <w:tabs>
          <w:tab w:val="left" w:pos="9781"/>
        </w:tabs>
        <w:ind w:right="-144"/>
        <w:jc w:val="both"/>
        <w:rPr>
          <w:sz w:val="22"/>
          <w:szCs w:val="22"/>
        </w:rPr>
      </w:pPr>
    </w:p>
    <w:p w14:paraId="3388760F" w14:textId="77777777" w:rsidR="00385CF2" w:rsidRPr="000250FA" w:rsidRDefault="00385CF2" w:rsidP="00893D5B">
      <w:pPr>
        <w:tabs>
          <w:tab w:val="left" w:pos="9781"/>
        </w:tabs>
        <w:ind w:right="-144"/>
        <w:jc w:val="both"/>
        <w:rPr>
          <w:sz w:val="22"/>
          <w:szCs w:val="22"/>
        </w:rPr>
      </w:pPr>
    </w:p>
    <w:p w14:paraId="1525F1BF"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381"/>
      </w:r>
      <w:r w:rsidRPr="000250FA">
        <w:rPr>
          <w:sz w:val="22"/>
          <w:szCs w:val="22"/>
        </w:rPr>
        <w:t xml:space="preserve"> A pályázati eljárás eredménytelen, ha</w:t>
      </w:r>
    </w:p>
    <w:p w14:paraId="6BB7ED1F" w14:textId="77777777" w:rsidR="00893D5B" w:rsidRPr="000250FA" w:rsidRDefault="00893D5B" w:rsidP="00893D5B">
      <w:pPr>
        <w:tabs>
          <w:tab w:val="left" w:pos="9781"/>
        </w:tabs>
        <w:ind w:left="561" w:right="-144"/>
        <w:jc w:val="both"/>
        <w:rPr>
          <w:sz w:val="22"/>
          <w:szCs w:val="22"/>
        </w:rPr>
      </w:pPr>
    </w:p>
    <w:p w14:paraId="0A10BC12" w14:textId="77777777" w:rsidR="00893D5B" w:rsidRPr="000250FA" w:rsidRDefault="00893D5B" w:rsidP="00F83E93">
      <w:pPr>
        <w:numPr>
          <w:ilvl w:val="0"/>
          <w:numId w:val="113"/>
        </w:numPr>
        <w:jc w:val="both"/>
        <w:rPr>
          <w:sz w:val="22"/>
          <w:szCs w:val="22"/>
        </w:rPr>
      </w:pPr>
      <w:r w:rsidRPr="000250FA">
        <w:rPr>
          <w:sz w:val="22"/>
          <w:szCs w:val="22"/>
        </w:rPr>
        <w:t>nem érkezett a megjelölt határidőben a pályázati kiírásra pályázat,</w:t>
      </w:r>
    </w:p>
    <w:p w14:paraId="3F0BB11E" w14:textId="77777777" w:rsidR="00893D5B" w:rsidRPr="000250FA" w:rsidRDefault="00893D5B" w:rsidP="00F83E93">
      <w:pPr>
        <w:numPr>
          <w:ilvl w:val="0"/>
          <w:numId w:val="113"/>
        </w:numPr>
        <w:jc w:val="both"/>
        <w:rPr>
          <w:sz w:val="22"/>
          <w:szCs w:val="22"/>
        </w:rPr>
      </w:pPr>
      <w:r w:rsidRPr="000250FA">
        <w:rPr>
          <w:sz w:val="22"/>
          <w:szCs w:val="22"/>
        </w:rPr>
        <w:t>a pályázó nem felelt meg a pályázati feltételeknek,</w:t>
      </w:r>
    </w:p>
    <w:p w14:paraId="3E9696AD" w14:textId="77777777" w:rsidR="00893D5B" w:rsidRPr="000250FA" w:rsidRDefault="00893D5B" w:rsidP="00F83E93">
      <w:pPr>
        <w:numPr>
          <w:ilvl w:val="0"/>
          <w:numId w:val="113"/>
        </w:numPr>
        <w:jc w:val="both"/>
        <w:rPr>
          <w:sz w:val="22"/>
          <w:szCs w:val="22"/>
        </w:rPr>
      </w:pPr>
      <w:r w:rsidRPr="000250FA">
        <w:rPr>
          <w:sz w:val="22"/>
          <w:szCs w:val="22"/>
        </w:rPr>
        <w:t xml:space="preserve">az elbírálásra jogosult a pályázót nem támogatja. </w:t>
      </w:r>
    </w:p>
    <w:p w14:paraId="321F4F54" w14:textId="77777777" w:rsidR="00893D5B" w:rsidRPr="000250FA" w:rsidRDefault="00893D5B" w:rsidP="00893D5B">
      <w:pPr>
        <w:tabs>
          <w:tab w:val="left" w:pos="9781"/>
        </w:tabs>
        <w:ind w:right="-144"/>
        <w:jc w:val="both"/>
        <w:rPr>
          <w:sz w:val="22"/>
          <w:szCs w:val="22"/>
        </w:rPr>
      </w:pPr>
    </w:p>
    <w:p w14:paraId="7633133E" w14:textId="77777777" w:rsidR="00893D5B" w:rsidRPr="000250FA" w:rsidRDefault="00893D5B" w:rsidP="00893D5B">
      <w:pPr>
        <w:tabs>
          <w:tab w:val="left" w:pos="9781"/>
        </w:tabs>
        <w:ind w:right="-144"/>
        <w:jc w:val="both"/>
        <w:rPr>
          <w:sz w:val="22"/>
          <w:szCs w:val="22"/>
        </w:rPr>
      </w:pPr>
      <w:r w:rsidRPr="000250FA">
        <w:rPr>
          <w:sz w:val="22"/>
          <w:szCs w:val="22"/>
        </w:rPr>
        <w:t>(3) Eredménytelen pályázat esetén harminc napon belül új pályázatot kell kiírni.</w:t>
      </w:r>
    </w:p>
    <w:p w14:paraId="2076278A" w14:textId="77777777" w:rsidR="00893D5B" w:rsidRPr="000250FA" w:rsidRDefault="00893D5B" w:rsidP="00893D5B">
      <w:pPr>
        <w:tabs>
          <w:tab w:val="left" w:pos="9781"/>
        </w:tabs>
        <w:ind w:right="-144"/>
        <w:jc w:val="both"/>
        <w:rPr>
          <w:sz w:val="22"/>
          <w:szCs w:val="22"/>
        </w:rPr>
      </w:pPr>
    </w:p>
    <w:p w14:paraId="6FD78FE7" w14:textId="77777777" w:rsidR="00893D5B" w:rsidRPr="000250FA" w:rsidRDefault="00893D5B" w:rsidP="00893D5B">
      <w:pPr>
        <w:tabs>
          <w:tab w:val="left" w:pos="9781"/>
        </w:tabs>
        <w:ind w:right="-144"/>
        <w:jc w:val="both"/>
        <w:rPr>
          <w:sz w:val="22"/>
          <w:szCs w:val="22"/>
        </w:rPr>
      </w:pPr>
      <w:r w:rsidRPr="000250FA">
        <w:rPr>
          <w:sz w:val="22"/>
          <w:szCs w:val="22"/>
        </w:rPr>
        <w:t xml:space="preserve">(4) A pályázatot a megbízási jogkör gyakorlója írja ki. </w:t>
      </w:r>
    </w:p>
    <w:p w14:paraId="3BB888A7" w14:textId="77777777" w:rsidR="00893D5B" w:rsidRPr="000250FA" w:rsidRDefault="00893D5B" w:rsidP="00893D5B">
      <w:pPr>
        <w:tabs>
          <w:tab w:val="left" w:pos="9781"/>
        </w:tabs>
        <w:ind w:right="-144"/>
        <w:jc w:val="both"/>
        <w:rPr>
          <w:b/>
          <w:sz w:val="22"/>
          <w:szCs w:val="22"/>
        </w:rPr>
      </w:pPr>
    </w:p>
    <w:p w14:paraId="315F52B3" w14:textId="77777777" w:rsidR="00893D5B" w:rsidRPr="000250FA" w:rsidRDefault="00893D5B" w:rsidP="00893D5B">
      <w:pPr>
        <w:pStyle w:val="Cmsor4"/>
      </w:pPr>
      <w:bookmarkStart w:id="250" w:name="_Toc432753612"/>
      <w:r w:rsidRPr="000250FA">
        <w:t>A magasabb vezető, vezetői megbízásra vonatkozó pályázat különös szabályai</w:t>
      </w:r>
      <w:bookmarkEnd w:id="250"/>
    </w:p>
    <w:p w14:paraId="30F46350" w14:textId="77777777" w:rsidR="00893D5B" w:rsidRPr="000250FA" w:rsidRDefault="00893D5B" w:rsidP="00893D5B">
      <w:pPr>
        <w:tabs>
          <w:tab w:val="left" w:pos="9781"/>
        </w:tabs>
        <w:ind w:right="-144"/>
        <w:jc w:val="both"/>
        <w:rPr>
          <w:b/>
          <w:i/>
          <w:sz w:val="22"/>
          <w:szCs w:val="22"/>
        </w:rPr>
      </w:pPr>
    </w:p>
    <w:p w14:paraId="2A92B613" w14:textId="77777777" w:rsidR="00893D5B" w:rsidRPr="000250FA" w:rsidRDefault="00893D5B" w:rsidP="00893D5B">
      <w:pPr>
        <w:tabs>
          <w:tab w:val="left" w:pos="9781"/>
        </w:tabs>
        <w:ind w:right="-144"/>
        <w:jc w:val="both"/>
        <w:rPr>
          <w:sz w:val="22"/>
          <w:szCs w:val="22"/>
        </w:rPr>
      </w:pPr>
      <w:r w:rsidRPr="000250FA">
        <w:rPr>
          <w:b/>
          <w:sz w:val="22"/>
          <w:szCs w:val="22"/>
        </w:rPr>
        <w:t>110. §</w:t>
      </w:r>
      <w:r w:rsidRPr="000250FA">
        <w:rPr>
          <w:rStyle w:val="Lbjegyzet-hivatkozs"/>
          <w:b/>
          <w:sz w:val="22"/>
          <w:szCs w:val="22"/>
        </w:rPr>
        <w:footnoteReference w:id="382"/>
      </w:r>
      <w:r w:rsidRPr="000250FA">
        <w:rPr>
          <w:b/>
          <w:i/>
          <w:sz w:val="22"/>
          <w:szCs w:val="22"/>
        </w:rPr>
        <w:t xml:space="preserve"> </w:t>
      </w:r>
      <w:r w:rsidRPr="000250FA">
        <w:rPr>
          <w:rStyle w:val="Lbjegyzet-hivatkozs"/>
          <w:b/>
          <w:sz w:val="22"/>
          <w:szCs w:val="22"/>
        </w:rPr>
        <w:footnoteReference w:id="383"/>
      </w:r>
      <w:r w:rsidRPr="000250FA">
        <w:rPr>
          <w:sz w:val="22"/>
          <w:szCs w:val="22"/>
        </w:rPr>
        <w:t>(1)</w:t>
      </w:r>
      <w:r w:rsidRPr="000250FA">
        <w:rPr>
          <w:b/>
          <w:i/>
          <w:sz w:val="22"/>
          <w:szCs w:val="22"/>
        </w:rPr>
        <w:t xml:space="preserve"> </w:t>
      </w:r>
      <w:r w:rsidRPr="000250FA">
        <w:rPr>
          <w:sz w:val="22"/>
          <w:szCs w:val="22"/>
        </w:rPr>
        <w:t>Magasabb vezetői, vezetői megbízásra nyilvános pályázatot kell kiírni különösen</w:t>
      </w:r>
    </w:p>
    <w:p w14:paraId="595FD1B7" w14:textId="77777777" w:rsidR="00893D5B" w:rsidRPr="000250FA" w:rsidRDefault="00893D5B" w:rsidP="00893D5B">
      <w:pPr>
        <w:tabs>
          <w:tab w:val="left" w:pos="9781"/>
        </w:tabs>
        <w:ind w:left="561" w:right="-144"/>
        <w:jc w:val="both"/>
        <w:rPr>
          <w:bCs/>
          <w:sz w:val="22"/>
          <w:szCs w:val="22"/>
        </w:rPr>
      </w:pPr>
    </w:p>
    <w:p w14:paraId="4BFD3903" w14:textId="77777777" w:rsidR="00893D5B" w:rsidRPr="000250FA" w:rsidRDefault="00893D5B" w:rsidP="00F83E93">
      <w:pPr>
        <w:numPr>
          <w:ilvl w:val="0"/>
          <w:numId w:val="114"/>
        </w:numPr>
        <w:jc w:val="both"/>
        <w:rPr>
          <w:sz w:val="22"/>
          <w:szCs w:val="22"/>
        </w:rPr>
      </w:pPr>
      <w:r w:rsidRPr="000250FA">
        <w:rPr>
          <w:sz w:val="22"/>
          <w:szCs w:val="22"/>
        </w:rPr>
        <w:t>a beosztásban lévő vezető életkora vagy egyéb körülményei (például a közalkalmazotti jogviszony megszüntetése, felmentés a Mt. 294. § (1) g) pontjában meghatározott nyugdíjazásra tekintettel, egy évet meghaladó távollét stb.) miatt,</w:t>
      </w:r>
    </w:p>
    <w:p w14:paraId="4C8118A2" w14:textId="77777777" w:rsidR="00893D5B" w:rsidRPr="000250FA" w:rsidRDefault="00893D5B" w:rsidP="00F83E93">
      <w:pPr>
        <w:numPr>
          <w:ilvl w:val="0"/>
          <w:numId w:val="114"/>
        </w:numPr>
        <w:jc w:val="both"/>
        <w:rPr>
          <w:sz w:val="22"/>
          <w:szCs w:val="22"/>
        </w:rPr>
      </w:pPr>
      <w:r w:rsidRPr="000250FA">
        <w:rPr>
          <w:sz w:val="22"/>
          <w:szCs w:val="22"/>
        </w:rPr>
        <w:t>amennyiben a beosztásban lévő vezető már meghatározott, kötött, nem meghosszabbítható ciklusban az adott vezetői megbízást ellátta,</w:t>
      </w:r>
    </w:p>
    <w:p w14:paraId="0F9AD1F3" w14:textId="77777777" w:rsidR="00893D5B" w:rsidRPr="000250FA" w:rsidRDefault="00893D5B" w:rsidP="00F83E93">
      <w:pPr>
        <w:numPr>
          <w:ilvl w:val="0"/>
          <w:numId w:val="114"/>
        </w:numPr>
        <w:jc w:val="both"/>
      </w:pPr>
      <w:r w:rsidRPr="000250FA">
        <w:rPr>
          <w:sz w:val="22"/>
          <w:szCs w:val="22"/>
        </w:rPr>
        <w:t>a dékán, illetve a PTE SZMSZ 78. §-</w:t>
      </w:r>
      <w:proofErr w:type="spellStart"/>
      <w:r w:rsidRPr="000250FA">
        <w:rPr>
          <w:sz w:val="22"/>
          <w:szCs w:val="22"/>
        </w:rPr>
        <w:t>ban</w:t>
      </w:r>
      <w:proofErr w:type="spellEnd"/>
      <w:r w:rsidRPr="000250FA">
        <w:rPr>
          <w:sz w:val="22"/>
          <w:szCs w:val="22"/>
        </w:rPr>
        <w:t xml:space="preserve"> meghatározott önálló szervezet vezetője, illetve a rektor vagy a kancellár előterjesztése alapján az illetékes tanács indokoltnak tartja a vezetőváltást</w:t>
      </w:r>
      <w:r w:rsidRPr="000250FA">
        <w:t xml:space="preserve">. </w:t>
      </w:r>
    </w:p>
    <w:p w14:paraId="41751B9D" w14:textId="77777777" w:rsidR="00893D5B" w:rsidRPr="000250FA" w:rsidRDefault="00893D5B" w:rsidP="00893D5B">
      <w:pPr>
        <w:tabs>
          <w:tab w:val="left" w:pos="9781"/>
        </w:tabs>
        <w:ind w:right="-144"/>
        <w:jc w:val="both"/>
        <w:rPr>
          <w:sz w:val="22"/>
          <w:szCs w:val="22"/>
        </w:rPr>
      </w:pPr>
    </w:p>
    <w:p w14:paraId="44B122B0" w14:textId="77777777" w:rsidR="00893D5B" w:rsidRPr="000250FA" w:rsidRDefault="00893D5B" w:rsidP="00893D5B">
      <w:pPr>
        <w:tabs>
          <w:tab w:val="left" w:pos="9781"/>
        </w:tabs>
        <w:ind w:right="-144"/>
        <w:jc w:val="both"/>
        <w:rPr>
          <w:sz w:val="22"/>
          <w:szCs w:val="22"/>
        </w:rPr>
      </w:pPr>
      <w:r w:rsidRPr="000250FA">
        <w:rPr>
          <w:sz w:val="22"/>
          <w:szCs w:val="22"/>
        </w:rPr>
        <w:t>(2) A nyilvános pályázatot a megbízási jogkör gyakorlója írja ki. A vezetői megbízási jogok gyakorlása a vonatkozó utasításban foglaltak szerint történik. A pályázatban meg kell jelölni, hogy a magasabb vezető, illetve vezető megbízás annak adható, aki az Egyetemmel közalkalmazotti jogviszonyban áll, vagy a megbízással egyidejűleg közalkalmazotti munkakörbe kinevezhető. A pályázatban meg kell jelölni a közalkalmazott által betöltendő munkakört is.</w:t>
      </w:r>
    </w:p>
    <w:p w14:paraId="5A8C8CCF" w14:textId="77777777" w:rsidR="00893D5B" w:rsidRPr="000250FA" w:rsidRDefault="00893D5B" w:rsidP="00893D5B">
      <w:pPr>
        <w:tabs>
          <w:tab w:val="left" w:pos="9781"/>
        </w:tabs>
        <w:ind w:right="-144"/>
        <w:jc w:val="both"/>
        <w:rPr>
          <w:sz w:val="22"/>
          <w:szCs w:val="22"/>
        </w:rPr>
      </w:pPr>
    </w:p>
    <w:p w14:paraId="5D02B6FE" w14:textId="77777777" w:rsidR="00893D5B" w:rsidRPr="000250FA" w:rsidRDefault="00893D5B" w:rsidP="00893D5B">
      <w:pPr>
        <w:tabs>
          <w:tab w:val="left" w:pos="9781"/>
        </w:tabs>
        <w:ind w:right="-144"/>
        <w:jc w:val="both"/>
        <w:rPr>
          <w:sz w:val="22"/>
          <w:szCs w:val="22"/>
        </w:rPr>
      </w:pPr>
      <w:r w:rsidRPr="000250FA">
        <w:rPr>
          <w:sz w:val="22"/>
          <w:szCs w:val="22"/>
        </w:rPr>
        <w:t>(3) Ha a magasabb vezető, vezető megbízáshoz közalkalmazotti jogviszony létesítése is szükséges, a kinevezési jogkör a megbízási jogkör gyakorlóját illeti meg.</w:t>
      </w:r>
    </w:p>
    <w:p w14:paraId="4C33074A" w14:textId="77777777" w:rsidR="00893D5B" w:rsidRPr="000250FA" w:rsidRDefault="00893D5B" w:rsidP="00893D5B">
      <w:pPr>
        <w:tabs>
          <w:tab w:val="left" w:pos="9781"/>
        </w:tabs>
        <w:ind w:right="-144"/>
        <w:jc w:val="both"/>
        <w:rPr>
          <w:sz w:val="22"/>
          <w:szCs w:val="22"/>
        </w:rPr>
      </w:pPr>
    </w:p>
    <w:p w14:paraId="5CAB73A1" w14:textId="77777777" w:rsidR="00893D5B" w:rsidRPr="000250FA" w:rsidRDefault="00893D5B" w:rsidP="00893D5B">
      <w:pPr>
        <w:tabs>
          <w:tab w:val="left" w:pos="9781"/>
        </w:tabs>
        <w:ind w:right="-144"/>
        <w:jc w:val="both"/>
        <w:rPr>
          <w:sz w:val="22"/>
          <w:szCs w:val="22"/>
        </w:rPr>
      </w:pPr>
      <w:r w:rsidRPr="000250FA">
        <w:rPr>
          <w:sz w:val="22"/>
          <w:szCs w:val="22"/>
        </w:rPr>
        <w:t>(4) A köznevelési intézményben a magasabb vezető, vezető megbízás pályázat nélkül betölthető, amennyiben:</w:t>
      </w:r>
    </w:p>
    <w:p w14:paraId="387FC7D9" w14:textId="77777777" w:rsidR="00893D5B" w:rsidRPr="000250FA" w:rsidRDefault="00893D5B" w:rsidP="00F83E93">
      <w:pPr>
        <w:numPr>
          <w:ilvl w:val="0"/>
          <w:numId w:val="115"/>
        </w:numPr>
        <w:jc w:val="both"/>
        <w:rPr>
          <w:sz w:val="22"/>
          <w:szCs w:val="22"/>
        </w:rPr>
      </w:pPr>
      <w:r w:rsidRPr="000250FA">
        <w:rPr>
          <w:sz w:val="22"/>
          <w:szCs w:val="22"/>
        </w:rPr>
        <w:t>a magasabb vezető, vezető megbízásra kiírt pályázat kilencven napon belül egymást követő két alkalommal eredménytelen volt,</w:t>
      </w:r>
    </w:p>
    <w:p w14:paraId="192299F0" w14:textId="77777777" w:rsidR="00893D5B" w:rsidRPr="000250FA" w:rsidRDefault="00893D5B" w:rsidP="00F83E93">
      <w:pPr>
        <w:numPr>
          <w:ilvl w:val="0"/>
          <w:numId w:val="115"/>
        </w:numPr>
        <w:jc w:val="both"/>
        <w:rPr>
          <w:sz w:val="22"/>
          <w:szCs w:val="22"/>
        </w:rPr>
      </w:pPr>
      <w:r w:rsidRPr="000250FA">
        <w:rPr>
          <w:sz w:val="22"/>
          <w:szCs w:val="22"/>
        </w:rPr>
        <w:t>a magasabb vezető, vezető megbízás haladéktalan betöltése a folyamatos ellátás biztonságos megszervezéséhez elengedhetetlenül szükséges, és a folyamatos működéshez szükséges személyi feltételek más munkaszervezési módszerekkel nem biztosíthatók,</w:t>
      </w:r>
    </w:p>
    <w:p w14:paraId="5F785850" w14:textId="77777777" w:rsidR="00893D5B" w:rsidRPr="000250FA" w:rsidRDefault="00893D5B" w:rsidP="00F83E93">
      <w:pPr>
        <w:numPr>
          <w:ilvl w:val="0"/>
          <w:numId w:val="115"/>
        </w:numPr>
        <w:jc w:val="both"/>
      </w:pPr>
      <w:r w:rsidRPr="000250FA">
        <w:rPr>
          <w:sz w:val="22"/>
          <w:szCs w:val="22"/>
        </w:rPr>
        <w:t>amennyiben a közalkalmazott a megbízást megelőzően legalább egy éve közalkalmazotti jogviszonyban áll az intézménnyel</w:t>
      </w:r>
      <w:r w:rsidRPr="000250FA">
        <w:t>.</w:t>
      </w:r>
    </w:p>
    <w:p w14:paraId="26E0E3E2" w14:textId="77777777" w:rsidR="00893D5B" w:rsidRPr="000250FA" w:rsidRDefault="00893D5B" w:rsidP="00893D5B">
      <w:pPr>
        <w:tabs>
          <w:tab w:val="left" w:pos="9781"/>
        </w:tabs>
        <w:ind w:right="-144"/>
        <w:jc w:val="both"/>
        <w:rPr>
          <w:sz w:val="22"/>
          <w:szCs w:val="22"/>
        </w:rPr>
      </w:pPr>
    </w:p>
    <w:p w14:paraId="1C932162" w14:textId="77777777" w:rsidR="00893D5B" w:rsidRPr="000250FA" w:rsidRDefault="00893D5B" w:rsidP="00893D5B">
      <w:pPr>
        <w:rPr>
          <w:sz w:val="22"/>
          <w:szCs w:val="22"/>
        </w:rPr>
      </w:pPr>
      <w:r w:rsidRPr="000250FA">
        <w:rPr>
          <w:sz w:val="22"/>
          <w:szCs w:val="22"/>
        </w:rPr>
        <w:t>(5) Jelen § (1)-(4) bekezdésében foglaltak a rektori és kancellári pályázatra nem alkalmazhatók.</w:t>
      </w:r>
    </w:p>
    <w:p w14:paraId="53745CA1" w14:textId="77777777" w:rsidR="00893D5B" w:rsidRPr="000250FA" w:rsidRDefault="00893D5B" w:rsidP="00893D5B">
      <w:pPr>
        <w:tabs>
          <w:tab w:val="left" w:pos="9781"/>
        </w:tabs>
        <w:ind w:right="-144"/>
        <w:jc w:val="both"/>
        <w:rPr>
          <w:sz w:val="22"/>
          <w:szCs w:val="22"/>
        </w:rPr>
      </w:pPr>
    </w:p>
    <w:p w14:paraId="321276E3"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384"/>
      </w:r>
      <w:r w:rsidRPr="000250FA">
        <w:rPr>
          <w:sz w:val="22"/>
          <w:szCs w:val="22"/>
        </w:rPr>
        <w:t xml:space="preserve"> </w:t>
      </w:r>
      <w:r w:rsidRPr="000250FA">
        <w:rPr>
          <w:rStyle w:val="Lbjegyzet-hivatkozs"/>
          <w:sz w:val="22"/>
          <w:szCs w:val="22"/>
        </w:rPr>
        <w:footnoteReference w:id="385"/>
      </w:r>
      <w:r w:rsidRPr="000250FA">
        <w:rPr>
          <w:sz w:val="22"/>
          <w:szCs w:val="22"/>
        </w:rPr>
        <w:t xml:space="preserve"> A magasabb vezetői és vezetői megbízásokra benyújtott pályázatok rangsorolásáról a vonatkozó utasításban nem szabályozott esetekben, valamint az </w:t>
      </w:r>
      <w:proofErr w:type="spellStart"/>
      <w:r w:rsidRPr="000250FA">
        <w:rPr>
          <w:sz w:val="22"/>
          <w:szCs w:val="22"/>
        </w:rPr>
        <w:t>Nftv</w:t>
      </w:r>
      <w:proofErr w:type="spellEnd"/>
      <w:r w:rsidRPr="000250FA">
        <w:rPr>
          <w:sz w:val="22"/>
          <w:szCs w:val="22"/>
        </w:rPr>
        <w:t xml:space="preserve">. 37.§ (5) bekezdésben meghatározott esetek kivételével a Szenátus dönt. Döntését – a (5) bekezdés kivételével – megküldi </w:t>
      </w:r>
      <w:proofErr w:type="gramStart"/>
      <w:r w:rsidRPr="000250FA">
        <w:rPr>
          <w:sz w:val="22"/>
          <w:szCs w:val="22"/>
        </w:rPr>
        <w:t xml:space="preserve">a </w:t>
      </w:r>
      <w:r w:rsidRPr="000250FA">
        <w:t xml:space="preserve"> </w:t>
      </w:r>
      <w:r w:rsidRPr="000250FA">
        <w:rPr>
          <w:sz w:val="22"/>
          <w:szCs w:val="22"/>
        </w:rPr>
        <w:t>munkáltatói</w:t>
      </w:r>
      <w:proofErr w:type="gramEnd"/>
      <w:r w:rsidRPr="000250FA">
        <w:rPr>
          <w:sz w:val="22"/>
          <w:szCs w:val="22"/>
        </w:rPr>
        <w:t xml:space="preserve"> jog gyakorlójának. A munkáltatói jogkör gyakorlója a Szenátus véleményének mérlegelésével dönt a vezetői megbízás kiadásáról. A kancellári, illetve a belső ellenőrzési vezetői pályázatokat a rektor továbbítja a fenntartónak. </w:t>
      </w:r>
    </w:p>
    <w:p w14:paraId="0967B99C" w14:textId="77777777" w:rsidR="00893D5B" w:rsidRPr="000250FA" w:rsidRDefault="00893D5B" w:rsidP="00893D5B">
      <w:pPr>
        <w:tabs>
          <w:tab w:val="left" w:pos="9781"/>
        </w:tabs>
        <w:ind w:left="357" w:right="-144"/>
        <w:jc w:val="both"/>
        <w:rPr>
          <w:b/>
          <w:sz w:val="22"/>
          <w:szCs w:val="22"/>
        </w:rPr>
      </w:pPr>
    </w:p>
    <w:p w14:paraId="6B4852A9" w14:textId="77777777" w:rsidR="00893D5B" w:rsidRPr="000250FA" w:rsidRDefault="00893D5B" w:rsidP="00893D5B">
      <w:pPr>
        <w:tabs>
          <w:tab w:val="left" w:pos="9781"/>
        </w:tabs>
        <w:ind w:right="-144"/>
        <w:jc w:val="both"/>
        <w:rPr>
          <w:b/>
          <w:sz w:val="22"/>
          <w:szCs w:val="22"/>
        </w:rPr>
      </w:pPr>
      <w:r w:rsidRPr="000250FA">
        <w:rPr>
          <w:b/>
          <w:sz w:val="22"/>
          <w:szCs w:val="22"/>
        </w:rPr>
        <w:t xml:space="preserve">111. § </w:t>
      </w:r>
    </w:p>
    <w:p w14:paraId="5098180D" w14:textId="77777777" w:rsidR="00893D5B" w:rsidRPr="000250FA" w:rsidRDefault="00893D5B" w:rsidP="00893D5B">
      <w:pPr>
        <w:pStyle w:val="Cmsor4"/>
      </w:pPr>
      <w:bookmarkStart w:id="251" w:name="_Toc432753613"/>
      <w:r w:rsidRPr="000250FA">
        <w:t>Az oktatói munkakörre vonatkozó pályázat különös szabályai</w:t>
      </w:r>
      <w:bookmarkEnd w:id="251"/>
    </w:p>
    <w:p w14:paraId="75DF91E5" w14:textId="77777777" w:rsidR="00893D5B" w:rsidRPr="000250FA" w:rsidRDefault="00893D5B" w:rsidP="00893D5B">
      <w:pPr>
        <w:tabs>
          <w:tab w:val="left" w:pos="9781"/>
        </w:tabs>
        <w:ind w:right="-144"/>
        <w:jc w:val="both"/>
        <w:rPr>
          <w:sz w:val="22"/>
          <w:szCs w:val="22"/>
        </w:rPr>
      </w:pPr>
    </w:p>
    <w:p w14:paraId="1CED02F8" w14:textId="77777777" w:rsidR="00893D5B" w:rsidRPr="000250FA" w:rsidRDefault="00893D5B" w:rsidP="00893D5B">
      <w:pPr>
        <w:tabs>
          <w:tab w:val="left" w:pos="9781"/>
        </w:tabs>
        <w:ind w:right="-144"/>
        <w:jc w:val="both"/>
        <w:rPr>
          <w:sz w:val="22"/>
          <w:szCs w:val="22"/>
        </w:rPr>
      </w:pPr>
      <w:r w:rsidRPr="000250FA">
        <w:rPr>
          <w:b/>
          <w:sz w:val="22"/>
          <w:szCs w:val="22"/>
        </w:rPr>
        <w:t>112. §</w:t>
      </w:r>
      <w:r w:rsidRPr="000250FA">
        <w:rPr>
          <w:b/>
          <w:i/>
          <w:sz w:val="22"/>
          <w:szCs w:val="22"/>
        </w:rPr>
        <w:t xml:space="preserve"> </w:t>
      </w:r>
      <w:r w:rsidRPr="000250FA">
        <w:rPr>
          <w:sz w:val="22"/>
          <w:szCs w:val="22"/>
        </w:rPr>
        <w:t>A pályázati kiírásra vonatkozó javaslatot olyan időpontban kell a rektorhoz felterjeszteni, hogy – figyelembe véve a megjelenéshez szükséges időt, a pályázat benyújtására nyitva álló határidőt, valamint a kinevezéshez szükséges testületi véleményezés lebonyolítását – a munkakör a pályázati kiírásban meghatározott határidőn belül betölthető legyen.</w:t>
      </w:r>
    </w:p>
    <w:p w14:paraId="4B979279" w14:textId="77777777" w:rsidR="00893D5B" w:rsidRPr="000250FA" w:rsidRDefault="00893D5B" w:rsidP="00893D5B">
      <w:pPr>
        <w:tabs>
          <w:tab w:val="left" w:pos="9781"/>
        </w:tabs>
        <w:ind w:right="-144"/>
        <w:rPr>
          <w:b/>
          <w:i/>
          <w:sz w:val="22"/>
          <w:szCs w:val="22"/>
        </w:rPr>
      </w:pPr>
    </w:p>
    <w:p w14:paraId="10DB1682" w14:textId="77777777" w:rsidR="00893D5B" w:rsidRPr="000250FA" w:rsidRDefault="00893D5B" w:rsidP="00893D5B">
      <w:pPr>
        <w:pStyle w:val="Cmsor4"/>
        <w:spacing w:before="0" w:after="0"/>
      </w:pPr>
      <w:bookmarkStart w:id="252" w:name="_Toc432753614"/>
      <w:r w:rsidRPr="000250FA">
        <w:t>A rektor, rektorhelyettesek, kancellár,</w:t>
      </w:r>
      <w:r w:rsidRPr="000250FA">
        <w:rPr>
          <w:lang w:val="hu-HU"/>
        </w:rPr>
        <w:t xml:space="preserve"> </w:t>
      </w:r>
      <w:r w:rsidRPr="000250FA">
        <w:t>és az önálló szervezetek vezetői pályázatának elbírálási rendje</w:t>
      </w:r>
      <w:r w:rsidRPr="000250FA">
        <w:rPr>
          <w:vertAlign w:val="superscript"/>
        </w:rPr>
        <w:footnoteReference w:id="386"/>
      </w:r>
      <w:bookmarkEnd w:id="252"/>
      <w:r w:rsidRPr="000250FA">
        <w:rPr>
          <w:rStyle w:val="Lbjegyzet-hivatkozs"/>
        </w:rPr>
        <w:footnoteReference w:id="387"/>
      </w:r>
    </w:p>
    <w:p w14:paraId="3FFB37F1" w14:textId="77777777" w:rsidR="00893D5B" w:rsidRPr="000250FA" w:rsidRDefault="00893D5B" w:rsidP="00893D5B">
      <w:pPr>
        <w:tabs>
          <w:tab w:val="left" w:pos="9781"/>
        </w:tabs>
        <w:ind w:right="-144"/>
        <w:jc w:val="both"/>
        <w:rPr>
          <w:b/>
          <w:i/>
          <w:sz w:val="22"/>
          <w:szCs w:val="22"/>
        </w:rPr>
      </w:pPr>
    </w:p>
    <w:p w14:paraId="239DF3AA" w14:textId="77777777" w:rsidR="00893D5B" w:rsidRPr="000250FA" w:rsidRDefault="00893D5B" w:rsidP="00893D5B">
      <w:pPr>
        <w:jc w:val="both"/>
        <w:rPr>
          <w:sz w:val="22"/>
          <w:szCs w:val="22"/>
        </w:rPr>
      </w:pPr>
      <w:r w:rsidRPr="000250FA">
        <w:rPr>
          <w:b/>
          <w:sz w:val="22"/>
          <w:szCs w:val="22"/>
        </w:rPr>
        <w:t>113. §</w:t>
      </w:r>
      <w:r w:rsidRPr="000250FA">
        <w:rPr>
          <w:rStyle w:val="Lbjegyzet-hivatkozs"/>
          <w:b/>
          <w:sz w:val="22"/>
          <w:szCs w:val="22"/>
        </w:rPr>
        <w:footnoteReference w:id="388"/>
      </w:r>
      <w:r w:rsidRPr="000250FA">
        <w:rPr>
          <w:rStyle w:val="Lbjegyzet-hivatkozs"/>
          <w:b/>
          <w:sz w:val="22"/>
          <w:szCs w:val="22"/>
        </w:rPr>
        <w:footnoteReference w:id="389"/>
      </w:r>
      <w:r w:rsidRPr="000250FA">
        <w:rPr>
          <w:rStyle w:val="Lbjegyzet-hivatkozs"/>
          <w:b/>
          <w:sz w:val="22"/>
          <w:szCs w:val="22"/>
        </w:rPr>
        <w:footnoteReference w:id="390"/>
      </w:r>
      <w:r w:rsidRPr="000250FA">
        <w:rPr>
          <w:b/>
          <w:i/>
          <w:sz w:val="22"/>
          <w:szCs w:val="22"/>
        </w:rPr>
        <w:t xml:space="preserve"> </w:t>
      </w:r>
      <w:r w:rsidRPr="000250FA">
        <w:rPr>
          <w:sz w:val="22"/>
          <w:szCs w:val="22"/>
        </w:rPr>
        <w:t>A rektor, rektorhelyettesek, kancellár, és az önálló szervezetek vezetőinek pályázati eljárására vonatkozó részletes szabályokat az Egyetem szervezeti és működési szabályzata tartalmazza.</w:t>
      </w:r>
    </w:p>
    <w:p w14:paraId="7D9995CC" w14:textId="77777777" w:rsidR="00893D5B" w:rsidRPr="000250FA" w:rsidRDefault="00893D5B" w:rsidP="00893D5B">
      <w:pPr>
        <w:jc w:val="both"/>
        <w:rPr>
          <w:sz w:val="22"/>
          <w:szCs w:val="22"/>
        </w:rPr>
      </w:pPr>
    </w:p>
    <w:p w14:paraId="0814B989" w14:textId="77777777" w:rsidR="00893D5B" w:rsidRPr="000250FA" w:rsidRDefault="00893D5B" w:rsidP="00893D5B">
      <w:pPr>
        <w:pStyle w:val="Cmsor4"/>
      </w:pPr>
      <w:bookmarkStart w:id="253" w:name="_Toc432753615"/>
      <w:r w:rsidRPr="000250FA">
        <w:t>Az egyetemi, főiskolai tanári, docensi munkakörökre kiírt pályázatok elbírálásának rendje</w:t>
      </w:r>
      <w:r w:rsidRPr="000250FA">
        <w:rPr>
          <w:rStyle w:val="Lbjegyzet-hivatkozs"/>
          <w:b w:val="0"/>
        </w:rPr>
        <w:footnoteReference w:id="391"/>
      </w:r>
      <w:bookmarkEnd w:id="253"/>
    </w:p>
    <w:p w14:paraId="1E1E6B27" w14:textId="77777777" w:rsidR="00893D5B" w:rsidRPr="000250FA" w:rsidRDefault="00893D5B" w:rsidP="00893D5B">
      <w:pPr>
        <w:tabs>
          <w:tab w:val="left" w:pos="9781"/>
        </w:tabs>
        <w:ind w:right="-144"/>
        <w:jc w:val="both"/>
        <w:rPr>
          <w:b/>
          <w:i/>
          <w:sz w:val="22"/>
          <w:szCs w:val="22"/>
        </w:rPr>
      </w:pPr>
    </w:p>
    <w:p w14:paraId="10017B5B" w14:textId="77777777" w:rsidR="00893D5B" w:rsidRPr="000250FA" w:rsidRDefault="00893D5B" w:rsidP="00893D5B">
      <w:pPr>
        <w:tabs>
          <w:tab w:val="left" w:pos="9781"/>
        </w:tabs>
        <w:ind w:right="-144"/>
        <w:jc w:val="center"/>
        <w:rPr>
          <w:b/>
          <w:sz w:val="22"/>
          <w:szCs w:val="22"/>
        </w:rPr>
      </w:pPr>
      <w:r w:rsidRPr="000250FA">
        <w:rPr>
          <w:b/>
          <w:sz w:val="22"/>
          <w:szCs w:val="22"/>
        </w:rPr>
        <w:t>Az egyetemi, főiskolai tanári munkakörre kiírt pályázatok elbírálásának rendje</w:t>
      </w:r>
    </w:p>
    <w:p w14:paraId="23E610C7" w14:textId="77777777" w:rsidR="00893D5B" w:rsidRPr="000250FA" w:rsidRDefault="00893D5B" w:rsidP="00893D5B">
      <w:pPr>
        <w:tabs>
          <w:tab w:val="left" w:pos="9781"/>
        </w:tabs>
        <w:ind w:right="-144"/>
        <w:jc w:val="center"/>
        <w:rPr>
          <w:b/>
          <w:i/>
          <w:sz w:val="22"/>
          <w:szCs w:val="22"/>
        </w:rPr>
      </w:pPr>
    </w:p>
    <w:p w14:paraId="4C1E570B" w14:textId="33F629D2" w:rsidR="00893D5B" w:rsidRPr="0078578F" w:rsidRDefault="00893D5B" w:rsidP="00893D5B">
      <w:pPr>
        <w:tabs>
          <w:tab w:val="left" w:pos="9781"/>
        </w:tabs>
        <w:ind w:right="-144"/>
        <w:jc w:val="both"/>
        <w:rPr>
          <w:bCs/>
          <w:iCs/>
          <w:sz w:val="22"/>
          <w:szCs w:val="22"/>
        </w:rPr>
      </w:pPr>
      <w:r w:rsidRPr="000250FA">
        <w:rPr>
          <w:b/>
          <w:sz w:val="22"/>
          <w:szCs w:val="22"/>
        </w:rPr>
        <w:lastRenderedPageBreak/>
        <w:t>114. §</w:t>
      </w:r>
      <w:r w:rsidRPr="000250FA">
        <w:rPr>
          <w:rStyle w:val="Lbjegyzet-hivatkozs"/>
          <w:b/>
          <w:sz w:val="22"/>
          <w:szCs w:val="22"/>
        </w:rPr>
        <w:footnoteReference w:id="392"/>
      </w:r>
      <w:r w:rsidRPr="000250FA">
        <w:rPr>
          <w:b/>
          <w:sz w:val="22"/>
          <w:szCs w:val="22"/>
        </w:rPr>
        <w:t xml:space="preserve"> </w:t>
      </w:r>
      <w:r w:rsidRPr="000250FA">
        <w:rPr>
          <w:rStyle w:val="Lbjegyzet-hivatkozs"/>
          <w:b/>
          <w:sz w:val="22"/>
          <w:szCs w:val="22"/>
        </w:rPr>
        <w:footnoteReference w:id="393"/>
      </w:r>
      <w:r w:rsidRPr="000250FA">
        <w:rPr>
          <w:sz w:val="22"/>
          <w:szCs w:val="22"/>
        </w:rPr>
        <w:t xml:space="preserve"> (1)</w:t>
      </w:r>
      <w:r w:rsidRPr="000250FA">
        <w:rPr>
          <w:rStyle w:val="Lbjegyzet-hivatkozs"/>
          <w:sz w:val="22"/>
          <w:szCs w:val="22"/>
        </w:rPr>
        <w:footnoteReference w:id="394"/>
      </w:r>
      <w:r w:rsidRPr="000250FA">
        <w:rPr>
          <w:sz w:val="22"/>
          <w:szCs w:val="22"/>
        </w:rPr>
        <w:t xml:space="preserve"> Az egyetemi, főiskolai tanári munkakörre kiírt pályázatok esetében az Emberi Erőforrások Minisztériuma által az adott évre meghatározott ütemtervet és eljárásrendet figyelembe kell venni. Az ütemtervről a Rektori </w:t>
      </w:r>
      <w:r w:rsidRPr="0078578F">
        <w:rPr>
          <w:sz w:val="22"/>
          <w:szCs w:val="22"/>
        </w:rPr>
        <w:t xml:space="preserve">Kabinet </w:t>
      </w:r>
      <w:r w:rsidRPr="000250FA">
        <w:rPr>
          <w:sz w:val="22"/>
          <w:szCs w:val="22"/>
        </w:rPr>
        <w:t xml:space="preserve">tájékoztatja a karokat, Klinikai Központot és a </w:t>
      </w:r>
      <w:r w:rsidR="005C493C" w:rsidRPr="0078578F">
        <w:rPr>
          <w:bCs/>
          <w:iCs/>
          <w:sz w:val="22"/>
          <w:szCs w:val="22"/>
        </w:rPr>
        <w:t>Kancellári Hivatal</w:t>
      </w:r>
      <w:r w:rsidR="005C493C" w:rsidRPr="0078578F">
        <w:rPr>
          <w:sz w:val="22"/>
          <w:szCs w:val="22"/>
        </w:rPr>
        <w:t xml:space="preserve"> </w:t>
      </w:r>
      <w:r w:rsidRPr="0078578F">
        <w:rPr>
          <w:sz w:val="22"/>
          <w:szCs w:val="22"/>
        </w:rPr>
        <w:t>Humánpolitikai</w:t>
      </w:r>
      <w:r w:rsidR="005C493C" w:rsidRPr="0078578F">
        <w:rPr>
          <w:sz w:val="22"/>
          <w:szCs w:val="22"/>
        </w:rPr>
        <w:t xml:space="preserve"> </w:t>
      </w:r>
      <w:r w:rsidR="005C493C" w:rsidRPr="0078578F">
        <w:rPr>
          <w:bCs/>
          <w:iCs/>
          <w:sz w:val="22"/>
          <w:szCs w:val="22"/>
        </w:rPr>
        <w:t>Főosztályát</w:t>
      </w:r>
      <w:r w:rsidRPr="0078578F">
        <w:rPr>
          <w:sz w:val="22"/>
          <w:szCs w:val="22"/>
        </w:rPr>
        <w:t>.</w:t>
      </w:r>
    </w:p>
    <w:p w14:paraId="42FE160A" w14:textId="77777777" w:rsidR="00893D5B" w:rsidRPr="0078578F" w:rsidRDefault="00893D5B" w:rsidP="00893D5B">
      <w:pPr>
        <w:tabs>
          <w:tab w:val="left" w:pos="9781"/>
        </w:tabs>
        <w:ind w:right="-144"/>
        <w:jc w:val="both"/>
        <w:rPr>
          <w:sz w:val="22"/>
          <w:szCs w:val="22"/>
        </w:rPr>
      </w:pPr>
    </w:p>
    <w:p w14:paraId="28A05DB1" w14:textId="77777777" w:rsidR="00893D5B" w:rsidRPr="000250FA" w:rsidRDefault="00893D5B" w:rsidP="00893D5B">
      <w:pPr>
        <w:tabs>
          <w:tab w:val="left" w:pos="9781"/>
        </w:tabs>
        <w:ind w:right="-144"/>
        <w:jc w:val="both"/>
        <w:rPr>
          <w:sz w:val="22"/>
          <w:szCs w:val="22"/>
        </w:rPr>
      </w:pPr>
      <w:r w:rsidRPr="000250FA">
        <w:rPr>
          <w:sz w:val="22"/>
          <w:szCs w:val="22"/>
        </w:rPr>
        <w:t xml:space="preserve">(2) A pályázat kiírását - Klinikai Központra vonatkozó pályázatok esetében a főigazgató javaslatára - a kar kezdeményezi a rektornál. A pályázati kiírást a karon, illetve a Klinikai Központban működő tudományos testület véleményezi. A pályázatokat a rektorhoz kell benyújtani. </w:t>
      </w:r>
    </w:p>
    <w:p w14:paraId="2B3723E5" w14:textId="77777777" w:rsidR="00893D5B" w:rsidRPr="000250FA" w:rsidRDefault="00893D5B" w:rsidP="00893D5B">
      <w:pPr>
        <w:tabs>
          <w:tab w:val="left" w:pos="9781"/>
        </w:tabs>
        <w:ind w:right="-144"/>
        <w:jc w:val="both"/>
        <w:rPr>
          <w:sz w:val="22"/>
          <w:szCs w:val="22"/>
        </w:rPr>
      </w:pPr>
    </w:p>
    <w:p w14:paraId="7D68E4CD" w14:textId="77777777" w:rsidR="00893D5B" w:rsidRPr="000250FA" w:rsidRDefault="00893D5B" w:rsidP="00893D5B">
      <w:pPr>
        <w:tabs>
          <w:tab w:val="left" w:pos="9781"/>
        </w:tabs>
        <w:ind w:right="-144"/>
        <w:jc w:val="both"/>
        <w:rPr>
          <w:sz w:val="22"/>
          <w:szCs w:val="22"/>
        </w:rPr>
      </w:pPr>
      <w:r w:rsidRPr="000250FA">
        <w:rPr>
          <w:sz w:val="22"/>
          <w:szCs w:val="22"/>
        </w:rPr>
        <w:t>(3) A pályázati kiírásban meghatározott határidőre beérkezett pályázatokat a Rektori Titkárság továbbítja karok felé, és egyidejűleg gondoskodik az Egyetemi Habilitációs és Habitusvizsgáló Bizottság (továbbiakban: EHHB) elé terjesztésről is. A főiskolai tanári pályázatokat a MAB nem véleményezi.</w:t>
      </w:r>
    </w:p>
    <w:p w14:paraId="3C1E79CB" w14:textId="77777777" w:rsidR="00893D5B" w:rsidRPr="000250FA" w:rsidRDefault="00893D5B" w:rsidP="00893D5B">
      <w:pPr>
        <w:tabs>
          <w:tab w:val="left" w:pos="9781"/>
        </w:tabs>
        <w:ind w:right="-144"/>
        <w:jc w:val="both"/>
        <w:rPr>
          <w:sz w:val="22"/>
          <w:szCs w:val="22"/>
        </w:rPr>
      </w:pPr>
    </w:p>
    <w:p w14:paraId="78333B2E" w14:textId="77777777" w:rsidR="00893D5B" w:rsidRPr="000250FA" w:rsidRDefault="00893D5B" w:rsidP="00893D5B">
      <w:pPr>
        <w:tabs>
          <w:tab w:val="left" w:pos="9781"/>
        </w:tabs>
        <w:ind w:right="-144"/>
        <w:jc w:val="both"/>
        <w:rPr>
          <w:sz w:val="22"/>
          <w:szCs w:val="22"/>
        </w:rPr>
      </w:pPr>
      <w:r w:rsidRPr="000250FA">
        <w:rPr>
          <w:sz w:val="22"/>
          <w:szCs w:val="22"/>
        </w:rPr>
        <w:t>(4)</w:t>
      </w:r>
      <w:r w:rsidRPr="000250FA">
        <w:rPr>
          <w:rStyle w:val="Lbjegyzet-hivatkozs"/>
          <w:sz w:val="22"/>
          <w:szCs w:val="22"/>
        </w:rPr>
        <w:footnoteReference w:id="395"/>
      </w:r>
      <w:r w:rsidRPr="000250FA">
        <w:rPr>
          <w:sz w:val="22"/>
          <w:szCs w:val="22"/>
        </w:rPr>
        <w:t xml:space="preserve"> Az EHHB – mint az egyetemi tanári pályázatokat véleményező szakmai testület - a pályázatokat megvizsgálja abból a szempontból, hogy azok megfelelnek-e a jogszabályokban, illetve jelen szabályzatban foglalt követelményeknek és erről véleményt nyilvánít.</w:t>
      </w:r>
    </w:p>
    <w:p w14:paraId="60725D21" w14:textId="77777777" w:rsidR="00893D5B" w:rsidRPr="000250FA" w:rsidRDefault="00893D5B" w:rsidP="00893D5B">
      <w:pPr>
        <w:tabs>
          <w:tab w:val="left" w:pos="9781"/>
        </w:tabs>
        <w:ind w:right="-144"/>
        <w:jc w:val="both"/>
        <w:rPr>
          <w:sz w:val="22"/>
          <w:szCs w:val="22"/>
        </w:rPr>
      </w:pPr>
    </w:p>
    <w:p w14:paraId="1E6B99ED" w14:textId="77777777" w:rsidR="00893D5B" w:rsidRPr="000250FA" w:rsidRDefault="00893D5B" w:rsidP="00893D5B">
      <w:pPr>
        <w:tabs>
          <w:tab w:val="left" w:pos="9781"/>
        </w:tabs>
        <w:ind w:right="-144"/>
        <w:jc w:val="both"/>
        <w:rPr>
          <w:sz w:val="22"/>
          <w:szCs w:val="22"/>
        </w:rPr>
      </w:pPr>
      <w:r w:rsidRPr="000250FA">
        <w:rPr>
          <w:sz w:val="22"/>
          <w:szCs w:val="22"/>
        </w:rPr>
        <w:t>(5) A Kari Tanács által támogatott pályázatokat az EHHB szakmai véleményével ellátva a dékán terjeszti a Szenátus elé.</w:t>
      </w:r>
    </w:p>
    <w:p w14:paraId="20FCD1E5" w14:textId="77777777" w:rsidR="00893D5B" w:rsidRPr="000250FA" w:rsidRDefault="00893D5B" w:rsidP="00893D5B">
      <w:pPr>
        <w:tabs>
          <w:tab w:val="left" w:pos="9781"/>
        </w:tabs>
        <w:ind w:right="-144"/>
        <w:jc w:val="both"/>
        <w:rPr>
          <w:strike/>
          <w:sz w:val="22"/>
          <w:szCs w:val="22"/>
        </w:rPr>
      </w:pPr>
    </w:p>
    <w:p w14:paraId="1E0D0BE5" w14:textId="77777777" w:rsidR="00893D5B" w:rsidRPr="000250FA" w:rsidRDefault="00893D5B" w:rsidP="00893D5B">
      <w:pPr>
        <w:tabs>
          <w:tab w:val="left" w:pos="9781"/>
        </w:tabs>
        <w:ind w:right="-144"/>
        <w:jc w:val="both"/>
        <w:rPr>
          <w:sz w:val="22"/>
          <w:szCs w:val="22"/>
        </w:rPr>
      </w:pPr>
      <w:r w:rsidRPr="000250FA">
        <w:rPr>
          <w:sz w:val="22"/>
          <w:szCs w:val="22"/>
        </w:rPr>
        <w:t xml:space="preserve">(6) A Szenátus az EHHB véleményét figyelembe véve, a Kari </w:t>
      </w:r>
      <w:proofErr w:type="gramStart"/>
      <w:r w:rsidRPr="000250FA">
        <w:rPr>
          <w:sz w:val="22"/>
          <w:szCs w:val="22"/>
        </w:rPr>
        <w:t>Tanács támogató</w:t>
      </w:r>
      <w:proofErr w:type="gramEnd"/>
      <w:r w:rsidRPr="000250FA">
        <w:rPr>
          <w:sz w:val="22"/>
          <w:szCs w:val="22"/>
        </w:rPr>
        <w:t xml:space="preserve"> javaslata alapján a beérkezett pályázatok rangsorolásáról minősített többséggel dönt. A Szenátus által támogatott pályázatokat a Rektori Titkárság megküldi a MAB-nak.</w:t>
      </w:r>
    </w:p>
    <w:p w14:paraId="758E1187" w14:textId="77777777" w:rsidR="00893D5B" w:rsidRPr="000250FA" w:rsidRDefault="00893D5B" w:rsidP="00893D5B">
      <w:pPr>
        <w:tabs>
          <w:tab w:val="left" w:pos="9781"/>
        </w:tabs>
        <w:ind w:right="-144"/>
        <w:jc w:val="both"/>
        <w:rPr>
          <w:sz w:val="22"/>
          <w:szCs w:val="22"/>
        </w:rPr>
      </w:pPr>
    </w:p>
    <w:p w14:paraId="664350DE" w14:textId="77777777" w:rsidR="00893D5B" w:rsidRPr="000250FA" w:rsidRDefault="00893D5B" w:rsidP="00893D5B">
      <w:pPr>
        <w:tabs>
          <w:tab w:val="left" w:pos="9781"/>
        </w:tabs>
        <w:ind w:right="-144"/>
        <w:jc w:val="both"/>
        <w:rPr>
          <w:sz w:val="22"/>
          <w:szCs w:val="22"/>
        </w:rPr>
      </w:pPr>
      <w:r w:rsidRPr="000250FA">
        <w:rPr>
          <w:sz w:val="22"/>
          <w:szCs w:val="22"/>
        </w:rPr>
        <w:t>(7) Az EHHB által támogatott, a MAB szakértői véleményében nem megfelelőnek értékelt pályázatok esetében a pályázat felülvizsgálatának kezdeményezésére az EHHB tesz javaslatot a Szenátusnak. Az EHHB által nem támogatott és a MAB szakértői véleményében nem megfelelőnek értékelt pályázatok esetében a Szenátus felülvizsgálatot nem kezdeményez.</w:t>
      </w:r>
    </w:p>
    <w:p w14:paraId="3F8232FC" w14:textId="77777777" w:rsidR="00893D5B" w:rsidRPr="000250FA" w:rsidRDefault="00893D5B" w:rsidP="00893D5B">
      <w:pPr>
        <w:tabs>
          <w:tab w:val="left" w:pos="9781"/>
        </w:tabs>
        <w:ind w:right="-144"/>
        <w:jc w:val="both"/>
        <w:rPr>
          <w:sz w:val="22"/>
          <w:szCs w:val="22"/>
        </w:rPr>
      </w:pPr>
    </w:p>
    <w:p w14:paraId="00EABB54" w14:textId="77777777" w:rsidR="00893D5B" w:rsidRPr="000250FA" w:rsidRDefault="00893D5B" w:rsidP="00893D5B">
      <w:pPr>
        <w:jc w:val="both"/>
        <w:rPr>
          <w:b/>
          <w:bCs/>
          <w:sz w:val="22"/>
          <w:szCs w:val="22"/>
        </w:rPr>
      </w:pPr>
      <w:r w:rsidRPr="000250FA">
        <w:rPr>
          <w:bCs/>
          <w:sz w:val="22"/>
          <w:szCs w:val="22"/>
        </w:rPr>
        <w:t>(8)</w:t>
      </w:r>
      <w:r w:rsidRPr="000250FA">
        <w:rPr>
          <w:rStyle w:val="Lbjegyzet-hivatkozs"/>
          <w:bCs/>
          <w:sz w:val="22"/>
          <w:szCs w:val="22"/>
        </w:rPr>
        <w:footnoteReference w:id="396"/>
      </w:r>
      <w:r w:rsidRPr="000250FA">
        <w:rPr>
          <w:bCs/>
          <w:sz w:val="22"/>
          <w:szCs w:val="22"/>
        </w:rPr>
        <w:t xml:space="preserve"> A rektor a főiskolai tanári kinevezésre, illetve az egyetemi tanári kinevezésre szóló javaslatát megküldi az Egyetem fenntartójának, abból a célból, hogy továbbítsa a kinevezésre jogosultnak. Amennyiben a Szenátus által támogatott pályázó még nem rendelkezik a megfelelő munkaköri címmel, a közalkalmazotti jogviszony létesítését megelőzően a rektor kezdeményezi a főiskolai tanári, egyetemi tanári cím adományozását</w:t>
      </w:r>
      <w:r w:rsidRPr="000250FA">
        <w:rPr>
          <w:b/>
          <w:bCs/>
          <w:sz w:val="22"/>
          <w:szCs w:val="22"/>
        </w:rPr>
        <w:t>.</w:t>
      </w:r>
    </w:p>
    <w:p w14:paraId="48212775" w14:textId="77777777" w:rsidR="00893D5B" w:rsidRPr="000250FA" w:rsidRDefault="00893D5B" w:rsidP="00893D5B">
      <w:pPr>
        <w:tabs>
          <w:tab w:val="left" w:pos="9781"/>
        </w:tabs>
        <w:ind w:right="-144"/>
        <w:rPr>
          <w:b/>
          <w:i/>
          <w:sz w:val="22"/>
          <w:szCs w:val="22"/>
        </w:rPr>
      </w:pPr>
    </w:p>
    <w:p w14:paraId="3AF39836" w14:textId="77777777" w:rsidR="00893D5B" w:rsidRPr="000250FA" w:rsidRDefault="00893D5B" w:rsidP="00893D5B">
      <w:pPr>
        <w:tabs>
          <w:tab w:val="left" w:pos="9781"/>
        </w:tabs>
        <w:ind w:right="-144"/>
        <w:jc w:val="center"/>
        <w:rPr>
          <w:b/>
          <w:sz w:val="22"/>
          <w:szCs w:val="22"/>
        </w:rPr>
      </w:pPr>
      <w:r w:rsidRPr="000250FA">
        <w:rPr>
          <w:b/>
          <w:sz w:val="22"/>
          <w:szCs w:val="22"/>
        </w:rPr>
        <w:t>A docensi munkakörre kiírt pályázatok elbírálásának rendje</w:t>
      </w:r>
    </w:p>
    <w:p w14:paraId="2E23135B" w14:textId="77777777" w:rsidR="00893D5B" w:rsidRPr="000250FA" w:rsidRDefault="00893D5B" w:rsidP="00893D5B">
      <w:pPr>
        <w:tabs>
          <w:tab w:val="left" w:pos="9781"/>
        </w:tabs>
        <w:ind w:right="-144"/>
        <w:jc w:val="both"/>
        <w:rPr>
          <w:sz w:val="22"/>
          <w:szCs w:val="22"/>
        </w:rPr>
      </w:pPr>
    </w:p>
    <w:p w14:paraId="12AA4554" w14:textId="77777777" w:rsidR="00893D5B" w:rsidRPr="000250FA" w:rsidRDefault="00893D5B" w:rsidP="00893D5B">
      <w:pPr>
        <w:tabs>
          <w:tab w:val="left" w:pos="9781"/>
        </w:tabs>
        <w:ind w:right="-144"/>
        <w:jc w:val="both"/>
        <w:rPr>
          <w:sz w:val="22"/>
          <w:szCs w:val="22"/>
        </w:rPr>
      </w:pPr>
      <w:r w:rsidRPr="000250FA">
        <w:rPr>
          <w:b/>
          <w:sz w:val="22"/>
          <w:szCs w:val="22"/>
        </w:rPr>
        <w:t>114/</w:t>
      </w:r>
      <w:proofErr w:type="gramStart"/>
      <w:r w:rsidRPr="000250FA">
        <w:rPr>
          <w:b/>
          <w:sz w:val="22"/>
          <w:szCs w:val="22"/>
        </w:rPr>
        <w:t>A.</w:t>
      </w:r>
      <w:proofErr w:type="gramEnd"/>
      <w:r w:rsidRPr="000250FA">
        <w:rPr>
          <w:b/>
          <w:sz w:val="22"/>
          <w:szCs w:val="22"/>
        </w:rPr>
        <w:t xml:space="preserve"> §</w:t>
      </w:r>
      <w:r w:rsidRPr="000250FA">
        <w:rPr>
          <w:b/>
          <w:i/>
          <w:sz w:val="22"/>
          <w:szCs w:val="22"/>
        </w:rPr>
        <w:t xml:space="preserve"> </w:t>
      </w:r>
      <w:r w:rsidRPr="000250FA">
        <w:rPr>
          <w:sz w:val="22"/>
          <w:szCs w:val="22"/>
        </w:rPr>
        <w:t>(1) A docensi munkakörre kiírt pályázatra a pályázatokat a rektorhoz kell benyújtani.</w:t>
      </w:r>
    </w:p>
    <w:p w14:paraId="293274FE" w14:textId="77777777" w:rsidR="00893D5B" w:rsidRPr="000250FA" w:rsidRDefault="00893D5B" w:rsidP="00893D5B">
      <w:pPr>
        <w:tabs>
          <w:tab w:val="left" w:pos="9781"/>
        </w:tabs>
        <w:ind w:right="-144"/>
        <w:jc w:val="both"/>
        <w:rPr>
          <w:sz w:val="22"/>
          <w:szCs w:val="22"/>
        </w:rPr>
      </w:pPr>
    </w:p>
    <w:p w14:paraId="0FBF0713"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397"/>
      </w:r>
      <w:r w:rsidRPr="000250FA">
        <w:rPr>
          <w:sz w:val="22"/>
          <w:szCs w:val="22"/>
        </w:rPr>
        <w:t xml:space="preserve"> A Rektori Kabinet Titkársága</w:t>
      </w:r>
      <w:r w:rsidRPr="000250FA">
        <w:rPr>
          <w:i/>
          <w:sz w:val="22"/>
          <w:szCs w:val="22"/>
        </w:rPr>
        <w:t xml:space="preserve"> </w:t>
      </w:r>
      <w:r w:rsidRPr="000250FA">
        <w:rPr>
          <w:sz w:val="22"/>
          <w:szCs w:val="22"/>
        </w:rPr>
        <w:t>a beérkezett pályázatokat megküldi a karnak, Klinikai Központnak, egyidejűleg gondoskodik a pályázatok EHHB elé terjesztéséről is.</w:t>
      </w:r>
    </w:p>
    <w:p w14:paraId="2E7F0C5D" w14:textId="77777777" w:rsidR="00893D5B" w:rsidRPr="000250FA" w:rsidRDefault="00893D5B" w:rsidP="00893D5B">
      <w:pPr>
        <w:tabs>
          <w:tab w:val="left" w:pos="9781"/>
        </w:tabs>
        <w:ind w:right="-144"/>
        <w:jc w:val="both"/>
        <w:rPr>
          <w:sz w:val="22"/>
          <w:szCs w:val="22"/>
        </w:rPr>
      </w:pPr>
    </w:p>
    <w:p w14:paraId="5B0A28EB" w14:textId="77777777" w:rsidR="00893D5B" w:rsidRPr="000250FA" w:rsidRDefault="00893D5B" w:rsidP="00893D5B">
      <w:pPr>
        <w:jc w:val="both"/>
        <w:rPr>
          <w:sz w:val="22"/>
          <w:szCs w:val="22"/>
        </w:rPr>
      </w:pPr>
      <w:r w:rsidRPr="000250FA">
        <w:rPr>
          <w:sz w:val="22"/>
          <w:szCs w:val="22"/>
        </w:rPr>
        <w:t>(3)</w:t>
      </w:r>
      <w:r w:rsidRPr="000250FA">
        <w:rPr>
          <w:rStyle w:val="Lbjegyzet-hivatkozs"/>
          <w:sz w:val="22"/>
          <w:szCs w:val="22"/>
        </w:rPr>
        <w:footnoteReference w:id="398"/>
      </w:r>
      <w:r w:rsidRPr="000250FA">
        <w:rPr>
          <w:sz w:val="22"/>
          <w:szCs w:val="22"/>
        </w:rPr>
        <w:t xml:space="preserve"> Az EHHB a docensi pályázatokról az Egyetem állandó bizottságairól szóló szabályzatban meghatározottak szerint véleményt nyilvánít vagy dönt. Amennyiben a docensi kinevezés feltételeként meghatározott habilitációról az EHHB döntött, úgy a docensi pályázattal kapcsolatban az EHHB véleményét nem kell kikérni.</w:t>
      </w:r>
    </w:p>
    <w:p w14:paraId="2FD0B71C" w14:textId="77777777" w:rsidR="00893D5B" w:rsidRPr="000250FA" w:rsidRDefault="00893D5B" w:rsidP="00893D5B">
      <w:pPr>
        <w:tabs>
          <w:tab w:val="left" w:pos="9781"/>
        </w:tabs>
        <w:ind w:right="-144"/>
        <w:jc w:val="both"/>
        <w:rPr>
          <w:sz w:val="22"/>
          <w:szCs w:val="22"/>
        </w:rPr>
      </w:pPr>
    </w:p>
    <w:p w14:paraId="750D6AAF" w14:textId="77777777" w:rsidR="00893D5B" w:rsidRPr="000250FA" w:rsidRDefault="00893D5B" w:rsidP="00893D5B">
      <w:pPr>
        <w:tabs>
          <w:tab w:val="left" w:pos="9781"/>
        </w:tabs>
        <w:ind w:right="-144"/>
        <w:jc w:val="both"/>
        <w:rPr>
          <w:sz w:val="22"/>
          <w:szCs w:val="22"/>
        </w:rPr>
      </w:pPr>
      <w:r w:rsidRPr="000250FA">
        <w:rPr>
          <w:sz w:val="22"/>
          <w:szCs w:val="22"/>
        </w:rPr>
        <w:lastRenderedPageBreak/>
        <w:t xml:space="preserve">(4) Az EHHB határozatának meghozatalát követően a Kari Tanács véleményt nyilvánít a pályázatokról. A kar a pályázatok elbírálására bíráló bizottságot hozhat létre. </w:t>
      </w:r>
    </w:p>
    <w:p w14:paraId="1EC2C0A6" w14:textId="77777777" w:rsidR="00893D5B" w:rsidRPr="000250FA" w:rsidRDefault="00893D5B" w:rsidP="00893D5B">
      <w:pPr>
        <w:tabs>
          <w:tab w:val="left" w:pos="9781"/>
        </w:tabs>
        <w:ind w:right="-144"/>
        <w:jc w:val="both"/>
        <w:rPr>
          <w:sz w:val="22"/>
          <w:szCs w:val="22"/>
        </w:rPr>
      </w:pPr>
    </w:p>
    <w:p w14:paraId="30656A8F" w14:textId="77777777" w:rsidR="00893D5B" w:rsidRPr="000250FA" w:rsidRDefault="00893D5B" w:rsidP="00893D5B">
      <w:pPr>
        <w:tabs>
          <w:tab w:val="left" w:pos="9781"/>
        </w:tabs>
        <w:ind w:right="-144"/>
        <w:jc w:val="both"/>
        <w:rPr>
          <w:sz w:val="22"/>
          <w:szCs w:val="22"/>
        </w:rPr>
      </w:pPr>
      <w:r w:rsidRPr="000250FA">
        <w:rPr>
          <w:sz w:val="22"/>
          <w:szCs w:val="22"/>
        </w:rPr>
        <w:t>(5) A pályázatokat az EHHB, valamint a Kari Tanács véleménye alapján a Szenátus rangsorolja.</w:t>
      </w:r>
    </w:p>
    <w:p w14:paraId="3DB5CA03" w14:textId="77777777" w:rsidR="00893D5B" w:rsidRPr="000250FA" w:rsidRDefault="00893D5B" w:rsidP="00893D5B">
      <w:pPr>
        <w:tabs>
          <w:tab w:val="left" w:pos="9781"/>
        </w:tabs>
        <w:ind w:right="-144"/>
        <w:jc w:val="both"/>
        <w:rPr>
          <w:sz w:val="22"/>
          <w:szCs w:val="22"/>
        </w:rPr>
      </w:pPr>
    </w:p>
    <w:p w14:paraId="0213BBAC" w14:textId="77777777" w:rsidR="00893D5B" w:rsidRPr="000250FA" w:rsidRDefault="00893D5B" w:rsidP="00893D5B">
      <w:pPr>
        <w:tabs>
          <w:tab w:val="left" w:pos="9781"/>
        </w:tabs>
        <w:ind w:right="-144"/>
        <w:jc w:val="both"/>
        <w:rPr>
          <w:sz w:val="22"/>
          <w:szCs w:val="22"/>
        </w:rPr>
      </w:pPr>
      <w:r w:rsidRPr="000250FA">
        <w:rPr>
          <w:b/>
          <w:sz w:val="22"/>
          <w:szCs w:val="22"/>
        </w:rPr>
        <w:t>114/B. §</w:t>
      </w:r>
      <w:r w:rsidRPr="000250FA">
        <w:rPr>
          <w:b/>
          <w:i/>
          <w:sz w:val="22"/>
          <w:szCs w:val="22"/>
        </w:rPr>
        <w:t xml:space="preserve"> </w:t>
      </w:r>
      <w:r w:rsidRPr="000250FA">
        <w:rPr>
          <w:sz w:val="22"/>
          <w:szCs w:val="22"/>
        </w:rPr>
        <w:t>(1)</w:t>
      </w:r>
      <w:r w:rsidRPr="000250FA">
        <w:rPr>
          <w:b/>
          <w:i/>
          <w:sz w:val="22"/>
          <w:szCs w:val="22"/>
        </w:rPr>
        <w:t xml:space="preserve"> </w:t>
      </w:r>
      <w:r w:rsidRPr="000250FA">
        <w:rPr>
          <w:sz w:val="22"/>
          <w:szCs w:val="22"/>
        </w:rPr>
        <w:t>Ha a Szenátus, illetve a Kari Tanács által elfogadott rangsorban olyan pályázó is található, aki az Egyetemen oktatói munkakörben dolgozik (a továbbiakban: foglalkoztatott oktató), a (4) bekezdésben foglaltakat a következő eltéréssel kell alkalmazni:</w:t>
      </w:r>
    </w:p>
    <w:p w14:paraId="4A135C26" w14:textId="77777777" w:rsidR="00893D5B" w:rsidRPr="000250FA" w:rsidRDefault="00893D5B" w:rsidP="00893D5B">
      <w:pPr>
        <w:jc w:val="both"/>
        <w:rPr>
          <w:b/>
          <w:bCs/>
          <w:iCs/>
          <w:sz w:val="22"/>
          <w:szCs w:val="22"/>
        </w:rPr>
      </w:pPr>
    </w:p>
    <w:p w14:paraId="63C2ED27" w14:textId="77777777" w:rsidR="00893D5B" w:rsidRPr="000250FA" w:rsidRDefault="00893D5B" w:rsidP="00F83E93">
      <w:pPr>
        <w:numPr>
          <w:ilvl w:val="0"/>
          <w:numId w:val="116"/>
        </w:numPr>
        <w:jc w:val="both"/>
        <w:rPr>
          <w:sz w:val="22"/>
          <w:szCs w:val="22"/>
        </w:rPr>
      </w:pPr>
      <w:r w:rsidRPr="000250FA">
        <w:rPr>
          <w:sz w:val="22"/>
          <w:szCs w:val="22"/>
        </w:rPr>
        <w:t>a rektor döntése alapján nem közalkalmazotti jogviszonyt kell létesíteni, hanem a közalkalmazotti kinevezést kell módosítani,</w:t>
      </w:r>
    </w:p>
    <w:p w14:paraId="4810EFB9" w14:textId="77777777" w:rsidR="00893D5B" w:rsidRPr="000250FA" w:rsidRDefault="00893D5B" w:rsidP="00F83E93">
      <w:pPr>
        <w:numPr>
          <w:ilvl w:val="0"/>
          <w:numId w:val="116"/>
        </w:numPr>
        <w:jc w:val="both"/>
        <w:rPr>
          <w:sz w:val="22"/>
          <w:szCs w:val="22"/>
        </w:rPr>
      </w:pPr>
      <w:r w:rsidRPr="000250FA">
        <w:rPr>
          <w:sz w:val="22"/>
          <w:szCs w:val="22"/>
        </w:rPr>
        <w:t>a foglalkoztatott oktatót a rektor csak akkor mellőzheti, ha olyan pályázót választ ki, aki a rangsorban megelőzi a foglalkoztatott oktatót.</w:t>
      </w:r>
    </w:p>
    <w:p w14:paraId="4CC95E07" w14:textId="77777777" w:rsidR="00893D5B" w:rsidRPr="000250FA" w:rsidRDefault="00893D5B" w:rsidP="00893D5B">
      <w:pPr>
        <w:tabs>
          <w:tab w:val="left" w:pos="9781"/>
        </w:tabs>
        <w:autoSpaceDE w:val="0"/>
        <w:autoSpaceDN w:val="0"/>
        <w:adjustRightInd w:val="0"/>
        <w:ind w:right="-144"/>
        <w:jc w:val="both"/>
        <w:rPr>
          <w:sz w:val="22"/>
          <w:szCs w:val="22"/>
        </w:rPr>
      </w:pPr>
    </w:p>
    <w:p w14:paraId="642919DE" w14:textId="77777777" w:rsidR="00893D5B" w:rsidRPr="000250FA" w:rsidRDefault="00893D5B" w:rsidP="00893D5B">
      <w:pPr>
        <w:tabs>
          <w:tab w:val="left" w:pos="9781"/>
        </w:tabs>
        <w:ind w:right="-144"/>
        <w:jc w:val="both"/>
        <w:rPr>
          <w:snapToGrid w:val="0"/>
          <w:sz w:val="22"/>
          <w:szCs w:val="22"/>
        </w:rPr>
      </w:pPr>
      <w:r w:rsidRPr="000250FA">
        <w:rPr>
          <w:sz w:val="22"/>
          <w:szCs w:val="22"/>
        </w:rPr>
        <w:t>(2)</w:t>
      </w:r>
      <w:r w:rsidRPr="000250FA">
        <w:rPr>
          <w:b/>
          <w:i/>
          <w:sz w:val="22"/>
          <w:szCs w:val="22"/>
        </w:rPr>
        <w:t xml:space="preserve"> </w:t>
      </w:r>
      <w:r w:rsidRPr="000250FA">
        <w:rPr>
          <w:snapToGrid w:val="0"/>
          <w:sz w:val="22"/>
          <w:szCs w:val="22"/>
        </w:rPr>
        <w:t>Ha az Egyetemmel közalkalmazotti jogviszonyban álló oktatót más felsőoktatási intézmény előterjesztésére egyetemi vagy főiskolai tanárnak neveznek ki, e kinevezés az Egyetemen betöltött munkakörét nem érinti.</w:t>
      </w:r>
    </w:p>
    <w:p w14:paraId="78D41423" w14:textId="1C5813E9" w:rsidR="00893D5B" w:rsidRPr="000250FA" w:rsidRDefault="00893D5B" w:rsidP="00893D5B">
      <w:pPr>
        <w:tabs>
          <w:tab w:val="left" w:pos="9781"/>
        </w:tabs>
        <w:ind w:right="-144"/>
        <w:rPr>
          <w:b/>
          <w:sz w:val="22"/>
          <w:szCs w:val="22"/>
        </w:rPr>
      </w:pPr>
    </w:p>
    <w:p w14:paraId="7B156E02" w14:textId="77777777" w:rsidR="00893D5B" w:rsidRPr="000250FA" w:rsidRDefault="00893D5B" w:rsidP="00893D5B">
      <w:pPr>
        <w:pStyle w:val="Cmsor4"/>
      </w:pPr>
      <w:bookmarkStart w:id="254" w:name="_Toc432753616"/>
      <w:r w:rsidRPr="000250FA">
        <w:t>A tanársegédek, adjunktusok és a tanári munkakörben foglalkoztatottak pályázatának elbírálására vonatkozó szabályok</w:t>
      </w:r>
      <w:bookmarkEnd w:id="254"/>
    </w:p>
    <w:p w14:paraId="002A4721" w14:textId="77777777" w:rsidR="00893D5B" w:rsidRPr="000250FA" w:rsidRDefault="00893D5B" w:rsidP="00893D5B">
      <w:pPr>
        <w:tabs>
          <w:tab w:val="left" w:pos="9781"/>
        </w:tabs>
        <w:ind w:right="-144"/>
        <w:jc w:val="center"/>
        <w:rPr>
          <w:b/>
          <w:sz w:val="22"/>
          <w:szCs w:val="22"/>
        </w:rPr>
      </w:pPr>
    </w:p>
    <w:p w14:paraId="70F76EF6" w14:textId="77777777" w:rsidR="00893D5B" w:rsidRPr="000250FA" w:rsidRDefault="00893D5B" w:rsidP="00893D5B">
      <w:pPr>
        <w:tabs>
          <w:tab w:val="left" w:pos="9781"/>
        </w:tabs>
        <w:ind w:right="-144"/>
        <w:jc w:val="both"/>
        <w:rPr>
          <w:sz w:val="22"/>
          <w:szCs w:val="22"/>
        </w:rPr>
      </w:pPr>
      <w:r w:rsidRPr="000250FA">
        <w:rPr>
          <w:b/>
          <w:sz w:val="22"/>
          <w:szCs w:val="22"/>
        </w:rPr>
        <w:t>115. §</w:t>
      </w:r>
      <w:r w:rsidRPr="000250FA">
        <w:rPr>
          <w:rStyle w:val="Lbjegyzet-hivatkozs"/>
          <w:b/>
          <w:sz w:val="22"/>
          <w:szCs w:val="22"/>
        </w:rPr>
        <w:footnoteReference w:id="399"/>
      </w:r>
      <w:r w:rsidRPr="000250FA">
        <w:rPr>
          <w:b/>
          <w:sz w:val="22"/>
          <w:szCs w:val="22"/>
        </w:rPr>
        <w:t xml:space="preserve"> </w:t>
      </w:r>
      <w:r w:rsidRPr="000250FA">
        <w:rPr>
          <w:sz w:val="22"/>
          <w:szCs w:val="22"/>
        </w:rPr>
        <w:t>(1) A beérkezett pályázatok elbírálására a munkáltatói jogkör gyakorlója legalább három főből álló bíráló bizottságot kér fel, amely megvizsgálja, hogy az adott pályázat megfelel-e a pályázati feltételeknek.</w:t>
      </w:r>
      <w:r w:rsidRPr="000250FA">
        <w:rPr>
          <w:b/>
          <w:i/>
          <w:sz w:val="22"/>
          <w:szCs w:val="22"/>
        </w:rPr>
        <w:t xml:space="preserve"> </w:t>
      </w:r>
      <w:r w:rsidRPr="000250FA">
        <w:rPr>
          <w:sz w:val="22"/>
          <w:szCs w:val="22"/>
        </w:rPr>
        <w:t>A Klinikai Központban kiírt pályázat esetén a munkáltatói jogkör gyakorlója mellett az Általános Orvostudományi Kar is véleményt nyilvánít.</w:t>
      </w:r>
    </w:p>
    <w:p w14:paraId="5F68D97D" w14:textId="77777777" w:rsidR="00893D5B" w:rsidRPr="000250FA" w:rsidRDefault="00893D5B" w:rsidP="00893D5B">
      <w:pPr>
        <w:jc w:val="both"/>
        <w:rPr>
          <w:sz w:val="22"/>
          <w:szCs w:val="22"/>
        </w:rPr>
      </w:pPr>
    </w:p>
    <w:p w14:paraId="546C7DE1" w14:textId="77777777" w:rsidR="00893D5B" w:rsidRDefault="00893D5B" w:rsidP="00893D5B">
      <w:pPr>
        <w:tabs>
          <w:tab w:val="left" w:pos="9781"/>
        </w:tabs>
        <w:ind w:right="-144"/>
        <w:jc w:val="both"/>
        <w:rPr>
          <w:sz w:val="22"/>
          <w:szCs w:val="22"/>
        </w:rPr>
      </w:pPr>
      <w:r w:rsidRPr="000250FA">
        <w:rPr>
          <w:sz w:val="22"/>
          <w:szCs w:val="22"/>
        </w:rPr>
        <w:t xml:space="preserve">(2) A bizottság a pályázókat indokolt esetben személyesen is meghallgathatja. A bizottsági meghallgatásáról jegyzőkönyvet kell készíteni, amely tartalmazza a bizottság tagjainak az egyes pályázók </w:t>
      </w:r>
      <w:proofErr w:type="spellStart"/>
      <w:r w:rsidRPr="000250FA">
        <w:rPr>
          <w:sz w:val="22"/>
          <w:szCs w:val="22"/>
        </w:rPr>
        <w:t>alkalmasságára</w:t>
      </w:r>
      <w:proofErr w:type="spellEnd"/>
      <w:r w:rsidRPr="000250FA">
        <w:rPr>
          <w:sz w:val="22"/>
          <w:szCs w:val="22"/>
        </w:rPr>
        <w:t xml:space="preserve"> vonatkozó véleményét. A jegyzőkönyvhöz csatolni kell az ülés jelenléti ívét is.</w:t>
      </w:r>
    </w:p>
    <w:p w14:paraId="61260909" w14:textId="77777777" w:rsidR="00E658DE" w:rsidRPr="000250FA" w:rsidRDefault="00E658DE" w:rsidP="00893D5B">
      <w:pPr>
        <w:tabs>
          <w:tab w:val="left" w:pos="9781"/>
        </w:tabs>
        <w:ind w:right="-144"/>
        <w:jc w:val="both"/>
        <w:rPr>
          <w:sz w:val="22"/>
          <w:szCs w:val="22"/>
        </w:rPr>
      </w:pPr>
    </w:p>
    <w:p w14:paraId="0B35987B" w14:textId="77777777" w:rsidR="00893D5B" w:rsidRPr="000250FA" w:rsidRDefault="00893D5B" w:rsidP="00893D5B">
      <w:pPr>
        <w:tabs>
          <w:tab w:val="left" w:pos="9781"/>
        </w:tabs>
        <w:ind w:right="-144"/>
        <w:jc w:val="both"/>
        <w:rPr>
          <w:sz w:val="22"/>
          <w:szCs w:val="22"/>
        </w:rPr>
      </w:pPr>
      <w:r w:rsidRPr="000250FA">
        <w:rPr>
          <w:sz w:val="22"/>
          <w:szCs w:val="22"/>
        </w:rPr>
        <w:t>(3) A bizottság a pályázatokat megküldi a munkáltatói jogkör gyakorlójának, melyhez véleményét is csatolja.</w:t>
      </w:r>
    </w:p>
    <w:p w14:paraId="222763FA" w14:textId="77777777" w:rsidR="00893D5B" w:rsidRPr="000250FA" w:rsidRDefault="00893D5B" w:rsidP="00893D5B">
      <w:pPr>
        <w:tabs>
          <w:tab w:val="left" w:pos="9781"/>
        </w:tabs>
        <w:ind w:right="-144"/>
        <w:jc w:val="both"/>
        <w:rPr>
          <w:sz w:val="22"/>
          <w:szCs w:val="22"/>
        </w:rPr>
      </w:pPr>
    </w:p>
    <w:p w14:paraId="5C3337A0" w14:textId="77777777" w:rsidR="00893D5B" w:rsidRDefault="00893D5B" w:rsidP="00893D5B">
      <w:pPr>
        <w:tabs>
          <w:tab w:val="left" w:pos="9781"/>
        </w:tabs>
        <w:ind w:right="-144"/>
        <w:jc w:val="both"/>
        <w:rPr>
          <w:sz w:val="22"/>
          <w:szCs w:val="22"/>
        </w:rPr>
      </w:pPr>
      <w:r w:rsidRPr="000250FA">
        <w:rPr>
          <w:sz w:val="22"/>
          <w:szCs w:val="22"/>
        </w:rPr>
        <w:t>(4)</w:t>
      </w:r>
      <w:r w:rsidRPr="000250FA">
        <w:rPr>
          <w:rStyle w:val="Lbjegyzet-hivatkozs"/>
          <w:sz w:val="22"/>
          <w:szCs w:val="22"/>
        </w:rPr>
        <w:footnoteReference w:id="400"/>
      </w:r>
      <w:r w:rsidRPr="000250FA">
        <w:rPr>
          <w:sz w:val="22"/>
          <w:szCs w:val="22"/>
        </w:rPr>
        <w:t xml:space="preserve"> A Kari/ Klinikai Központ SZMSZ rendelkezése alapján pályázatokat a Kari Tanács,</w:t>
      </w:r>
      <w:r w:rsidRPr="000250FA">
        <w:rPr>
          <w:b/>
          <w:i/>
          <w:sz w:val="22"/>
          <w:szCs w:val="22"/>
        </w:rPr>
        <w:t xml:space="preserve"> </w:t>
      </w:r>
      <w:r w:rsidRPr="000250FA">
        <w:rPr>
          <w:sz w:val="22"/>
          <w:szCs w:val="22"/>
        </w:rPr>
        <w:t>illetőleg a Klinikai Központban kiírt pályázat esetén a Klinikai Központ Tanácsa is rangsorolja.</w:t>
      </w:r>
    </w:p>
    <w:p w14:paraId="33E9CBBE" w14:textId="77777777" w:rsidR="00EA7F2A" w:rsidRPr="000250FA" w:rsidRDefault="00EA7F2A" w:rsidP="00893D5B">
      <w:pPr>
        <w:tabs>
          <w:tab w:val="left" w:pos="9781"/>
        </w:tabs>
        <w:ind w:right="-144"/>
        <w:jc w:val="both"/>
        <w:rPr>
          <w:sz w:val="22"/>
          <w:szCs w:val="22"/>
        </w:rPr>
      </w:pPr>
    </w:p>
    <w:p w14:paraId="2B3A10F7" w14:textId="77777777" w:rsidR="00EA7F2A" w:rsidRPr="00F742C0" w:rsidRDefault="00EA7F2A" w:rsidP="00EA7F2A">
      <w:pPr>
        <w:tabs>
          <w:tab w:val="left" w:pos="9781"/>
        </w:tabs>
        <w:ind w:right="-144"/>
        <w:jc w:val="center"/>
        <w:rPr>
          <w:b/>
          <w:sz w:val="22"/>
        </w:rPr>
      </w:pPr>
      <w:bookmarkStart w:id="255" w:name="_Toc432753617"/>
      <w:r w:rsidRPr="00F742C0">
        <w:rPr>
          <w:b/>
          <w:sz w:val="22"/>
        </w:rPr>
        <w:t>A tudományos tanácsadói és a kutatóprofesszori munkakörre kiírt pályázatok elbírálásának rendje</w:t>
      </w:r>
    </w:p>
    <w:p w14:paraId="6DA99E82" w14:textId="77777777" w:rsidR="00EA7F2A" w:rsidRPr="00EA7F2A" w:rsidRDefault="00EA7F2A" w:rsidP="00EA7F2A">
      <w:pPr>
        <w:tabs>
          <w:tab w:val="left" w:pos="9781"/>
        </w:tabs>
        <w:ind w:right="-144"/>
        <w:rPr>
          <w:b/>
          <w:i/>
          <w:sz w:val="22"/>
        </w:rPr>
      </w:pPr>
    </w:p>
    <w:p w14:paraId="1F32C5B5" w14:textId="77777777" w:rsidR="00EA7F2A" w:rsidRPr="00F742C0" w:rsidRDefault="00EA7F2A" w:rsidP="00EA7F2A">
      <w:pPr>
        <w:tabs>
          <w:tab w:val="left" w:pos="9781"/>
        </w:tabs>
        <w:ind w:right="-144"/>
        <w:jc w:val="both"/>
        <w:rPr>
          <w:sz w:val="22"/>
        </w:rPr>
      </w:pPr>
      <w:r w:rsidRPr="00EA7F2A">
        <w:rPr>
          <w:b/>
          <w:sz w:val="22"/>
        </w:rPr>
        <w:t>115/</w:t>
      </w:r>
      <w:proofErr w:type="gramStart"/>
      <w:r w:rsidRPr="00EA7F2A">
        <w:rPr>
          <w:b/>
          <w:sz w:val="22"/>
        </w:rPr>
        <w:t>A.</w:t>
      </w:r>
      <w:proofErr w:type="gramEnd"/>
      <w:r w:rsidRPr="00EA7F2A">
        <w:rPr>
          <w:b/>
          <w:sz w:val="22"/>
        </w:rPr>
        <w:t xml:space="preserve"> §</w:t>
      </w:r>
      <w:r w:rsidRPr="00F742C0">
        <w:rPr>
          <w:rStyle w:val="Lbjegyzet-hivatkozs"/>
          <w:sz w:val="22"/>
        </w:rPr>
        <w:footnoteReference w:id="401"/>
      </w:r>
      <w:r w:rsidRPr="00F742C0">
        <w:rPr>
          <w:sz w:val="22"/>
        </w:rPr>
        <w:t xml:space="preserve"> (1) A pályázati kiírásban meghatározott határidőre beérkezett pályázatokat a Rektori Titkárság továbbítja karok felé, és egyidejűleg gondoskodik az Egyetemi Habilitációs és Habitusvizsgáló Bizottság (továbbiakban: EHHB) elé terjesztésről is. </w:t>
      </w:r>
    </w:p>
    <w:p w14:paraId="79D77A8E" w14:textId="77777777" w:rsidR="00EA7F2A" w:rsidRPr="00F742C0" w:rsidRDefault="00EA7F2A" w:rsidP="00EA7F2A">
      <w:pPr>
        <w:tabs>
          <w:tab w:val="left" w:pos="9781"/>
        </w:tabs>
        <w:ind w:right="-144"/>
        <w:jc w:val="both"/>
        <w:rPr>
          <w:sz w:val="22"/>
        </w:rPr>
      </w:pPr>
    </w:p>
    <w:p w14:paraId="5A859691" w14:textId="77777777" w:rsidR="00EA7F2A" w:rsidRPr="00F742C0" w:rsidRDefault="00EA7F2A" w:rsidP="00EA7F2A">
      <w:pPr>
        <w:tabs>
          <w:tab w:val="left" w:pos="9781"/>
        </w:tabs>
        <w:ind w:right="-144"/>
        <w:jc w:val="both"/>
        <w:rPr>
          <w:sz w:val="22"/>
        </w:rPr>
      </w:pPr>
      <w:r w:rsidRPr="00F742C0">
        <w:rPr>
          <w:sz w:val="22"/>
        </w:rPr>
        <w:t>(2) Az EHHB a pályázatokat megvizsgálja abból a szempontból, hogy azok megfelelnek-e a jogszabályokban, illetve jelen szabályzatban foglalt követelményeknek és erről véleményt nyilvánít.</w:t>
      </w:r>
    </w:p>
    <w:p w14:paraId="51EE119D" w14:textId="77777777" w:rsidR="00EA7F2A" w:rsidRPr="00F742C0" w:rsidRDefault="00EA7F2A" w:rsidP="00EA7F2A">
      <w:pPr>
        <w:tabs>
          <w:tab w:val="left" w:pos="9781"/>
        </w:tabs>
        <w:ind w:right="-144"/>
        <w:jc w:val="both"/>
        <w:rPr>
          <w:sz w:val="22"/>
        </w:rPr>
      </w:pPr>
    </w:p>
    <w:p w14:paraId="3526A52E" w14:textId="77777777" w:rsidR="00EA7F2A" w:rsidRPr="00F742C0" w:rsidRDefault="00EA7F2A" w:rsidP="00EA7F2A">
      <w:pPr>
        <w:tabs>
          <w:tab w:val="left" w:pos="9781"/>
        </w:tabs>
        <w:ind w:right="-144"/>
        <w:jc w:val="both"/>
        <w:rPr>
          <w:sz w:val="22"/>
        </w:rPr>
      </w:pPr>
      <w:r w:rsidRPr="00F742C0">
        <w:rPr>
          <w:sz w:val="22"/>
        </w:rPr>
        <w:t>(3) A Kari Tanács, valamint az EHHB által támogatott pályázatokat a dékán terjeszti a Szenátus elé. Az EHHB támogató véleménye hiányában a pályázat nem terjeszthető a Szenátus elé.</w:t>
      </w:r>
    </w:p>
    <w:p w14:paraId="269B93D4" w14:textId="77777777" w:rsidR="00EA7F2A" w:rsidRPr="00F742C0" w:rsidRDefault="00EA7F2A" w:rsidP="00EA7F2A">
      <w:pPr>
        <w:tabs>
          <w:tab w:val="left" w:pos="9781"/>
        </w:tabs>
        <w:ind w:right="-144"/>
        <w:jc w:val="both"/>
        <w:rPr>
          <w:strike/>
          <w:sz w:val="22"/>
        </w:rPr>
      </w:pPr>
    </w:p>
    <w:p w14:paraId="3982F5BF" w14:textId="77777777" w:rsidR="00EA7F2A" w:rsidRPr="00F742C0" w:rsidRDefault="00EA7F2A" w:rsidP="00EA7F2A">
      <w:pPr>
        <w:tabs>
          <w:tab w:val="left" w:pos="9781"/>
        </w:tabs>
        <w:ind w:right="-144"/>
        <w:jc w:val="both"/>
        <w:rPr>
          <w:sz w:val="22"/>
        </w:rPr>
      </w:pPr>
      <w:r w:rsidRPr="00F742C0">
        <w:rPr>
          <w:sz w:val="22"/>
        </w:rPr>
        <w:lastRenderedPageBreak/>
        <w:t xml:space="preserve">(4) Az EHHB által támogatott és a Kari </w:t>
      </w:r>
      <w:proofErr w:type="gramStart"/>
      <w:r w:rsidRPr="00F742C0">
        <w:rPr>
          <w:sz w:val="22"/>
        </w:rPr>
        <w:t>Tanács támogató</w:t>
      </w:r>
      <w:proofErr w:type="gramEnd"/>
      <w:r w:rsidRPr="00F742C0">
        <w:rPr>
          <w:sz w:val="22"/>
        </w:rPr>
        <w:t xml:space="preserve"> javaslata alapján a beérkezett pályázatok rangsorolásáról a Szenátus dönt.</w:t>
      </w:r>
    </w:p>
    <w:p w14:paraId="701A7008" w14:textId="77777777" w:rsidR="00893D5B" w:rsidRPr="000250FA" w:rsidRDefault="00893D5B" w:rsidP="00893D5B">
      <w:pPr>
        <w:pStyle w:val="Cmsor4"/>
      </w:pPr>
      <w:r w:rsidRPr="000250FA">
        <w:t>A nem oktatói, kutatói, tanári munkakörre kiírt pályázatok elbírálására vonatkozó szabályok</w:t>
      </w:r>
      <w:bookmarkEnd w:id="255"/>
    </w:p>
    <w:p w14:paraId="4148E655" w14:textId="77777777" w:rsidR="00893D5B" w:rsidRPr="000250FA" w:rsidRDefault="00893D5B" w:rsidP="00893D5B">
      <w:pPr>
        <w:tabs>
          <w:tab w:val="left" w:pos="9781"/>
        </w:tabs>
        <w:ind w:right="-144"/>
        <w:jc w:val="both"/>
        <w:rPr>
          <w:b/>
          <w:sz w:val="22"/>
          <w:szCs w:val="22"/>
        </w:rPr>
      </w:pPr>
    </w:p>
    <w:p w14:paraId="24B9156F" w14:textId="77777777" w:rsidR="00893D5B" w:rsidRPr="000250FA" w:rsidRDefault="00893D5B" w:rsidP="00893D5B">
      <w:pPr>
        <w:tabs>
          <w:tab w:val="left" w:pos="9781"/>
        </w:tabs>
        <w:ind w:right="-144"/>
        <w:jc w:val="both"/>
        <w:rPr>
          <w:sz w:val="22"/>
          <w:szCs w:val="22"/>
        </w:rPr>
      </w:pPr>
      <w:r w:rsidRPr="000250FA">
        <w:rPr>
          <w:b/>
          <w:sz w:val="22"/>
          <w:szCs w:val="22"/>
        </w:rPr>
        <w:t>116. §</w:t>
      </w:r>
      <w:r w:rsidRPr="000250FA">
        <w:rPr>
          <w:b/>
          <w:i/>
          <w:sz w:val="22"/>
          <w:szCs w:val="22"/>
        </w:rPr>
        <w:t xml:space="preserve"> </w:t>
      </w:r>
      <w:r w:rsidRPr="000250FA">
        <w:rPr>
          <w:sz w:val="22"/>
          <w:szCs w:val="22"/>
        </w:rPr>
        <w:t>(1) A beérkezett pályázatok elbírálására legalább három főből álló bíráló bizottságot kell létrehozni. A bíráló bizottság tagjait a munkáltatói jogkör gyakorlója</w:t>
      </w:r>
      <w:r w:rsidRPr="000250FA">
        <w:rPr>
          <w:b/>
          <w:i/>
          <w:sz w:val="22"/>
          <w:szCs w:val="22"/>
        </w:rPr>
        <w:t xml:space="preserve"> </w:t>
      </w:r>
      <w:r w:rsidRPr="000250FA">
        <w:rPr>
          <w:sz w:val="22"/>
          <w:szCs w:val="22"/>
        </w:rPr>
        <w:t>kéri fel és látja el megbízólevéllel.</w:t>
      </w:r>
    </w:p>
    <w:p w14:paraId="6B7812E5" w14:textId="77777777" w:rsidR="00893D5B" w:rsidRPr="000250FA" w:rsidRDefault="00893D5B" w:rsidP="00893D5B">
      <w:pPr>
        <w:tabs>
          <w:tab w:val="left" w:pos="9781"/>
        </w:tabs>
        <w:ind w:right="-144"/>
        <w:jc w:val="both"/>
        <w:rPr>
          <w:sz w:val="22"/>
          <w:szCs w:val="22"/>
        </w:rPr>
      </w:pPr>
    </w:p>
    <w:p w14:paraId="7879D7A5" w14:textId="77777777" w:rsidR="00893D5B" w:rsidRPr="000250FA" w:rsidRDefault="00893D5B" w:rsidP="00893D5B">
      <w:pPr>
        <w:tabs>
          <w:tab w:val="left" w:pos="9781"/>
        </w:tabs>
        <w:ind w:right="-144"/>
        <w:jc w:val="both"/>
        <w:rPr>
          <w:sz w:val="22"/>
          <w:szCs w:val="22"/>
        </w:rPr>
      </w:pPr>
      <w:r w:rsidRPr="000250FA">
        <w:rPr>
          <w:sz w:val="22"/>
          <w:szCs w:val="22"/>
        </w:rPr>
        <w:t xml:space="preserve">(2) A bíráló bizottság köteles megvizsgálni, hogy az adott pályázat megfelel-e a pályázati feltételeknek. </w:t>
      </w:r>
    </w:p>
    <w:p w14:paraId="7552C9E7" w14:textId="77777777" w:rsidR="00893D5B" w:rsidRPr="000250FA" w:rsidRDefault="00893D5B" w:rsidP="00893D5B">
      <w:pPr>
        <w:tabs>
          <w:tab w:val="left" w:pos="9781"/>
        </w:tabs>
        <w:ind w:right="-144"/>
        <w:jc w:val="both"/>
        <w:rPr>
          <w:sz w:val="22"/>
          <w:szCs w:val="22"/>
        </w:rPr>
      </w:pPr>
    </w:p>
    <w:p w14:paraId="04189197" w14:textId="77777777" w:rsidR="00893D5B" w:rsidRPr="000250FA" w:rsidRDefault="00893D5B" w:rsidP="00893D5B">
      <w:pPr>
        <w:tabs>
          <w:tab w:val="left" w:pos="9781"/>
        </w:tabs>
        <w:ind w:right="-144"/>
        <w:jc w:val="both"/>
        <w:rPr>
          <w:sz w:val="22"/>
          <w:szCs w:val="22"/>
        </w:rPr>
      </w:pPr>
      <w:r w:rsidRPr="000250FA">
        <w:rPr>
          <w:sz w:val="22"/>
          <w:szCs w:val="22"/>
        </w:rPr>
        <w:t xml:space="preserve">(3) A bizottság a pályázati feltételeknek megfelelő pályázókat személyesen meghallgatja. A bizottsági meghallgatásról jegyzőkönyvet kell készíteni, amely tartalmazza a bizottság tagjainak az egyes pályázók </w:t>
      </w:r>
      <w:proofErr w:type="spellStart"/>
      <w:r w:rsidRPr="000250FA">
        <w:rPr>
          <w:sz w:val="22"/>
          <w:szCs w:val="22"/>
        </w:rPr>
        <w:t>alkalmasságára</w:t>
      </w:r>
      <w:proofErr w:type="spellEnd"/>
      <w:r w:rsidRPr="000250FA">
        <w:rPr>
          <w:sz w:val="22"/>
          <w:szCs w:val="22"/>
        </w:rPr>
        <w:t xml:space="preserve"> vonatkozó véleményét. A jegyzőkönyvhöz csatolni kell az ülés jelenléti ívét is.</w:t>
      </w:r>
    </w:p>
    <w:p w14:paraId="3D960C45" w14:textId="77777777" w:rsidR="00893D5B" w:rsidRPr="000250FA" w:rsidRDefault="00893D5B" w:rsidP="00893D5B">
      <w:pPr>
        <w:tabs>
          <w:tab w:val="left" w:pos="9781"/>
        </w:tabs>
        <w:ind w:right="-144"/>
        <w:jc w:val="both"/>
        <w:rPr>
          <w:sz w:val="22"/>
          <w:szCs w:val="22"/>
        </w:rPr>
      </w:pPr>
    </w:p>
    <w:p w14:paraId="406198AB" w14:textId="77777777" w:rsidR="00893D5B" w:rsidRPr="000250FA" w:rsidRDefault="00893D5B" w:rsidP="00893D5B">
      <w:pPr>
        <w:tabs>
          <w:tab w:val="left" w:pos="9781"/>
        </w:tabs>
        <w:ind w:right="-144"/>
        <w:jc w:val="both"/>
        <w:rPr>
          <w:sz w:val="22"/>
          <w:szCs w:val="22"/>
        </w:rPr>
      </w:pPr>
      <w:r w:rsidRPr="000250FA">
        <w:rPr>
          <w:sz w:val="22"/>
          <w:szCs w:val="22"/>
        </w:rPr>
        <w:t>(4) A pályázatokat a bíráló bizottság véleményének kialakítását követően a munkáltatói jogkör gyakorlója részére megküldi.</w:t>
      </w:r>
    </w:p>
    <w:p w14:paraId="7B2ABDA5" w14:textId="77777777" w:rsidR="00893D5B" w:rsidRPr="000250FA" w:rsidRDefault="00893D5B" w:rsidP="00893D5B">
      <w:pPr>
        <w:tabs>
          <w:tab w:val="left" w:pos="9781"/>
        </w:tabs>
        <w:ind w:right="-144"/>
        <w:jc w:val="center"/>
        <w:rPr>
          <w:b/>
          <w:sz w:val="22"/>
          <w:szCs w:val="22"/>
        </w:rPr>
      </w:pPr>
    </w:p>
    <w:p w14:paraId="31BA67DE" w14:textId="77777777" w:rsidR="00893D5B" w:rsidRPr="00FA5A36" w:rsidRDefault="00893D5B" w:rsidP="00893D5B">
      <w:pPr>
        <w:pStyle w:val="Cmsor1"/>
        <w:rPr>
          <w:b w:val="0"/>
        </w:rPr>
      </w:pPr>
      <w:bookmarkStart w:id="256" w:name="_Toc432753618"/>
      <w:bookmarkStart w:id="257" w:name="_Toc444603571"/>
      <w:bookmarkStart w:id="258" w:name="_Toc445200831"/>
      <w:bookmarkStart w:id="259" w:name="_Toc58569554"/>
      <w:r w:rsidRPr="00FA5A36">
        <w:rPr>
          <w:b w:val="0"/>
        </w:rPr>
        <w:t>HETEDIK RÉSZ</w:t>
      </w:r>
      <w:bookmarkEnd w:id="256"/>
      <w:bookmarkEnd w:id="257"/>
      <w:bookmarkEnd w:id="258"/>
      <w:bookmarkEnd w:id="259"/>
    </w:p>
    <w:p w14:paraId="572F6C1D" w14:textId="77777777" w:rsidR="00893D5B" w:rsidRPr="000250FA" w:rsidRDefault="00893D5B" w:rsidP="00893D5B">
      <w:pPr>
        <w:pStyle w:val="Cmsor1"/>
      </w:pPr>
    </w:p>
    <w:p w14:paraId="515384C7" w14:textId="77777777" w:rsidR="00893D5B" w:rsidRPr="000250FA" w:rsidRDefault="00893D5B" w:rsidP="00893D5B">
      <w:pPr>
        <w:pStyle w:val="Cmsor2"/>
      </w:pPr>
      <w:bookmarkStart w:id="260" w:name="_Toc432753619"/>
      <w:bookmarkStart w:id="261" w:name="_Toc444603572"/>
      <w:bookmarkStart w:id="262" w:name="_Toc445200832"/>
      <w:bookmarkStart w:id="263" w:name="_Toc58569555"/>
      <w:r w:rsidRPr="000250FA">
        <w:t>Az Egyetem által adományozható munkaköri és egyéb címek</w:t>
      </w:r>
      <w:bookmarkEnd w:id="260"/>
      <w:bookmarkEnd w:id="261"/>
      <w:bookmarkEnd w:id="262"/>
      <w:bookmarkEnd w:id="263"/>
    </w:p>
    <w:p w14:paraId="0C19A3E2" w14:textId="77777777" w:rsidR="00893D5B" w:rsidRPr="000250FA" w:rsidRDefault="00893D5B" w:rsidP="00893D5B">
      <w:pPr>
        <w:tabs>
          <w:tab w:val="left" w:pos="9781"/>
        </w:tabs>
        <w:ind w:right="-144"/>
        <w:jc w:val="both"/>
        <w:rPr>
          <w:sz w:val="22"/>
          <w:szCs w:val="22"/>
        </w:rPr>
      </w:pPr>
    </w:p>
    <w:p w14:paraId="4EB0C38E" w14:textId="77777777" w:rsidR="00893D5B" w:rsidRPr="000250FA" w:rsidRDefault="00893D5B" w:rsidP="00893D5B">
      <w:pPr>
        <w:pStyle w:val="Cmsor3"/>
        <w:rPr>
          <w:i/>
        </w:rPr>
      </w:pPr>
      <w:bookmarkStart w:id="264" w:name="_Toc58569556"/>
      <w:r w:rsidRPr="000250FA">
        <w:t>I. fejezet</w:t>
      </w:r>
      <w:r w:rsidRPr="000250FA">
        <w:rPr>
          <w:i/>
        </w:rPr>
        <w:t xml:space="preserve"> </w:t>
      </w:r>
      <w:bookmarkStart w:id="265" w:name="_Toc432753620"/>
      <w:bookmarkStart w:id="266" w:name="_Toc444603573"/>
      <w:r w:rsidRPr="000250FA">
        <w:rPr>
          <w:i/>
        </w:rPr>
        <w:t>-</w:t>
      </w:r>
      <w:r w:rsidRPr="000250FA">
        <w:t xml:space="preserve"> Oktatói munkakörhöz nem kapcsolódó címek</w:t>
      </w:r>
      <w:bookmarkEnd w:id="264"/>
      <w:bookmarkEnd w:id="265"/>
      <w:bookmarkEnd w:id="266"/>
    </w:p>
    <w:p w14:paraId="6E4B101A" w14:textId="77777777" w:rsidR="00893D5B" w:rsidRPr="000250FA" w:rsidRDefault="00893D5B" w:rsidP="00893D5B">
      <w:pPr>
        <w:tabs>
          <w:tab w:val="left" w:pos="9781"/>
        </w:tabs>
        <w:ind w:right="-144"/>
        <w:jc w:val="both"/>
        <w:rPr>
          <w:sz w:val="22"/>
          <w:szCs w:val="22"/>
        </w:rPr>
      </w:pPr>
    </w:p>
    <w:p w14:paraId="50B59667" w14:textId="77777777" w:rsidR="00893D5B" w:rsidRPr="000250FA" w:rsidRDefault="00893D5B" w:rsidP="00893D5B">
      <w:pPr>
        <w:pStyle w:val="Cmsor4"/>
      </w:pPr>
      <w:bookmarkStart w:id="267" w:name="_Toc432753621"/>
      <w:r w:rsidRPr="000250FA">
        <w:t>Professor Emeritus/Emerita cím adományozása</w:t>
      </w:r>
      <w:bookmarkEnd w:id="267"/>
    </w:p>
    <w:p w14:paraId="6157C90E" w14:textId="77777777" w:rsidR="00893D5B" w:rsidRPr="000250FA" w:rsidRDefault="00893D5B" w:rsidP="00893D5B">
      <w:pPr>
        <w:tabs>
          <w:tab w:val="left" w:pos="9781"/>
        </w:tabs>
        <w:ind w:right="-144"/>
        <w:jc w:val="both"/>
        <w:rPr>
          <w:sz w:val="22"/>
          <w:szCs w:val="22"/>
        </w:rPr>
      </w:pPr>
    </w:p>
    <w:p w14:paraId="7FC8FD8A" w14:textId="77777777" w:rsidR="00893D5B" w:rsidRPr="000250FA" w:rsidRDefault="00893D5B" w:rsidP="00893D5B">
      <w:pPr>
        <w:tabs>
          <w:tab w:val="left" w:pos="9781"/>
        </w:tabs>
        <w:ind w:right="-144"/>
        <w:jc w:val="both"/>
        <w:rPr>
          <w:sz w:val="22"/>
          <w:szCs w:val="22"/>
        </w:rPr>
      </w:pPr>
      <w:r w:rsidRPr="000250FA">
        <w:rPr>
          <w:b/>
          <w:sz w:val="22"/>
          <w:szCs w:val="22"/>
        </w:rPr>
        <w:t>117. §</w:t>
      </w:r>
      <w:r w:rsidRPr="000250FA">
        <w:rPr>
          <w:sz w:val="22"/>
          <w:szCs w:val="22"/>
        </w:rPr>
        <w:t xml:space="preserve"> (1) Annak, aki főiskolai, illetve egyetemi tanári címmel rendelkezik, és nyugdíjazására tekintettel foglalkoztatását megszüntetik, a Szenátus határozatlan időre Professor Emeritus vagy Professor Emerita (a továbbiakban együtt: Professor Emeritus) címet adományozhat, amennyiben </w:t>
      </w:r>
    </w:p>
    <w:p w14:paraId="5CB3A712" w14:textId="77777777" w:rsidR="00893D5B" w:rsidRPr="000250FA" w:rsidRDefault="00893D5B" w:rsidP="00893D5B">
      <w:pPr>
        <w:tabs>
          <w:tab w:val="left" w:pos="2268"/>
          <w:tab w:val="left" w:pos="9781"/>
        </w:tabs>
        <w:ind w:left="561" w:right="-144"/>
        <w:jc w:val="both"/>
        <w:rPr>
          <w:sz w:val="22"/>
          <w:szCs w:val="22"/>
        </w:rPr>
      </w:pPr>
    </w:p>
    <w:p w14:paraId="731D34D4" w14:textId="77777777" w:rsidR="00893D5B" w:rsidRPr="000250FA" w:rsidRDefault="00893D5B" w:rsidP="00F83E93">
      <w:pPr>
        <w:numPr>
          <w:ilvl w:val="0"/>
          <w:numId w:val="117"/>
        </w:numPr>
        <w:rPr>
          <w:sz w:val="22"/>
          <w:szCs w:val="22"/>
        </w:rPr>
      </w:pPr>
      <w:r w:rsidRPr="000250FA">
        <w:rPr>
          <w:sz w:val="22"/>
          <w:szCs w:val="22"/>
        </w:rPr>
        <w:t>több mint 10 évig oktatott - ezen belül legalább 5 évig az Egyetem főiskolai, illetve egyetemi tanára – volt,</w:t>
      </w:r>
    </w:p>
    <w:p w14:paraId="42809A4F" w14:textId="77777777" w:rsidR="00893D5B" w:rsidRPr="000250FA" w:rsidRDefault="00893D5B" w:rsidP="00F83E93">
      <w:pPr>
        <w:numPr>
          <w:ilvl w:val="0"/>
          <w:numId w:val="117"/>
        </w:numPr>
        <w:rPr>
          <w:sz w:val="22"/>
          <w:szCs w:val="22"/>
        </w:rPr>
      </w:pPr>
      <w:r w:rsidRPr="000250FA">
        <w:rPr>
          <w:sz w:val="22"/>
          <w:szCs w:val="22"/>
        </w:rPr>
        <w:t xml:space="preserve">kiváló oktató-kutató, vagy művészi munkát végzett és kiemelkedő tudományos teljesítménnyel rendelkezik, </w:t>
      </w:r>
    </w:p>
    <w:p w14:paraId="5AAC94C0" w14:textId="77777777" w:rsidR="00893D5B" w:rsidRPr="000250FA" w:rsidRDefault="00893D5B" w:rsidP="00F83E93">
      <w:pPr>
        <w:numPr>
          <w:ilvl w:val="0"/>
          <w:numId w:val="117"/>
        </w:numPr>
        <w:rPr>
          <w:sz w:val="22"/>
          <w:szCs w:val="22"/>
        </w:rPr>
      </w:pPr>
      <w:r w:rsidRPr="000250FA">
        <w:rPr>
          <w:sz w:val="22"/>
          <w:szCs w:val="22"/>
        </w:rPr>
        <w:t>a hazai és nemzetközi tudományos, illetve művészeti életben kitüntetést vagy társasági tagságot szerzett,</w:t>
      </w:r>
    </w:p>
    <w:p w14:paraId="29D3719A" w14:textId="77777777" w:rsidR="00893D5B" w:rsidRPr="000250FA" w:rsidRDefault="00893D5B" w:rsidP="00F83E93">
      <w:pPr>
        <w:numPr>
          <w:ilvl w:val="0"/>
          <w:numId w:val="117"/>
        </w:numPr>
        <w:rPr>
          <w:sz w:val="22"/>
          <w:szCs w:val="22"/>
        </w:rPr>
      </w:pPr>
      <w:proofErr w:type="gramStart"/>
      <w:r w:rsidRPr="000250FA">
        <w:rPr>
          <w:sz w:val="22"/>
          <w:szCs w:val="22"/>
        </w:rPr>
        <w:t>aktívan</w:t>
      </w:r>
      <w:proofErr w:type="gramEnd"/>
      <w:r w:rsidRPr="000250FA">
        <w:rPr>
          <w:sz w:val="22"/>
          <w:szCs w:val="22"/>
        </w:rPr>
        <w:t xml:space="preserve"> részt vett az Egyetem tudományos és közéleti tevékenységében.</w:t>
      </w:r>
    </w:p>
    <w:p w14:paraId="2FB9F158" w14:textId="77777777" w:rsidR="00893D5B" w:rsidRPr="000250FA" w:rsidRDefault="00893D5B" w:rsidP="00893D5B">
      <w:pPr>
        <w:tabs>
          <w:tab w:val="left" w:pos="9781"/>
        </w:tabs>
        <w:ind w:right="-144"/>
        <w:jc w:val="both"/>
        <w:rPr>
          <w:sz w:val="22"/>
          <w:szCs w:val="22"/>
        </w:rPr>
      </w:pPr>
    </w:p>
    <w:p w14:paraId="0B6C92FD"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402"/>
      </w:r>
      <w:r w:rsidRPr="000250FA">
        <w:rPr>
          <w:sz w:val="22"/>
          <w:szCs w:val="22"/>
        </w:rPr>
        <w:t xml:space="preserve"> </w:t>
      </w:r>
      <w:r w:rsidRPr="000250FA">
        <w:rPr>
          <w:rStyle w:val="Lbjegyzet-hivatkozs"/>
          <w:sz w:val="22"/>
          <w:szCs w:val="22"/>
        </w:rPr>
        <w:footnoteReference w:id="403"/>
      </w:r>
      <w:r w:rsidRPr="000250FA">
        <w:rPr>
          <w:sz w:val="22"/>
          <w:szCs w:val="22"/>
        </w:rPr>
        <w:t xml:space="preserve"> Az Egyetem a Professor Emeritussal a címadományozással egyidejűleg legfeljebb öt évre szóló megállapodást köt a címmel járó feladatokra és az esetleges pénzbeli juttatásokra. A megállapodás további legfeljebb öt évre meghosszabbítható. A</w:t>
      </w:r>
      <w:r w:rsidRPr="000250FA">
        <w:rPr>
          <w:bCs/>
          <w:sz w:val="22"/>
          <w:szCs w:val="22"/>
        </w:rPr>
        <w:t xml:space="preserve"> Professor Emeritus cím használata a jogosultat a megállapodás időtartamának lejártát követően is megilleti. </w:t>
      </w:r>
      <w:r w:rsidRPr="000250FA">
        <w:rPr>
          <w:sz w:val="22"/>
          <w:szCs w:val="22"/>
        </w:rPr>
        <w:t xml:space="preserve">A megállapodásra vonatkozó mintát a 3 </w:t>
      </w:r>
      <w:proofErr w:type="gramStart"/>
      <w:r w:rsidRPr="000250FA">
        <w:rPr>
          <w:sz w:val="22"/>
          <w:szCs w:val="22"/>
        </w:rPr>
        <w:t>A</w:t>
      </w:r>
      <w:proofErr w:type="gramEnd"/>
      <w:r w:rsidRPr="000250FA">
        <w:rPr>
          <w:sz w:val="22"/>
          <w:szCs w:val="22"/>
        </w:rPr>
        <w:t>)-C) számú mellékletek tartalmazzák.</w:t>
      </w:r>
    </w:p>
    <w:p w14:paraId="5F4FBB77" w14:textId="77777777" w:rsidR="00893D5B" w:rsidRPr="000250FA" w:rsidRDefault="00893D5B" w:rsidP="00893D5B">
      <w:pPr>
        <w:tabs>
          <w:tab w:val="left" w:pos="9781"/>
        </w:tabs>
        <w:ind w:right="-144"/>
        <w:jc w:val="both"/>
        <w:rPr>
          <w:sz w:val="22"/>
          <w:szCs w:val="22"/>
        </w:rPr>
      </w:pPr>
    </w:p>
    <w:p w14:paraId="10D7AFFB" w14:textId="77777777" w:rsidR="00893D5B" w:rsidRPr="000250FA" w:rsidRDefault="00893D5B" w:rsidP="00893D5B">
      <w:pPr>
        <w:tabs>
          <w:tab w:val="left" w:pos="9781"/>
        </w:tabs>
        <w:ind w:right="-144"/>
        <w:jc w:val="both"/>
        <w:rPr>
          <w:sz w:val="22"/>
          <w:szCs w:val="22"/>
        </w:rPr>
      </w:pPr>
      <w:r w:rsidRPr="000250FA">
        <w:rPr>
          <w:sz w:val="22"/>
          <w:szCs w:val="22"/>
        </w:rPr>
        <w:t xml:space="preserve">(3) Amennyiben a Professor Emeritus címmel pénzbeli juttatás is jár, annak mértéke az egyetemi tanári munkakör 1. fizetési fokozatának </w:t>
      </w:r>
      <w:proofErr w:type="gramStart"/>
      <w:r w:rsidRPr="000250FA">
        <w:rPr>
          <w:sz w:val="22"/>
          <w:szCs w:val="22"/>
        </w:rPr>
        <w:t>garantált</w:t>
      </w:r>
      <w:proofErr w:type="gramEnd"/>
      <w:r w:rsidRPr="000250FA">
        <w:rPr>
          <w:sz w:val="22"/>
          <w:szCs w:val="22"/>
        </w:rPr>
        <w:t xml:space="preserve"> illetményére megállapított összeg 30 %-a.</w:t>
      </w:r>
    </w:p>
    <w:p w14:paraId="3D86EB4D" w14:textId="77777777" w:rsidR="00893D5B" w:rsidRPr="000250FA" w:rsidRDefault="00893D5B" w:rsidP="00893D5B">
      <w:pPr>
        <w:tabs>
          <w:tab w:val="left" w:pos="9781"/>
        </w:tabs>
        <w:ind w:right="-144"/>
        <w:jc w:val="both"/>
        <w:rPr>
          <w:sz w:val="22"/>
          <w:szCs w:val="22"/>
        </w:rPr>
      </w:pPr>
    </w:p>
    <w:p w14:paraId="7BFDCEDF" w14:textId="77777777" w:rsidR="00893D5B" w:rsidRPr="000250FA" w:rsidRDefault="00893D5B" w:rsidP="00893D5B">
      <w:pPr>
        <w:tabs>
          <w:tab w:val="left" w:pos="9781"/>
        </w:tabs>
        <w:ind w:right="-144"/>
        <w:jc w:val="both"/>
        <w:rPr>
          <w:sz w:val="22"/>
          <w:szCs w:val="22"/>
        </w:rPr>
      </w:pPr>
      <w:r w:rsidRPr="000250FA">
        <w:rPr>
          <w:b/>
          <w:sz w:val="22"/>
          <w:szCs w:val="22"/>
        </w:rPr>
        <w:lastRenderedPageBreak/>
        <w:t>118. §</w:t>
      </w:r>
      <w:r w:rsidRPr="000250FA">
        <w:rPr>
          <w:sz w:val="22"/>
          <w:szCs w:val="22"/>
        </w:rPr>
        <w:t xml:space="preserve"> (1)</w:t>
      </w:r>
      <w:r w:rsidRPr="000250FA">
        <w:rPr>
          <w:rStyle w:val="Lbjegyzet-hivatkozs"/>
          <w:sz w:val="22"/>
          <w:szCs w:val="22"/>
        </w:rPr>
        <w:footnoteReference w:id="404"/>
      </w:r>
      <w:r w:rsidRPr="000250FA">
        <w:rPr>
          <w:rStyle w:val="Lbjegyzet-hivatkozs"/>
          <w:sz w:val="22"/>
          <w:szCs w:val="22"/>
        </w:rPr>
        <w:footnoteReference w:id="405"/>
      </w:r>
      <w:r w:rsidRPr="000250FA">
        <w:rPr>
          <w:sz w:val="22"/>
          <w:szCs w:val="22"/>
        </w:rPr>
        <w:t xml:space="preserve"> A Professor Emeritus cím adományozását a dékán kezdeményezi. A Klinikai Központból nyugdíjba vonult egyetemi tanár részére a cím adományozására vonatkozó javaslattétel előtt a dékán </w:t>
      </w:r>
      <w:proofErr w:type="spellStart"/>
      <w:r w:rsidRPr="000250FA">
        <w:rPr>
          <w:sz w:val="22"/>
          <w:szCs w:val="22"/>
        </w:rPr>
        <w:t>beszerzi</w:t>
      </w:r>
      <w:proofErr w:type="spellEnd"/>
      <w:r w:rsidRPr="000250FA">
        <w:rPr>
          <w:sz w:val="22"/>
          <w:szCs w:val="22"/>
        </w:rPr>
        <w:t xml:space="preserve"> a Klinikai Központ elnökének javaslatát. Az előterjesztő akkor javasolhatja a Professor Emeritus cím adományozását, ha a cím birtokosa képes a 119. § (2) bekezdésében meghatározott tevékenység magas színvonalú ellátására, és díjazása esetén annak feltételeit a kar költségvetése biztosítani képes.</w:t>
      </w:r>
    </w:p>
    <w:p w14:paraId="52F64269" w14:textId="77777777" w:rsidR="00893D5B" w:rsidRPr="000250FA" w:rsidRDefault="00893D5B" w:rsidP="00893D5B">
      <w:pPr>
        <w:tabs>
          <w:tab w:val="left" w:pos="9781"/>
        </w:tabs>
        <w:ind w:right="-144"/>
        <w:jc w:val="both"/>
        <w:rPr>
          <w:sz w:val="22"/>
          <w:szCs w:val="22"/>
        </w:rPr>
      </w:pPr>
    </w:p>
    <w:p w14:paraId="4C5EAAA8" w14:textId="77777777" w:rsidR="00893D5B" w:rsidRPr="000250FA" w:rsidRDefault="00893D5B" w:rsidP="00893D5B">
      <w:pPr>
        <w:pStyle w:val="BodyText21"/>
        <w:widowControl/>
        <w:tabs>
          <w:tab w:val="left" w:pos="9781"/>
        </w:tabs>
        <w:ind w:right="-144"/>
        <w:rPr>
          <w:sz w:val="22"/>
          <w:szCs w:val="22"/>
        </w:rPr>
      </w:pPr>
      <w:r w:rsidRPr="000250FA">
        <w:rPr>
          <w:sz w:val="22"/>
          <w:szCs w:val="22"/>
        </w:rPr>
        <w:t>(2) A Professor Emeritus cím adományozására vonatkozó javaslatot a Kari Tanács véleményezi. Ezt megelőzően a Kari Tanács köteles írásban kikérni a Kar professzorainak véleményét.</w:t>
      </w:r>
    </w:p>
    <w:p w14:paraId="66C5DA2D" w14:textId="77777777" w:rsidR="00893D5B" w:rsidRPr="000250FA" w:rsidRDefault="00893D5B" w:rsidP="00893D5B">
      <w:pPr>
        <w:tabs>
          <w:tab w:val="left" w:pos="9781"/>
        </w:tabs>
        <w:ind w:right="-144"/>
        <w:jc w:val="both"/>
        <w:rPr>
          <w:sz w:val="22"/>
          <w:szCs w:val="22"/>
        </w:rPr>
      </w:pPr>
    </w:p>
    <w:p w14:paraId="4F4FE6CF" w14:textId="77777777" w:rsidR="00893D5B" w:rsidRPr="000250FA" w:rsidRDefault="00893D5B" w:rsidP="00893D5B">
      <w:pPr>
        <w:tabs>
          <w:tab w:val="left" w:pos="9781"/>
        </w:tabs>
        <w:ind w:right="-144"/>
        <w:jc w:val="both"/>
        <w:rPr>
          <w:sz w:val="22"/>
          <w:szCs w:val="22"/>
        </w:rPr>
      </w:pPr>
      <w:r w:rsidRPr="000250FA">
        <w:rPr>
          <w:sz w:val="22"/>
          <w:szCs w:val="22"/>
        </w:rPr>
        <w:t>(3)</w:t>
      </w:r>
      <w:r w:rsidRPr="000250FA">
        <w:rPr>
          <w:rStyle w:val="Lbjegyzet-hivatkozs"/>
          <w:sz w:val="22"/>
          <w:szCs w:val="22"/>
        </w:rPr>
        <w:footnoteReference w:id="406"/>
      </w:r>
      <w:r w:rsidRPr="000250FA">
        <w:rPr>
          <w:sz w:val="22"/>
          <w:szCs w:val="22"/>
        </w:rPr>
        <w:t xml:space="preserve"> A Professor Emeritus cím adományozásáról az EHHB véleményének kikérését követően</w:t>
      </w:r>
      <w:r w:rsidRPr="000250FA">
        <w:rPr>
          <w:b/>
          <w:i/>
          <w:sz w:val="22"/>
          <w:szCs w:val="22"/>
        </w:rPr>
        <w:t xml:space="preserve"> </w:t>
      </w:r>
      <w:r w:rsidRPr="000250FA">
        <w:rPr>
          <w:sz w:val="22"/>
          <w:szCs w:val="22"/>
        </w:rPr>
        <w:t>a Szenátus minősített többséggel dönt. A cím adományozására vonatkozó javaslatot a dékán terjeszti a Szenátus elé.</w:t>
      </w:r>
    </w:p>
    <w:p w14:paraId="475673B5" w14:textId="77777777" w:rsidR="00893D5B" w:rsidRPr="000250FA" w:rsidRDefault="00893D5B" w:rsidP="00893D5B">
      <w:pPr>
        <w:tabs>
          <w:tab w:val="left" w:pos="9781"/>
        </w:tabs>
        <w:ind w:right="-144"/>
        <w:rPr>
          <w:b/>
          <w:bCs/>
          <w:sz w:val="22"/>
          <w:szCs w:val="22"/>
        </w:rPr>
      </w:pPr>
    </w:p>
    <w:p w14:paraId="5AA1BECB" w14:textId="77777777" w:rsidR="00893D5B" w:rsidRPr="000250FA" w:rsidRDefault="00893D5B" w:rsidP="00893D5B">
      <w:pPr>
        <w:tabs>
          <w:tab w:val="left" w:pos="9781"/>
        </w:tabs>
        <w:ind w:right="-144"/>
        <w:jc w:val="center"/>
        <w:rPr>
          <w:b/>
          <w:bCs/>
          <w:sz w:val="22"/>
          <w:szCs w:val="22"/>
        </w:rPr>
      </w:pPr>
      <w:r w:rsidRPr="000250FA">
        <w:rPr>
          <w:b/>
          <w:bCs/>
          <w:sz w:val="22"/>
          <w:szCs w:val="22"/>
        </w:rPr>
        <w:t>A Professor Emeritus jogai és kötelességei</w:t>
      </w:r>
    </w:p>
    <w:p w14:paraId="0A215BFF" w14:textId="77777777" w:rsidR="00893D5B" w:rsidRPr="000250FA" w:rsidRDefault="00893D5B" w:rsidP="00893D5B">
      <w:pPr>
        <w:tabs>
          <w:tab w:val="left" w:pos="9781"/>
        </w:tabs>
        <w:ind w:right="-144"/>
        <w:rPr>
          <w:b/>
          <w:bCs/>
          <w:sz w:val="22"/>
          <w:szCs w:val="22"/>
        </w:rPr>
      </w:pPr>
    </w:p>
    <w:p w14:paraId="3CD30ED8" w14:textId="77777777" w:rsidR="00893D5B" w:rsidRPr="000250FA" w:rsidRDefault="00893D5B" w:rsidP="00893D5B">
      <w:pPr>
        <w:tabs>
          <w:tab w:val="left" w:pos="9781"/>
        </w:tabs>
        <w:ind w:right="-144"/>
        <w:jc w:val="both"/>
        <w:rPr>
          <w:sz w:val="22"/>
          <w:szCs w:val="22"/>
        </w:rPr>
      </w:pPr>
      <w:r w:rsidRPr="000250FA">
        <w:rPr>
          <w:b/>
          <w:bCs/>
          <w:sz w:val="22"/>
          <w:szCs w:val="22"/>
        </w:rPr>
        <w:t xml:space="preserve">119. § </w:t>
      </w:r>
      <w:r w:rsidRPr="000250FA">
        <w:rPr>
          <w:sz w:val="22"/>
          <w:szCs w:val="22"/>
        </w:rPr>
        <w:t>(1)</w:t>
      </w:r>
      <w:r w:rsidRPr="000250FA">
        <w:rPr>
          <w:rStyle w:val="Lbjegyzet-hivatkozs"/>
          <w:sz w:val="22"/>
          <w:szCs w:val="22"/>
        </w:rPr>
        <w:footnoteReference w:id="407"/>
      </w:r>
      <w:r w:rsidRPr="000250FA">
        <w:rPr>
          <w:sz w:val="22"/>
          <w:szCs w:val="22"/>
        </w:rPr>
        <w:t xml:space="preserve"> A Professor Emeritust megilletik mindazok a jogok és terhelik mindazok a kötelezettségek, amelyek az oktatókra vonatkoznak és jellegüknél fogva nem kötődnek a közalkalmazotti jogviszonyhoz. A Professor Emeritus cím birtokosa jogosult különösen:</w:t>
      </w:r>
    </w:p>
    <w:p w14:paraId="07ED39B5" w14:textId="77777777" w:rsidR="00893D5B" w:rsidRPr="000250FA" w:rsidRDefault="00893D5B" w:rsidP="00893D5B">
      <w:pPr>
        <w:tabs>
          <w:tab w:val="left" w:pos="9781"/>
        </w:tabs>
        <w:ind w:left="566" w:right="-144"/>
        <w:jc w:val="both"/>
        <w:rPr>
          <w:sz w:val="22"/>
          <w:szCs w:val="22"/>
        </w:rPr>
      </w:pPr>
    </w:p>
    <w:p w14:paraId="32CB81F0" w14:textId="77777777" w:rsidR="00893D5B" w:rsidRPr="000250FA" w:rsidRDefault="00893D5B" w:rsidP="00F83E93">
      <w:pPr>
        <w:numPr>
          <w:ilvl w:val="0"/>
          <w:numId w:val="118"/>
        </w:numPr>
        <w:jc w:val="both"/>
        <w:rPr>
          <w:sz w:val="22"/>
          <w:szCs w:val="22"/>
        </w:rPr>
      </w:pPr>
      <w:r w:rsidRPr="000250FA">
        <w:rPr>
          <w:sz w:val="22"/>
          <w:szCs w:val="22"/>
        </w:rPr>
        <w:t>egyetemi és kari bizottsági tagságra,</w:t>
      </w:r>
    </w:p>
    <w:p w14:paraId="44449BF8" w14:textId="77777777" w:rsidR="00893D5B" w:rsidRPr="000250FA" w:rsidRDefault="00893D5B" w:rsidP="00F83E93">
      <w:pPr>
        <w:numPr>
          <w:ilvl w:val="0"/>
          <w:numId w:val="118"/>
        </w:numPr>
        <w:jc w:val="both"/>
        <w:rPr>
          <w:sz w:val="22"/>
          <w:szCs w:val="22"/>
        </w:rPr>
      </w:pPr>
      <w:r w:rsidRPr="000250FA">
        <w:rPr>
          <w:sz w:val="22"/>
          <w:szCs w:val="22"/>
        </w:rPr>
        <w:t>az Egyetem és a Kar infrastruktúrájának használatára,</w:t>
      </w:r>
    </w:p>
    <w:p w14:paraId="17205363" w14:textId="77777777" w:rsidR="00893D5B" w:rsidRPr="000250FA" w:rsidRDefault="00893D5B" w:rsidP="00F83E93">
      <w:pPr>
        <w:numPr>
          <w:ilvl w:val="0"/>
          <w:numId w:val="118"/>
        </w:numPr>
        <w:jc w:val="both"/>
        <w:rPr>
          <w:bCs/>
          <w:sz w:val="22"/>
          <w:szCs w:val="22"/>
          <w:u w:val="single"/>
        </w:rPr>
      </w:pPr>
      <w:r w:rsidRPr="000250FA">
        <w:rPr>
          <w:sz w:val="22"/>
          <w:szCs w:val="22"/>
        </w:rPr>
        <w:t>az Egyetem szabályzataiban, utasításaiban meghatározott egyéb feladat ellátására.</w:t>
      </w:r>
    </w:p>
    <w:p w14:paraId="4E2BABB8" w14:textId="77777777" w:rsidR="00893D5B" w:rsidRPr="000250FA" w:rsidRDefault="00893D5B" w:rsidP="00893D5B">
      <w:pPr>
        <w:tabs>
          <w:tab w:val="left" w:pos="9781"/>
        </w:tabs>
        <w:ind w:right="-144"/>
        <w:jc w:val="both"/>
        <w:rPr>
          <w:sz w:val="22"/>
          <w:szCs w:val="22"/>
        </w:rPr>
      </w:pPr>
    </w:p>
    <w:p w14:paraId="7C6798DE" w14:textId="77777777" w:rsidR="00893D5B" w:rsidRPr="000250FA" w:rsidRDefault="00893D5B" w:rsidP="00893D5B">
      <w:pPr>
        <w:tabs>
          <w:tab w:val="left" w:pos="9781"/>
        </w:tabs>
        <w:ind w:right="-144"/>
        <w:jc w:val="both"/>
        <w:rPr>
          <w:sz w:val="22"/>
          <w:szCs w:val="22"/>
        </w:rPr>
      </w:pPr>
      <w:r w:rsidRPr="000250FA">
        <w:rPr>
          <w:sz w:val="22"/>
          <w:szCs w:val="22"/>
        </w:rPr>
        <w:t>(2) A Professor Emeritus cím birtokosa megállapodás alapján köteles:</w:t>
      </w:r>
    </w:p>
    <w:p w14:paraId="2D60737C" w14:textId="77777777" w:rsidR="00893D5B" w:rsidRPr="000250FA" w:rsidRDefault="00893D5B" w:rsidP="00893D5B">
      <w:pPr>
        <w:tabs>
          <w:tab w:val="left" w:pos="9781"/>
        </w:tabs>
        <w:ind w:left="567" w:right="-144"/>
        <w:jc w:val="both"/>
        <w:rPr>
          <w:sz w:val="22"/>
          <w:szCs w:val="22"/>
        </w:rPr>
      </w:pPr>
    </w:p>
    <w:p w14:paraId="683B392E" w14:textId="77777777" w:rsidR="00893D5B" w:rsidRPr="000250FA" w:rsidRDefault="00893D5B" w:rsidP="00F83E93">
      <w:pPr>
        <w:numPr>
          <w:ilvl w:val="0"/>
          <w:numId w:val="119"/>
        </w:numPr>
        <w:jc w:val="both"/>
        <w:rPr>
          <w:sz w:val="22"/>
          <w:szCs w:val="22"/>
        </w:rPr>
      </w:pPr>
      <w:r w:rsidRPr="000250FA">
        <w:rPr>
          <w:sz w:val="22"/>
          <w:szCs w:val="22"/>
        </w:rPr>
        <w:t>az egyetemi alapképzésben, a szakirányú továbbképzésben, valamint a doktori, illetve mesterképzésben való részvételre,</w:t>
      </w:r>
    </w:p>
    <w:p w14:paraId="430D9172" w14:textId="77777777" w:rsidR="00893D5B" w:rsidRPr="000250FA" w:rsidRDefault="00893D5B" w:rsidP="00F83E93">
      <w:pPr>
        <w:numPr>
          <w:ilvl w:val="0"/>
          <w:numId w:val="119"/>
        </w:numPr>
        <w:jc w:val="both"/>
        <w:rPr>
          <w:sz w:val="22"/>
          <w:szCs w:val="22"/>
        </w:rPr>
      </w:pPr>
      <w:r w:rsidRPr="000250FA">
        <w:rPr>
          <w:sz w:val="22"/>
          <w:szCs w:val="22"/>
        </w:rPr>
        <w:t>a kari tudományos (kutató) munkában való részvételre.</w:t>
      </w:r>
    </w:p>
    <w:p w14:paraId="7A91A64A" w14:textId="77777777" w:rsidR="00893D5B" w:rsidRPr="000250FA" w:rsidRDefault="00893D5B" w:rsidP="00893D5B">
      <w:pPr>
        <w:tabs>
          <w:tab w:val="left" w:pos="9781"/>
        </w:tabs>
        <w:ind w:right="-144"/>
        <w:jc w:val="both"/>
        <w:rPr>
          <w:sz w:val="22"/>
          <w:szCs w:val="22"/>
        </w:rPr>
      </w:pPr>
    </w:p>
    <w:p w14:paraId="40A569F5" w14:textId="77777777" w:rsidR="00893D5B" w:rsidRPr="000250FA" w:rsidRDefault="00893D5B" w:rsidP="00893D5B">
      <w:pPr>
        <w:pStyle w:val="Cmsor4"/>
      </w:pPr>
      <w:bookmarkStart w:id="268" w:name="_Toc432753622"/>
      <w:r w:rsidRPr="000250FA">
        <w:t>Magántanári cím adományozása</w:t>
      </w:r>
      <w:bookmarkEnd w:id="268"/>
    </w:p>
    <w:p w14:paraId="24DEA643" w14:textId="77777777" w:rsidR="00893D5B" w:rsidRPr="000250FA" w:rsidRDefault="00893D5B" w:rsidP="00893D5B">
      <w:pPr>
        <w:tabs>
          <w:tab w:val="left" w:pos="9781"/>
        </w:tabs>
        <w:ind w:right="-144"/>
        <w:jc w:val="both"/>
        <w:rPr>
          <w:sz w:val="22"/>
          <w:szCs w:val="22"/>
        </w:rPr>
      </w:pPr>
    </w:p>
    <w:p w14:paraId="0C9D0C0B" w14:textId="77777777" w:rsidR="00893D5B" w:rsidRPr="000250FA" w:rsidRDefault="00893D5B" w:rsidP="00893D5B">
      <w:pPr>
        <w:widowControl w:val="0"/>
        <w:tabs>
          <w:tab w:val="left" w:pos="9781"/>
        </w:tabs>
        <w:ind w:right="-144"/>
        <w:jc w:val="both"/>
        <w:rPr>
          <w:sz w:val="22"/>
          <w:szCs w:val="22"/>
        </w:rPr>
      </w:pPr>
      <w:r w:rsidRPr="000250FA">
        <w:rPr>
          <w:b/>
          <w:bCs/>
          <w:sz w:val="22"/>
          <w:szCs w:val="22"/>
        </w:rPr>
        <w:t xml:space="preserve">120. § </w:t>
      </w:r>
      <w:r w:rsidRPr="000250FA">
        <w:rPr>
          <w:sz w:val="22"/>
          <w:szCs w:val="22"/>
        </w:rPr>
        <w:t>(1) A Szenátus az Egyetemmel közalkalmazotti jogviszonyban nem álló habilitált személyt magántanári címmel tüntetheti ki, ha megfelel foglalkoztatási követelményrendszerében az egyetemi tanárokkal szemben támasztott feltételeknek.</w:t>
      </w:r>
    </w:p>
    <w:p w14:paraId="7FE3C235" w14:textId="77777777" w:rsidR="00893D5B" w:rsidRPr="000250FA" w:rsidRDefault="00893D5B" w:rsidP="00893D5B">
      <w:pPr>
        <w:widowControl w:val="0"/>
        <w:tabs>
          <w:tab w:val="left" w:pos="9781"/>
        </w:tabs>
        <w:ind w:right="-144"/>
        <w:jc w:val="both"/>
        <w:rPr>
          <w:sz w:val="22"/>
          <w:szCs w:val="22"/>
        </w:rPr>
      </w:pPr>
    </w:p>
    <w:p w14:paraId="5F9E5EA4" w14:textId="77777777" w:rsidR="00893D5B" w:rsidRPr="000250FA" w:rsidRDefault="00893D5B" w:rsidP="00893D5B">
      <w:pPr>
        <w:widowControl w:val="0"/>
        <w:tabs>
          <w:tab w:val="left" w:pos="9781"/>
        </w:tabs>
        <w:ind w:right="-144"/>
        <w:jc w:val="both"/>
        <w:rPr>
          <w:sz w:val="22"/>
          <w:szCs w:val="22"/>
        </w:rPr>
      </w:pPr>
      <w:r w:rsidRPr="000250FA">
        <w:rPr>
          <w:sz w:val="22"/>
          <w:szCs w:val="22"/>
        </w:rPr>
        <w:t>(2) A magántanári címről az Egyetem oklevelet állít ki és anyakönyvet vezet.</w:t>
      </w:r>
    </w:p>
    <w:p w14:paraId="59A1AF4A" w14:textId="77777777" w:rsidR="00893D5B" w:rsidRPr="000250FA" w:rsidRDefault="00893D5B" w:rsidP="00893D5B">
      <w:pPr>
        <w:tabs>
          <w:tab w:val="left" w:pos="9781"/>
        </w:tabs>
        <w:ind w:right="-144"/>
        <w:jc w:val="both"/>
        <w:rPr>
          <w:sz w:val="22"/>
          <w:szCs w:val="22"/>
        </w:rPr>
      </w:pPr>
    </w:p>
    <w:p w14:paraId="2ACE916F" w14:textId="77777777" w:rsidR="00893D5B" w:rsidRPr="000250FA" w:rsidRDefault="00893D5B" w:rsidP="00893D5B">
      <w:pPr>
        <w:tabs>
          <w:tab w:val="left" w:pos="9781"/>
        </w:tabs>
        <w:ind w:right="-144"/>
        <w:jc w:val="both"/>
        <w:rPr>
          <w:sz w:val="22"/>
          <w:szCs w:val="22"/>
        </w:rPr>
      </w:pPr>
      <w:r w:rsidRPr="000250FA">
        <w:rPr>
          <w:sz w:val="22"/>
          <w:szCs w:val="22"/>
        </w:rPr>
        <w:t>(3) A magántanári cím adományázását a dékán javaslata és kari tanács véleményének kikérését követően a Szenátus adományozza és rektor adja át ünnepélyes keretek között.</w:t>
      </w:r>
    </w:p>
    <w:p w14:paraId="51AE2A36" w14:textId="77777777" w:rsidR="00893D5B" w:rsidRPr="000250FA" w:rsidRDefault="00893D5B" w:rsidP="00893D5B">
      <w:pPr>
        <w:widowControl w:val="0"/>
        <w:tabs>
          <w:tab w:val="left" w:pos="9781"/>
        </w:tabs>
        <w:ind w:right="-144"/>
        <w:jc w:val="both"/>
        <w:rPr>
          <w:sz w:val="22"/>
          <w:szCs w:val="22"/>
        </w:rPr>
      </w:pPr>
    </w:p>
    <w:p w14:paraId="2196401F" w14:textId="77777777" w:rsidR="00893D5B" w:rsidRPr="00E658DE" w:rsidRDefault="00893D5B" w:rsidP="00E658DE">
      <w:pPr>
        <w:tabs>
          <w:tab w:val="left" w:pos="9781"/>
        </w:tabs>
        <w:ind w:right="-144"/>
        <w:jc w:val="both"/>
        <w:rPr>
          <w:sz w:val="22"/>
          <w:szCs w:val="22"/>
        </w:rPr>
      </w:pPr>
      <w:r w:rsidRPr="000250FA">
        <w:rPr>
          <w:sz w:val="22"/>
          <w:szCs w:val="22"/>
        </w:rPr>
        <w:t>(4) A magántanárnak szakterüle</w:t>
      </w:r>
      <w:bookmarkStart w:id="269" w:name="_Toc432753623"/>
      <w:r w:rsidR="00E658DE">
        <w:rPr>
          <w:sz w:val="22"/>
          <w:szCs w:val="22"/>
        </w:rPr>
        <w:t>tén előadás hirdetési joga van.</w:t>
      </w:r>
    </w:p>
    <w:p w14:paraId="1C26AB52" w14:textId="77777777" w:rsidR="00893D5B" w:rsidRPr="000250FA" w:rsidRDefault="00893D5B" w:rsidP="00893D5B">
      <w:pPr>
        <w:pStyle w:val="Cmsor4"/>
      </w:pPr>
      <w:r w:rsidRPr="000250FA">
        <w:t>Címzetes egyetemi tanár/docens</w:t>
      </w:r>
      <w:bookmarkEnd w:id="269"/>
    </w:p>
    <w:p w14:paraId="12873C43" w14:textId="77777777" w:rsidR="00893D5B" w:rsidRPr="000250FA" w:rsidRDefault="00893D5B" w:rsidP="00893D5B">
      <w:pPr>
        <w:tabs>
          <w:tab w:val="left" w:pos="9781"/>
        </w:tabs>
        <w:ind w:right="-144"/>
        <w:jc w:val="both"/>
        <w:rPr>
          <w:sz w:val="22"/>
          <w:szCs w:val="22"/>
        </w:rPr>
      </w:pPr>
    </w:p>
    <w:p w14:paraId="691F9727" w14:textId="77777777" w:rsidR="00893D5B" w:rsidRPr="000250FA" w:rsidRDefault="00893D5B" w:rsidP="00893D5B">
      <w:pPr>
        <w:tabs>
          <w:tab w:val="left" w:pos="9781"/>
        </w:tabs>
        <w:ind w:right="-144"/>
        <w:jc w:val="both"/>
        <w:rPr>
          <w:sz w:val="22"/>
          <w:szCs w:val="22"/>
        </w:rPr>
      </w:pPr>
      <w:r w:rsidRPr="000250FA">
        <w:rPr>
          <w:b/>
          <w:sz w:val="22"/>
          <w:szCs w:val="22"/>
        </w:rPr>
        <w:t>121. §</w:t>
      </w:r>
      <w:r w:rsidRPr="000250FA">
        <w:rPr>
          <w:rStyle w:val="Lbjegyzet-hivatkozs"/>
          <w:b/>
          <w:sz w:val="22"/>
          <w:szCs w:val="22"/>
        </w:rPr>
        <w:footnoteReference w:id="408"/>
      </w:r>
      <w:r w:rsidRPr="000250FA">
        <w:rPr>
          <w:sz w:val="22"/>
          <w:szCs w:val="22"/>
        </w:rPr>
        <w:t xml:space="preserve"> (1) A rektor vagy a kari tanács kezdeményezésére Szenátus címzetes egyetemi tanári, címzetes egyetemi docensi címet adományozhat annak az Egyetemmel közalkalmazotti jogviszonyban nem álló személynek, aki megfelel a (2)-(3) meghatározott feltételeknek.</w:t>
      </w:r>
    </w:p>
    <w:p w14:paraId="7BF69193" w14:textId="77777777" w:rsidR="00893D5B" w:rsidRPr="000250FA" w:rsidRDefault="00893D5B" w:rsidP="00893D5B">
      <w:pPr>
        <w:tabs>
          <w:tab w:val="left" w:pos="9781"/>
        </w:tabs>
        <w:ind w:right="-144"/>
        <w:jc w:val="both"/>
        <w:rPr>
          <w:sz w:val="22"/>
          <w:szCs w:val="22"/>
        </w:rPr>
      </w:pPr>
    </w:p>
    <w:p w14:paraId="3D3BAF83" w14:textId="77777777" w:rsidR="00893D5B" w:rsidRPr="000250FA" w:rsidRDefault="00893D5B" w:rsidP="00893D5B">
      <w:pPr>
        <w:tabs>
          <w:tab w:val="left" w:pos="9781"/>
        </w:tabs>
        <w:ind w:right="-144"/>
        <w:jc w:val="both"/>
        <w:rPr>
          <w:sz w:val="22"/>
          <w:szCs w:val="22"/>
        </w:rPr>
      </w:pPr>
      <w:r w:rsidRPr="000250FA">
        <w:rPr>
          <w:sz w:val="22"/>
          <w:szCs w:val="22"/>
        </w:rPr>
        <w:lastRenderedPageBreak/>
        <w:t xml:space="preserve">(2) </w:t>
      </w:r>
      <w:r w:rsidRPr="000250FA">
        <w:rPr>
          <w:snapToGrid w:val="0"/>
          <w:sz w:val="22"/>
          <w:szCs w:val="22"/>
        </w:rPr>
        <w:t xml:space="preserve">Címzetes egyetemi tanári cím adományozható annak, aki az Egyetem, illetve az Egyetem valamely kara által oktatott, kutatott tudományterületen akár gyakorlati, akár elméleti tevékenységével nemzetközi vagy országos elismertséget vívott ki, doktori fokozottal rendelkezik </w:t>
      </w:r>
      <w:r w:rsidRPr="000250FA">
        <w:rPr>
          <w:sz w:val="22"/>
          <w:szCs w:val="22"/>
        </w:rPr>
        <w:t>és az Egyetemen folyamatos és rendszeres oktatási tevékenységet végez</w:t>
      </w:r>
      <w:r w:rsidRPr="000250FA">
        <w:rPr>
          <w:snapToGrid w:val="0"/>
          <w:sz w:val="22"/>
          <w:szCs w:val="22"/>
        </w:rPr>
        <w:t>.</w:t>
      </w:r>
    </w:p>
    <w:p w14:paraId="35C8F8DA" w14:textId="77777777" w:rsidR="00893D5B" w:rsidRPr="000250FA" w:rsidRDefault="00893D5B" w:rsidP="00893D5B">
      <w:pPr>
        <w:tabs>
          <w:tab w:val="left" w:pos="9781"/>
        </w:tabs>
        <w:ind w:right="-144"/>
        <w:jc w:val="both"/>
        <w:rPr>
          <w:sz w:val="22"/>
          <w:szCs w:val="22"/>
        </w:rPr>
      </w:pPr>
    </w:p>
    <w:p w14:paraId="79FF88E0" w14:textId="77777777" w:rsidR="00893D5B" w:rsidRPr="000250FA" w:rsidRDefault="00893D5B" w:rsidP="00893D5B">
      <w:pPr>
        <w:tabs>
          <w:tab w:val="left" w:pos="9781"/>
        </w:tabs>
        <w:ind w:right="-144"/>
        <w:jc w:val="both"/>
        <w:rPr>
          <w:sz w:val="22"/>
          <w:szCs w:val="22"/>
        </w:rPr>
      </w:pPr>
      <w:r w:rsidRPr="000250FA">
        <w:rPr>
          <w:snapToGrid w:val="0"/>
          <w:sz w:val="22"/>
          <w:szCs w:val="22"/>
        </w:rPr>
        <w:t>(3) Címzetes egyetemi docensi cím adományozható annak,</w:t>
      </w:r>
      <w:r w:rsidRPr="000250FA">
        <w:rPr>
          <w:sz w:val="22"/>
          <w:szCs w:val="22"/>
        </w:rPr>
        <w:t xml:space="preserve"> aki az Egyetem, illetve az Egyetem valamely kara által oktatott, kutatott tudományterületen jelentős – akár gyakorlati, akár elméleti – tevékenységét fejt ki, és az Egyetem adott karán folyamatos és rendszeres oktatási tevékenységet végez. Az (1) bekezdéstől eltérően a cím az Egyetemmel közalkalmazotti jogviszonyban álló, nem oktatói, kutatói, tanári munkakört ellátó, doktori fokozattal rendelkező óraadó oktatónak is adományozható.</w:t>
      </w:r>
    </w:p>
    <w:p w14:paraId="5B32F6BB" w14:textId="77777777" w:rsidR="00893D5B" w:rsidRPr="000250FA" w:rsidRDefault="00893D5B" w:rsidP="00893D5B">
      <w:pPr>
        <w:tabs>
          <w:tab w:val="left" w:pos="9781"/>
        </w:tabs>
        <w:ind w:right="-144"/>
        <w:rPr>
          <w:b/>
          <w:sz w:val="22"/>
          <w:szCs w:val="22"/>
        </w:rPr>
      </w:pPr>
    </w:p>
    <w:p w14:paraId="4D30396D" w14:textId="77777777" w:rsidR="00893D5B" w:rsidRPr="000250FA" w:rsidRDefault="00893D5B" w:rsidP="00893D5B">
      <w:pPr>
        <w:jc w:val="center"/>
        <w:rPr>
          <w:b/>
          <w:sz w:val="22"/>
          <w:szCs w:val="22"/>
        </w:rPr>
      </w:pPr>
      <w:bookmarkStart w:id="270" w:name="_Toc432753624"/>
      <w:r w:rsidRPr="000250FA">
        <w:rPr>
          <w:b/>
          <w:sz w:val="22"/>
          <w:szCs w:val="22"/>
        </w:rPr>
        <w:t>Mesteroktatói cím adományozása</w:t>
      </w:r>
      <w:bookmarkEnd w:id="270"/>
    </w:p>
    <w:p w14:paraId="4E17EE1A" w14:textId="77777777" w:rsidR="00893D5B" w:rsidRPr="000250FA" w:rsidRDefault="00893D5B" w:rsidP="00893D5B">
      <w:pPr>
        <w:jc w:val="center"/>
        <w:rPr>
          <w:b/>
          <w:i/>
          <w:sz w:val="22"/>
          <w:szCs w:val="22"/>
        </w:rPr>
      </w:pPr>
    </w:p>
    <w:p w14:paraId="07163DAE"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b/>
          <w:sz w:val="22"/>
          <w:szCs w:val="22"/>
        </w:rPr>
        <w:t>122. §</w:t>
      </w:r>
      <w:r w:rsidRPr="000250FA">
        <w:rPr>
          <w:rStyle w:val="Lbjegyzet-hivatkozs"/>
          <w:b/>
          <w:sz w:val="22"/>
          <w:szCs w:val="22"/>
        </w:rPr>
        <w:footnoteReference w:id="409"/>
      </w:r>
      <w:r w:rsidRPr="000250FA">
        <w:rPr>
          <w:b/>
          <w:sz w:val="22"/>
          <w:szCs w:val="22"/>
        </w:rPr>
        <w:t xml:space="preserve"> </w:t>
      </w:r>
      <w:r w:rsidRPr="000250FA">
        <w:rPr>
          <w:sz w:val="22"/>
          <w:szCs w:val="22"/>
        </w:rPr>
        <w:t>A Szenátus az Egyetemmel közalkalmazotti jogviszonyban nem</w:t>
      </w:r>
      <w:r w:rsidRPr="000250FA">
        <w:rPr>
          <w:b/>
          <w:i/>
          <w:sz w:val="22"/>
          <w:szCs w:val="22"/>
        </w:rPr>
        <w:t xml:space="preserve"> </w:t>
      </w:r>
      <w:r w:rsidRPr="000250FA">
        <w:rPr>
          <w:sz w:val="22"/>
          <w:szCs w:val="22"/>
        </w:rPr>
        <w:t>álló, doktori fokozattal nem rendelkező óraadó oktatóinak – kiemelkedő gyakorlati jellegű oktatásuk elismeréseként – mesteroktatói címet adományozhat, amennyiben az oktató legalább 15 éve az Egyetem vagy jogelődje óraadó oktatója</w:t>
      </w:r>
      <w:r w:rsidRPr="000250FA">
        <w:rPr>
          <w:b/>
          <w:i/>
          <w:sz w:val="22"/>
          <w:szCs w:val="22"/>
        </w:rPr>
        <w:t xml:space="preserve"> </w:t>
      </w:r>
      <w:r w:rsidRPr="000250FA">
        <w:rPr>
          <w:sz w:val="22"/>
          <w:szCs w:val="22"/>
        </w:rPr>
        <w:t>és a cím adományozását a rektor, az egyetem valamely kara, vagy gyakorló intézménye kezdeményezi.</w:t>
      </w:r>
    </w:p>
    <w:p w14:paraId="7B48F4B4" w14:textId="77777777" w:rsidR="00893D5B" w:rsidRPr="000250FA" w:rsidRDefault="00893D5B" w:rsidP="00893D5B">
      <w:pPr>
        <w:tabs>
          <w:tab w:val="left" w:pos="9781"/>
        </w:tabs>
        <w:ind w:right="-144"/>
        <w:jc w:val="both"/>
        <w:rPr>
          <w:strike/>
          <w:sz w:val="22"/>
          <w:szCs w:val="22"/>
        </w:rPr>
      </w:pPr>
    </w:p>
    <w:p w14:paraId="38E09BF2" w14:textId="77777777" w:rsidR="00893D5B" w:rsidRPr="000250FA" w:rsidRDefault="00893D5B" w:rsidP="00893D5B">
      <w:pPr>
        <w:tabs>
          <w:tab w:val="left" w:pos="9781"/>
        </w:tabs>
        <w:ind w:right="-144"/>
        <w:jc w:val="both"/>
        <w:rPr>
          <w:strike/>
          <w:sz w:val="22"/>
          <w:szCs w:val="22"/>
        </w:rPr>
      </w:pPr>
    </w:p>
    <w:p w14:paraId="1BCB64D0" w14:textId="77777777" w:rsidR="00893D5B" w:rsidRPr="000250FA" w:rsidRDefault="00893D5B" w:rsidP="00893D5B">
      <w:pPr>
        <w:tabs>
          <w:tab w:val="left" w:pos="9781"/>
        </w:tabs>
        <w:ind w:right="-144"/>
        <w:jc w:val="center"/>
        <w:rPr>
          <w:b/>
          <w:sz w:val="22"/>
          <w:szCs w:val="22"/>
        </w:rPr>
      </w:pPr>
      <w:r w:rsidRPr="000250FA">
        <w:rPr>
          <w:b/>
          <w:sz w:val="22"/>
          <w:szCs w:val="22"/>
        </w:rPr>
        <w:t>A magántanári, a címzetes egyetemi, főiskolai tanári és a címzetes egyetemi, főiskolai docensi, mesteroktatói címre vonatkozó közös szabályok</w:t>
      </w:r>
    </w:p>
    <w:p w14:paraId="64E7477E" w14:textId="77777777" w:rsidR="00893D5B" w:rsidRPr="000250FA" w:rsidRDefault="00893D5B" w:rsidP="00893D5B">
      <w:pPr>
        <w:tabs>
          <w:tab w:val="left" w:pos="9781"/>
        </w:tabs>
        <w:ind w:right="-144"/>
        <w:rPr>
          <w:sz w:val="22"/>
          <w:szCs w:val="22"/>
        </w:rPr>
      </w:pPr>
    </w:p>
    <w:p w14:paraId="17AE9500" w14:textId="77777777" w:rsidR="00893D5B" w:rsidRPr="000250FA" w:rsidRDefault="00893D5B" w:rsidP="00893D5B">
      <w:pPr>
        <w:rPr>
          <w:sz w:val="22"/>
          <w:szCs w:val="22"/>
        </w:rPr>
      </w:pPr>
      <w:r w:rsidRPr="000250FA">
        <w:rPr>
          <w:b/>
          <w:sz w:val="22"/>
          <w:szCs w:val="22"/>
        </w:rPr>
        <w:t>123. §</w:t>
      </w:r>
      <w:r w:rsidRPr="000250FA">
        <w:rPr>
          <w:sz w:val="22"/>
          <w:szCs w:val="22"/>
        </w:rPr>
        <w:t xml:space="preserve"> (1) A 117-121. §-</w:t>
      </w:r>
      <w:proofErr w:type="spellStart"/>
      <w:r w:rsidRPr="000250FA">
        <w:rPr>
          <w:sz w:val="22"/>
          <w:szCs w:val="22"/>
        </w:rPr>
        <w:t>ban</w:t>
      </w:r>
      <w:proofErr w:type="spellEnd"/>
      <w:r w:rsidRPr="000250FA">
        <w:rPr>
          <w:sz w:val="22"/>
          <w:szCs w:val="22"/>
        </w:rPr>
        <w:t xml:space="preserve"> meghatározott címet vissza kell vonni, ha</w:t>
      </w:r>
    </w:p>
    <w:p w14:paraId="1F96EDE1" w14:textId="77777777" w:rsidR="00893D5B" w:rsidRPr="000250FA" w:rsidRDefault="00893D5B" w:rsidP="00893D5B">
      <w:pPr>
        <w:rPr>
          <w:sz w:val="22"/>
          <w:szCs w:val="22"/>
        </w:rPr>
      </w:pPr>
    </w:p>
    <w:p w14:paraId="7C309226" w14:textId="77777777" w:rsidR="00893D5B" w:rsidRPr="000250FA" w:rsidRDefault="00893D5B" w:rsidP="00F83E93">
      <w:pPr>
        <w:numPr>
          <w:ilvl w:val="0"/>
          <w:numId w:val="120"/>
        </w:numPr>
        <w:jc w:val="both"/>
        <w:rPr>
          <w:sz w:val="22"/>
          <w:szCs w:val="22"/>
        </w:rPr>
      </w:pPr>
      <w:r w:rsidRPr="000250FA">
        <w:rPr>
          <w:sz w:val="22"/>
          <w:szCs w:val="22"/>
        </w:rPr>
        <w:t>a cím viselője – a mesteroktató kivételével – az Egyetemmel közalkalmazotti jogviszonyt létesít,</w:t>
      </w:r>
    </w:p>
    <w:p w14:paraId="6E63AB98" w14:textId="77777777" w:rsidR="00893D5B" w:rsidRPr="000250FA" w:rsidRDefault="00893D5B" w:rsidP="00F83E93">
      <w:pPr>
        <w:numPr>
          <w:ilvl w:val="0"/>
          <w:numId w:val="120"/>
        </w:numPr>
        <w:jc w:val="both"/>
        <w:rPr>
          <w:sz w:val="22"/>
          <w:szCs w:val="22"/>
        </w:rPr>
      </w:pPr>
      <w:r w:rsidRPr="000250FA">
        <w:rPr>
          <w:sz w:val="22"/>
          <w:szCs w:val="22"/>
        </w:rPr>
        <w:t>az oktató a cím viselésére méltatlanná válik.</w:t>
      </w:r>
    </w:p>
    <w:p w14:paraId="00BAE6BA" w14:textId="77777777" w:rsidR="00893D5B" w:rsidRPr="000250FA" w:rsidRDefault="00893D5B" w:rsidP="00893D5B">
      <w:pPr>
        <w:rPr>
          <w:sz w:val="22"/>
          <w:szCs w:val="22"/>
        </w:rPr>
      </w:pPr>
    </w:p>
    <w:p w14:paraId="1D320E77" w14:textId="77777777" w:rsidR="00893D5B" w:rsidRPr="000250FA" w:rsidRDefault="00893D5B" w:rsidP="00893D5B">
      <w:pPr>
        <w:jc w:val="both"/>
        <w:rPr>
          <w:sz w:val="22"/>
          <w:szCs w:val="22"/>
        </w:rPr>
      </w:pPr>
      <w:r w:rsidRPr="000250FA">
        <w:rPr>
          <w:sz w:val="22"/>
          <w:szCs w:val="22"/>
        </w:rPr>
        <w:t>(2) Az (1) bekezdés a) pontja esetében a rektor a cím visszavonásáról intézkedik és erről a Szenátust, valamint az érintett kar vezetőjét tájékoztatja.</w:t>
      </w:r>
    </w:p>
    <w:p w14:paraId="2461BB1B" w14:textId="77777777" w:rsidR="00893D5B" w:rsidRPr="000250FA" w:rsidRDefault="00893D5B" w:rsidP="00893D5B">
      <w:pPr>
        <w:jc w:val="both"/>
        <w:rPr>
          <w:snapToGrid w:val="0"/>
          <w:sz w:val="22"/>
          <w:szCs w:val="22"/>
        </w:rPr>
      </w:pPr>
    </w:p>
    <w:p w14:paraId="5453D1E9" w14:textId="77777777" w:rsidR="00893D5B" w:rsidRPr="000250FA" w:rsidRDefault="00893D5B" w:rsidP="00893D5B">
      <w:pPr>
        <w:jc w:val="both"/>
        <w:rPr>
          <w:sz w:val="22"/>
          <w:szCs w:val="22"/>
        </w:rPr>
      </w:pPr>
      <w:r w:rsidRPr="000250FA">
        <w:rPr>
          <w:snapToGrid w:val="0"/>
          <w:sz w:val="22"/>
          <w:szCs w:val="22"/>
        </w:rPr>
        <w:t xml:space="preserve">(3) Ha a </w:t>
      </w:r>
      <w:r w:rsidRPr="000250FA">
        <w:rPr>
          <w:sz w:val="22"/>
          <w:szCs w:val="22"/>
        </w:rPr>
        <w:t>117-121. §-</w:t>
      </w:r>
      <w:proofErr w:type="spellStart"/>
      <w:r w:rsidRPr="000250FA">
        <w:rPr>
          <w:sz w:val="22"/>
          <w:szCs w:val="22"/>
        </w:rPr>
        <w:t>ban</w:t>
      </w:r>
      <w:proofErr w:type="spellEnd"/>
      <w:r w:rsidRPr="000250FA">
        <w:rPr>
          <w:sz w:val="22"/>
          <w:szCs w:val="22"/>
        </w:rPr>
        <w:t xml:space="preserve"> meghatározott címe</w:t>
      </w:r>
      <w:r w:rsidRPr="000250FA">
        <w:rPr>
          <w:snapToGrid w:val="0"/>
          <w:sz w:val="22"/>
          <w:szCs w:val="22"/>
        </w:rPr>
        <w:t>t viselő személy annak viselésére méltatlanná vált</w:t>
      </w:r>
      <w:r w:rsidRPr="000250FA">
        <w:rPr>
          <w:sz w:val="22"/>
          <w:szCs w:val="22"/>
        </w:rPr>
        <w:t>, a rektor, illetve a kari tanács javaslatára a Szenátus határoz a cím visszavonásáról.</w:t>
      </w:r>
    </w:p>
    <w:p w14:paraId="2EA8CAB3" w14:textId="77777777" w:rsidR="00893D5B" w:rsidRPr="000250FA" w:rsidRDefault="00893D5B" w:rsidP="00893D5B">
      <w:pPr>
        <w:jc w:val="both"/>
        <w:rPr>
          <w:sz w:val="22"/>
          <w:szCs w:val="22"/>
        </w:rPr>
      </w:pPr>
    </w:p>
    <w:p w14:paraId="1C74F82A" w14:textId="77777777" w:rsidR="00893D5B" w:rsidRPr="000250FA" w:rsidRDefault="00893D5B" w:rsidP="00893D5B">
      <w:pPr>
        <w:jc w:val="both"/>
        <w:rPr>
          <w:bCs/>
          <w:iCs/>
          <w:spacing w:val="-8"/>
          <w:sz w:val="22"/>
          <w:szCs w:val="22"/>
        </w:rPr>
      </w:pPr>
      <w:r w:rsidRPr="000250FA">
        <w:rPr>
          <w:sz w:val="22"/>
          <w:szCs w:val="22"/>
        </w:rPr>
        <w:t>(4) Méltatlanná válik az a személy, akit szándékosan elkövetett bűncselekmény miatt jogerősen végrehajtandó szabadságvesztésre ítéltek és/vagy foglalkozása gyakorlásától, illetve a közügyektől jogerősen eltiltottak</w:t>
      </w:r>
      <w:r w:rsidRPr="000250FA">
        <w:rPr>
          <w:bCs/>
          <w:iCs/>
          <w:spacing w:val="-8"/>
          <w:sz w:val="22"/>
          <w:szCs w:val="22"/>
        </w:rPr>
        <w:t>.</w:t>
      </w:r>
    </w:p>
    <w:p w14:paraId="4E613381" w14:textId="77777777" w:rsidR="00893D5B" w:rsidRPr="000250FA" w:rsidRDefault="00893D5B" w:rsidP="00893D5B">
      <w:pPr>
        <w:jc w:val="both"/>
        <w:rPr>
          <w:b/>
          <w:bCs/>
          <w:iCs/>
          <w:spacing w:val="-8"/>
          <w:sz w:val="22"/>
          <w:szCs w:val="22"/>
        </w:rPr>
      </w:pPr>
    </w:p>
    <w:p w14:paraId="0201CA50" w14:textId="77777777" w:rsidR="00893D5B" w:rsidRPr="000250FA" w:rsidRDefault="00893D5B" w:rsidP="00893D5B">
      <w:pPr>
        <w:tabs>
          <w:tab w:val="left" w:pos="9781"/>
        </w:tabs>
        <w:ind w:right="-144"/>
        <w:jc w:val="both"/>
        <w:rPr>
          <w:sz w:val="22"/>
          <w:szCs w:val="22"/>
        </w:rPr>
      </w:pPr>
      <w:r w:rsidRPr="000250FA">
        <w:rPr>
          <w:b/>
          <w:sz w:val="22"/>
          <w:szCs w:val="22"/>
        </w:rPr>
        <w:t>124. §</w:t>
      </w:r>
      <w:r w:rsidRPr="000250FA">
        <w:rPr>
          <w:sz w:val="22"/>
          <w:szCs w:val="22"/>
        </w:rPr>
        <w:t xml:space="preserve"> A magántanári, a címzetes egyetemi, főiskolai docensi, illetve a címzetes egyetemi, főiskolai tanári, valamint a mesteroktatói címekkel anyagi juttatás nem jár.</w:t>
      </w:r>
    </w:p>
    <w:p w14:paraId="19BB0880" w14:textId="77777777" w:rsidR="00893D5B" w:rsidRPr="000250FA" w:rsidRDefault="00893D5B" w:rsidP="00893D5B">
      <w:pPr>
        <w:tabs>
          <w:tab w:val="left" w:pos="9781"/>
        </w:tabs>
        <w:ind w:right="-144"/>
        <w:jc w:val="both"/>
        <w:rPr>
          <w:sz w:val="22"/>
          <w:szCs w:val="22"/>
        </w:rPr>
      </w:pPr>
    </w:p>
    <w:p w14:paraId="3741DB23" w14:textId="77777777" w:rsidR="00893D5B" w:rsidRPr="000250FA" w:rsidRDefault="00893D5B" w:rsidP="00893D5B">
      <w:pPr>
        <w:tabs>
          <w:tab w:val="left" w:pos="9781"/>
        </w:tabs>
        <w:ind w:right="-144"/>
        <w:jc w:val="center"/>
        <w:rPr>
          <w:b/>
          <w:sz w:val="22"/>
          <w:szCs w:val="22"/>
        </w:rPr>
      </w:pPr>
      <w:r w:rsidRPr="000250FA">
        <w:rPr>
          <w:b/>
          <w:sz w:val="22"/>
          <w:szCs w:val="22"/>
        </w:rPr>
        <w:t>Tiszteletbeli doktorrá (</w:t>
      </w:r>
      <w:proofErr w:type="spellStart"/>
      <w:r w:rsidRPr="000250FA">
        <w:rPr>
          <w:b/>
          <w:sz w:val="22"/>
          <w:szCs w:val="22"/>
        </w:rPr>
        <w:t>doctor</w:t>
      </w:r>
      <w:proofErr w:type="spellEnd"/>
      <w:r w:rsidRPr="000250FA">
        <w:rPr>
          <w:b/>
          <w:sz w:val="22"/>
          <w:szCs w:val="22"/>
        </w:rPr>
        <w:t xml:space="preserve"> honoris causa), valamint a tiszteletbeli doktorrá és professzorrá avatás </w:t>
      </w:r>
    </w:p>
    <w:p w14:paraId="7480A6E0" w14:textId="77777777" w:rsidR="00893D5B" w:rsidRPr="000250FA" w:rsidRDefault="00893D5B" w:rsidP="00893D5B">
      <w:pPr>
        <w:tabs>
          <w:tab w:val="left" w:pos="9781"/>
        </w:tabs>
        <w:ind w:right="-144"/>
        <w:jc w:val="both"/>
        <w:rPr>
          <w:b/>
          <w:i/>
          <w:sz w:val="22"/>
          <w:szCs w:val="22"/>
        </w:rPr>
      </w:pPr>
    </w:p>
    <w:p w14:paraId="068EE56D" w14:textId="77777777" w:rsidR="00893D5B" w:rsidRPr="000250FA" w:rsidRDefault="00893D5B" w:rsidP="00893D5B">
      <w:pPr>
        <w:tabs>
          <w:tab w:val="left" w:pos="9781"/>
        </w:tabs>
        <w:ind w:right="-144"/>
        <w:jc w:val="both"/>
        <w:rPr>
          <w:sz w:val="22"/>
          <w:szCs w:val="22"/>
        </w:rPr>
      </w:pPr>
      <w:r w:rsidRPr="000250FA">
        <w:rPr>
          <w:b/>
          <w:sz w:val="22"/>
          <w:szCs w:val="22"/>
        </w:rPr>
        <w:t>124/A.§</w:t>
      </w:r>
      <w:r w:rsidRPr="000250FA">
        <w:rPr>
          <w:sz w:val="22"/>
          <w:szCs w:val="22"/>
        </w:rPr>
        <w:t xml:space="preserve"> </w:t>
      </w:r>
      <w:r w:rsidRPr="000250FA">
        <w:rPr>
          <w:rStyle w:val="Lbjegyzet-hivatkozs"/>
          <w:sz w:val="22"/>
          <w:szCs w:val="22"/>
        </w:rPr>
        <w:footnoteReference w:id="410"/>
      </w:r>
      <w:r w:rsidRPr="000250FA">
        <w:rPr>
          <w:sz w:val="22"/>
          <w:szCs w:val="22"/>
        </w:rPr>
        <w:t xml:space="preserve"> </w:t>
      </w:r>
      <w:proofErr w:type="gramStart"/>
      <w:r w:rsidRPr="000250FA">
        <w:rPr>
          <w:sz w:val="22"/>
          <w:szCs w:val="22"/>
        </w:rPr>
        <w:t>A</w:t>
      </w:r>
      <w:proofErr w:type="gramEnd"/>
      <w:r w:rsidRPr="000250FA">
        <w:rPr>
          <w:sz w:val="22"/>
          <w:szCs w:val="22"/>
        </w:rPr>
        <w:t xml:space="preserve"> Tiszteletbeli doktorrá (</w:t>
      </w:r>
      <w:proofErr w:type="spellStart"/>
      <w:r w:rsidRPr="000250FA">
        <w:rPr>
          <w:sz w:val="22"/>
          <w:szCs w:val="22"/>
        </w:rPr>
        <w:t>doctor</w:t>
      </w:r>
      <w:proofErr w:type="spellEnd"/>
      <w:r w:rsidRPr="000250FA">
        <w:rPr>
          <w:sz w:val="22"/>
          <w:szCs w:val="22"/>
        </w:rPr>
        <w:t xml:space="preserve"> honoris causa), valamint a tiszteletbeli doktorrá és professzorrá avatás feltételeiről és eljárásrendjéről a Pécsi Tudományegyetem Szervezeti és Működési Szabályzatának 13. számú melléklete A Pécsi Tudományegyetem doktori szabályzata rendelkezik.</w:t>
      </w:r>
    </w:p>
    <w:p w14:paraId="3304386D" w14:textId="77777777" w:rsidR="00893D5B" w:rsidRPr="000250FA" w:rsidRDefault="00893D5B" w:rsidP="00893D5B">
      <w:pPr>
        <w:tabs>
          <w:tab w:val="left" w:pos="9781"/>
        </w:tabs>
        <w:ind w:right="-144"/>
        <w:rPr>
          <w:b/>
          <w:sz w:val="22"/>
          <w:szCs w:val="22"/>
        </w:rPr>
      </w:pPr>
    </w:p>
    <w:p w14:paraId="43F57F6B" w14:textId="77777777" w:rsidR="00893D5B" w:rsidRPr="000250FA" w:rsidRDefault="00893D5B" w:rsidP="00893D5B">
      <w:pPr>
        <w:pStyle w:val="Cmsor3"/>
      </w:pPr>
      <w:bookmarkStart w:id="271" w:name="_Toc432753625"/>
      <w:bookmarkStart w:id="272" w:name="_Toc444603574"/>
      <w:bookmarkStart w:id="273" w:name="_Toc445200833"/>
      <w:bookmarkStart w:id="274" w:name="_Toc58569557"/>
      <w:r w:rsidRPr="000250FA">
        <w:t>II. fejezet - Közalkalmazotti jogviszonnyal járó címek</w:t>
      </w:r>
      <w:bookmarkEnd w:id="271"/>
      <w:bookmarkEnd w:id="272"/>
      <w:bookmarkEnd w:id="273"/>
      <w:bookmarkEnd w:id="274"/>
    </w:p>
    <w:p w14:paraId="3C261333" w14:textId="77777777" w:rsidR="00893D5B" w:rsidRPr="000250FA" w:rsidRDefault="00893D5B" w:rsidP="00893D5B">
      <w:pPr>
        <w:rPr>
          <w:sz w:val="22"/>
          <w:szCs w:val="22"/>
        </w:rPr>
      </w:pPr>
    </w:p>
    <w:p w14:paraId="1BBB5183" w14:textId="77777777" w:rsidR="00893D5B" w:rsidRPr="000250FA" w:rsidRDefault="00893D5B" w:rsidP="00893D5B">
      <w:pPr>
        <w:jc w:val="both"/>
        <w:rPr>
          <w:sz w:val="22"/>
          <w:szCs w:val="22"/>
        </w:rPr>
      </w:pPr>
      <w:r w:rsidRPr="000250FA">
        <w:rPr>
          <w:b/>
          <w:sz w:val="22"/>
          <w:szCs w:val="22"/>
        </w:rPr>
        <w:t>125. §</w:t>
      </w:r>
      <w:r w:rsidRPr="000250FA">
        <w:rPr>
          <w:sz w:val="22"/>
          <w:szCs w:val="22"/>
        </w:rPr>
        <w:t xml:space="preserve"> (1) A Kjt. 39. § (3) bekezdésében megfogalmazott feltételek alapján, a tartósan magas színvonalú munkavégzés vagy kiemelkedő munkateljesítmény esetére – </w:t>
      </w:r>
      <w:r w:rsidRPr="000250FA">
        <w:rPr>
          <w:snapToGrid w:val="0"/>
          <w:sz w:val="22"/>
          <w:szCs w:val="22"/>
        </w:rPr>
        <w:t>az oktatói, kutatói és tanári munkakörben foglalkoztatottak kivételével –</w:t>
      </w:r>
    </w:p>
    <w:p w14:paraId="7C32DB17" w14:textId="77777777" w:rsidR="00893D5B" w:rsidRPr="000250FA" w:rsidRDefault="00893D5B" w:rsidP="00893D5B">
      <w:pPr>
        <w:rPr>
          <w:sz w:val="22"/>
          <w:szCs w:val="22"/>
        </w:rPr>
      </w:pPr>
    </w:p>
    <w:p w14:paraId="460BECA7" w14:textId="77777777" w:rsidR="00893D5B" w:rsidRPr="000250FA" w:rsidRDefault="00893D5B" w:rsidP="00F83E93">
      <w:pPr>
        <w:numPr>
          <w:ilvl w:val="0"/>
          <w:numId w:val="121"/>
        </w:numPr>
        <w:jc w:val="both"/>
        <w:rPr>
          <w:sz w:val="22"/>
          <w:szCs w:val="22"/>
        </w:rPr>
      </w:pPr>
      <w:r w:rsidRPr="000250FA">
        <w:rPr>
          <w:sz w:val="22"/>
          <w:szCs w:val="22"/>
        </w:rPr>
        <w:t>a B, C, D fizetési osztályban besorolt közalkalmazottaknak munkatársi, illetve főmunkatársi,</w:t>
      </w:r>
    </w:p>
    <w:p w14:paraId="5282A0B4" w14:textId="77777777" w:rsidR="00893D5B" w:rsidRPr="000250FA" w:rsidRDefault="00893D5B" w:rsidP="00F83E93">
      <w:pPr>
        <w:numPr>
          <w:ilvl w:val="0"/>
          <w:numId w:val="121"/>
        </w:numPr>
        <w:jc w:val="both"/>
        <w:rPr>
          <w:sz w:val="22"/>
          <w:szCs w:val="22"/>
        </w:rPr>
      </w:pPr>
      <w:r w:rsidRPr="000250FA">
        <w:rPr>
          <w:sz w:val="22"/>
          <w:szCs w:val="22"/>
        </w:rPr>
        <w:t>az E, F, G, H, I, J fizetési osztályban besorolt közalkalmazottaknak tanácsosi, illetve főtanácsosi</w:t>
      </w:r>
    </w:p>
    <w:p w14:paraId="785BF1A7" w14:textId="77777777" w:rsidR="00893D5B" w:rsidRPr="000250FA" w:rsidRDefault="00893D5B" w:rsidP="00893D5B">
      <w:pPr>
        <w:jc w:val="both"/>
      </w:pPr>
      <w:proofErr w:type="gramStart"/>
      <w:r w:rsidRPr="000250FA">
        <w:t>cím</w:t>
      </w:r>
      <w:proofErr w:type="gramEnd"/>
      <w:r w:rsidRPr="000250FA">
        <w:t xml:space="preserve"> adományozható.</w:t>
      </w:r>
    </w:p>
    <w:p w14:paraId="7A5292D1" w14:textId="77777777" w:rsidR="00893D5B" w:rsidRPr="000250FA" w:rsidRDefault="00893D5B" w:rsidP="00893D5B">
      <w:pPr>
        <w:rPr>
          <w:sz w:val="22"/>
          <w:szCs w:val="22"/>
        </w:rPr>
      </w:pPr>
    </w:p>
    <w:p w14:paraId="4CD76592" w14:textId="77777777" w:rsidR="00893D5B" w:rsidRPr="000250FA" w:rsidRDefault="00893D5B" w:rsidP="00893D5B">
      <w:pPr>
        <w:jc w:val="both"/>
        <w:rPr>
          <w:strike/>
          <w:sz w:val="22"/>
          <w:szCs w:val="22"/>
        </w:rPr>
      </w:pPr>
      <w:r w:rsidRPr="000250FA">
        <w:rPr>
          <w:sz w:val="22"/>
          <w:szCs w:val="22"/>
        </w:rPr>
        <w:t>(2) Az Egyetemen tanári munkakörben foglalkoztatott, kiemelkedő gyakorlati oktató munkát végző tanár részére mestertanári cím adományozható a 131.§-</w:t>
      </w:r>
      <w:proofErr w:type="spellStart"/>
      <w:r w:rsidRPr="000250FA">
        <w:rPr>
          <w:sz w:val="22"/>
          <w:szCs w:val="22"/>
        </w:rPr>
        <w:t>ban</w:t>
      </w:r>
      <w:proofErr w:type="spellEnd"/>
      <w:r w:rsidRPr="000250FA">
        <w:rPr>
          <w:sz w:val="22"/>
          <w:szCs w:val="22"/>
        </w:rPr>
        <w:t xml:space="preserve"> meghatározottak szerint.</w:t>
      </w:r>
    </w:p>
    <w:p w14:paraId="7E605F70" w14:textId="77777777" w:rsidR="00893D5B" w:rsidRPr="000250FA" w:rsidRDefault="00893D5B" w:rsidP="00893D5B">
      <w:pPr>
        <w:tabs>
          <w:tab w:val="left" w:pos="9781"/>
        </w:tabs>
        <w:ind w:right="-144"/>
        <w:jc w:val="both"/>
        <w:rPr>
          <w:b/>
          <w:sz w:val="22"/>
          <w:szCs w:val="22"/>
        </w:rPr>
      </w:pPr>
    </w:p>
    <w:p w14:paraId="523A3DE1" w14:textId="77777777" w:rsidR="00893D5B" w:rsidRPr="000250FA" w:rsidRDefault="00893D5B" w:rsidP="00893D5B">
      <w:pPr>
        <w:pStyle w:val="Cmsor4"/>
      </w:pPr>
      <w:bookmarkStart w:id="275" w:name="_Toc432753626"/>
      <w:r w:rsidRPr="000250FA">
        <w:t>A közalkalmazotti jogviszonnyal járó címek adományozása</w:t>
      </w:r>
      <w:bookmarkEnd w:id="275"/>
    </w:p>
    <w:p w14:paraId="1F64B3B0" w14:textId="77777777" w:rsidR="00893D5B" w:rsidRPr="000250FA" w:rsidRDefault="00893D5B" w:rsidP="00893D5B">
      <w:pPr>
        <w:jc w:val="both"/>
        <w:rPr>
          <w:sz w:val="22"/>
          <w:szCs w:val="22"/>
        </w:rPr>
      </w:pPr>
    </w:p>
    <w:p w14:paraId="754E1D55" w14:textId="77777777" w:rsidR="00893D5B" w:rsidRPr="000250FA" w:rsidRDefault="00893D5B" w:rsidP="00893D5B">
      <w:pPr>
        <w:jc w:val="both"/>
        <w:rPr>
          <w:sz w:val="22"/>
          <w:szCs w:val="22"/>
        </w:rPr>
      </w:pPr>
      <w:r w:rsidRPr="000250FA">
        <w:rPr>
          <w:b/>
          <w:sz w:val="22"/>
          <w:szCs w:val="22"/>
        </w:rPr>
        <w:t>126. §</w:t>
      </w:r>
      <w:r w:rsidRPr="000250FA">
        <w:rPr>
          <w:sz w:val="22"/>
          <w:szCs w:val="22"/>
        </w:rPr>
        <w:t xml:space="preserve"> (1) Az 125. § (1) és (2) bekezdésében meghatározott címek (a továbbiakban együttesen: közalkalmazotti jogviszonnyal járó cím) adományozására javaslatot – a közalkalmazottat foglalkoztató önálló szervezeti egység vezetője kezdeményezheti az e szabályzat 2. mellékletét képező nyomtatványon.</w:t>
      </w:r>
    </w:p>
    <w:p w14:paraId="50C84123" w14:textId="77777777" w:rsidR="00893D5B" w:rsidRPr="000250FA" w:rsidRDefault="00893D5B" w:rsidP="00893D5B">
      <w:pPr>
        <w:jc w:val="both"/>
        <w:rPr>
          <w:sz w:val="22"/>
          <w:szCs w:val="22"/>
        </w:rPr>
      </w:pPr>
    </w:p>
    <w:p w14:paraId="2D77ADEA" w14:textId="77777777" w:rsidR="00893D5B" w:rsidRPr="000250FA" w:rsidRDefault="00893D5B" w:rsidP="00893D5B">
      <w:pPr>
        <w:jc w:val="both"/>
        <w:rPr>
          <w:sz w:val="22"/>
          <w:szCs w:val="22"/>
        </w:rPr>
      </w:pPr>
      <w:r w:rsidRPr="000250FA">
        <w:rPr>
          <w:sz w:val="22"/>
          <w:szCs w:val="22"/>
        </w:rPr>
        <w:t>(2) Szervezeti</w:t>
      </w:r>
      <w:r w:rsidRPr="000250FA">
        <w:rPr>
          <w:b/>
          <w:sz w:val="22"/>
          <w:szCs w:val="22"/>
        </w:rPr>
        <w:t xml:space="preserve"> </w:t>
      </w:r>
      <w:r w:rsidRPr="000250FA">
        <w:rPr>
          <w:sz w:val="22"/>
          <w:szCs w:val="22"/>
        </w:rPr>
        <w:t>egységenként évente legfeljebb a szervezeti egység létszáma 1%-</w:t>
      </w:r>
      <w:proofErr w:type="spellStart"/>
      <w:r w:rsidRPr="000250FA">
        <w:rPr>
          <w:sz w:val="22"/>
          <w:szCs w:val="22"/>
        </w:rPr>
        <w:t>ának</w:t>
      </w:r>
      <w:proofErr w:type="spellEnd"/>
      <w:r w:rsidRPr="000250FA">
        <w:rPr>
          <w:sz w:val="22"/>
          <w:szCs w:val="22"/>
        </w:rPr>
        <w:t xml:space="preserve"> megfelelő számú, ha ez a szám kevesebb, mint egy, akkor legfeljebb egy tanácsosi vagy főtanácsosi és munkatársi vagy főmunkatársi cím adományozható annak figyelembe vételével, hogy a szervezeti egységek keretében foglalkoztatott közalkalmazotti jogviszonnyal járó címmel rendelkező közalkalmazottak száma a szervezeti egység létszámának 25%-át nem haladhatja meg. </w:t>
      </w:r>
    </w:p>
    <w:p w14:paraId="6357A772" w14:textId="77777777" w:rsidR="00893D5B" w:rsidRPr="000250FA" w:rsidRDefault="00893D5B" w:rsidP="00893D5B">
      <w:pPr>
        <w:jc w:val="both"/>
        <w:rPr>
          <w:sz w:val="22"/>
          <w:szCs w:val="22"/>
        </w:rPr>
      </w:pPr>
    </w:p>
    <w:p w14:paraId="34BFBE85" w14:textId="77777777" w:rsidR="00893D5B" w:rsidRPr="000250FA" w:rsidRDefault="00893D5B" w:rsidP="00893D5B">
      <w:pPr>
        <w:jc w:val="both"/>
        <w:rPr>
          <w:sz w:val="22"/>
          <w:szCs w:val="22"/>
        </w:rPr>
      </w:pPr>
      <w:r w:rsidRPr="000250FA">
        <w:rPr>
          <w:sz w:val="22"/>
          <w:szCs w:val="22"/>
        </w:rPr>
        <w:t>(3) A javaslatot a rektor saját hatáskörben az összes körülmény mérlegelésével bírálja el.</w:t>
      </w:r>
    </w:p>
    <w:p w14:paraId="3AFCC2B1" w14:textId="77777777" w:rsidR="00893D5B" w:rsidRPr="000250FA" w:rsidRDefault="00893D5B" w:rsidP="00893D5B">
      <w:pPr>
        <w:jc w:val="both"/>
        <w:rPr>
          <w:sz w:val="22"/>
          <w:szCs w:val="22"/>
        </w:rPr>
      </w:pPr>
    </w:p>
    <w:p w14:paraId="0DC5D9FE" w14:textId="77777777" w:rsidR="00893D5B" w:rsidRPr="000250FA" w:rsidRDefault="00893D5B" w:rsidP="00893D5B">
      <w:pPr>
        <w:jc w:val="both"/>
        <w:rPr>
          <w:sz w:val="22"/>
          <w:szCs w:val="22"/>
        </w:rPr>
      </w:pPr>
      <w:r w:rsidRPr="000250FA">
        <w:rPr>
          <w:b/>
          <w:sz w:val="22"/>
          <w:szCs w:val="22"/>
        </w:rPr>
        <w:t>127. §</w:t>
      </w:r>
      <w:r w:rsidRPr="000250FA">
        <w:rPr>
          <w:sz w:val="22"/>
          <w:szCs w:val="22"/>
        </w:rPr>
        <w:t xml:space="preserve"> (1) A közalkalmazotti jogviszonnyal járó cím adományozásáról szóló okiratot az Egyetem rektora, valamint a szervezeti egység javaslatot tevő vezetője írja alá, és a rektor adja át.</w:t>
      </w:r>
    </w:p>
    <w:p w14:paraId="7A48A901" w14:textId="77777777" w:rsidR="00893D5B" w:rsidRPr="000250FA" w:rsidRDefault="00893D5B" w:rsidP="00893D5B">
      <w:pPr>
        <w:jc w:val="both"/>
        <w:rPr>
          <w:sz w:val="22"/>
          <w:szCs w:val="22"/>
        </w:rPr>
      </w:pPr>
    </w:p>
    <w:p w14:paraId="5088935C" w14:textId="77777777" w:rsidR="00893D5B" w:rsidRPr="000250FA" w:rsidRDefault="00893D5B" w:rsidP="00893D5B">
      <w:pPr>
        <w:jc w:val="both"/>
        <w:rPr>
          <w:sz w:val="22"/>
          <w:szCs w:val="22"/>
        </w:rPr>
      </w:pPr>
      <w:r w:rsidRPr="000250FA">
        <w:rPr>
          <w:sz w:val="22"/>
          <w:szCs w:val="22"/>
        </w:rPr>
        <w:t>(2) A cím adományozásáról szóló okiratot ünnepélyes keretek között kell átadni.</w:t>
      </w:r>
    </w:p>
    <w:p w14:paraId="2289FDFA" w14:textId="77777777" w:rsidR="00893D5B" w:rsidRPr="000250FA" w:rsidRDefault="00893D5B" w:rsidP="00893D5B">
      <w:pPr>
        <w:tabs>
          <w:tab w:val="left" w:pos="9781"/>
        </w:tabs>
        <w:ind w:right="-144"/>
        <w:rPr>
          <w:sz w:val="22"/>
          <w:szCs w:val="22"/>
        </w:rPr>
      </w:pPr>
    </w:p>
    <w:p w14:paraId="22E11339" w14:textId="77777777" w:rsidR="00893D5B" w:rsidRPr="000250FA" w:rsidRDefault="00893D5B" w:rsidP="00893D5B">
      <w:pPr>
        <w:pStyle w:val="Cmsor4"/>
      </w:pPr>
      <w:bookmarkStart w:id="276" w:name="_Toc432753627"/>
      <w:r w:rsidRPr="000250FA">
        <w:t>A közalkalmazotti jogviszonnyal járó cím adományozásának feltételei</w:t>
      </w:r>
      <w:bookmarkEnd w:id="276"/>
    </w:p>
    <w:p w14:paraId="2FAB3C69" w14:textId="77777777" w:rsidR="00893D5B" w:rsidRPr="000250FA" w:rsidRDefault="00893D5B" w:rsidP="00893D5B">
      <w:pPr>
        <w:rPr>
          <w:sz w:val="22"/>
          <w:szCs w:val="22"/>
        </w:rPr>
      </w:pPr>
    </w:p>
    <w:p w14:paraId="573965A7" w14:textId="77777777" w:rsidR="00893D5B" w:rsidRPr="000250FA" w:rsidRDefault="00893D5B" w:rsidP="00893D5B">
      <w:pPr>
        <w:jc w:val="both"/>
        <w:rPr>
          <w:sz w:val="22"/>
          <w:szCs w:val="22"/>
        </w:rPr>
      </w:pPr>
      <w:r w:rsidRPr="000250FA">
        <w:rPr>
          <w:b/>
          <w:sz w:val="22"/>
          <w:szCs w:val="22"/>
        </w:rPr>
        <w:t>128. §</w:t>
      </w:r>
      <w:r w:rsidRPr="000250FA">
        <w:rPr>
          <w:sz w:val="22"/>
          <w:szCs w:val="22"/>
        </w:rPr>
        <w:t xml:space="preserve"> (1) Közalkalmazotti jogviszonnyal járó cím annak a határozatlan idejű jogviszonyban foglalkoztatott közalkalmazottnak adományozható, aki</w:t>
      </w:r>
    </w:p>
    <w:p w14:paraId="4FFDABE2" w14:textId="77777777" w:rsidR="00893D5B" w:rsidRPr="000250FA" w:rsidRDefault="00893D5B" w:rsidP="00893D5B">
      <w:pPr>
        <w:jc w:val="both"/>
        <w:rPr>
          <w:snapToGrid w:val="0"/>
          <w:sz w:val="22"/>
          <w:szCs w:val="22"/>
        </w:rPr>
      </w:pPr>
    </w:p>
    <w:p w14:paraId="51B7CC60" w14:textId="77777777" w:rsidR="00893D5B" w:rsidRPr="000250FA" w:rsidRDefault="00893D5B" w:rsidP="00F83E93">
      <w:pPr>
        <w:numPr>
          <w:ilvl w:val="0"/>
          <w:numId w:val="122"/>
        </w:numPr>
        <w:jc w:val="both"/>
        <w:rPr>
          <w:sz w:val="22"/>
          <w:szCs w:val="22"/>
        </w:rPr>
      </w:pPr>
      <w:r w:rsidRPr="000250FA">
        <w:rPr>
          <w:sz w:val="22"/>
          <w:szCs w:val="22"/>
        </w:rPr>
        <w:t>az Egyetemen legalább 10 éves közalkalmazotti jogviszonnyal rendelkezik, és</w:t>
      </w:r>
    </w:p>
    <w:p w14:paraId="13285F76" w14:textId="77777777" w:rsidR="00893D5B" w:rsidRPr="000250FA" w:rsidRDefault="00893D5B" w:rsidP="00F83E93">
      <w:pPr>
        <w:numPr>
          <w:ilvl w:val="0"/>
          <w:numId w:val="122"/>
        </w:numPr>
        <w:jc w:val="both"/>
        <w:rPr>
          <w:sz w:val="22"/>
          <w:szCs w:val="22"/>
        </w:rPr>
      </w:pPr>
      <w:r w:rsidRPr="000250FA">
        <w:rPr>
          <w:sz w:val="22"/>
          <w:szCs w:val="22"/>
        </w:rPr>
        <w:t>munkavégzése tartósan magas színvonalú vagy munkateljesítménye kiemelkedő.</w:t>
      </w:r>
    </w:p>
    <w:p w14:paraId="0EE2EA84" w14:textId="77777777" w:rsidR="00893D5B" w:rsidRPr="000250FA" w:rsidRDefault="00893D5B" w:rsidP="00893D5B">
      <w:pPr>
        <w:jc w:val="both"/>
        <w:rPr>
          <w:sz w:val="22"/>
          <w:szCs w:val="22"/>
        </w:rPr>
      </w:pPr>
    </w:p>
    <w:p w14:paraId="324B89B8" w14:textId="77777777" w:rsidR="00893D5B" w:rsidRPr="000250FA" w:rsidRDefault="00893D5B" w:rsidP="00893D5B">
      <w:pPr>
        <w:jc w:val="both"/>
        <w:rPr>
          <w:sz w:val="22"/>
          <w:szCs w:val="22"/>
        </w:rPr>
      </w:pPr>
      <w:r w:rsidRPr="000250FA">
        <w:rPr>
          <w:sz w:val="22"/>
          <w:szCs w:val="22"/>
        </w:rPr>
        <w:t xml:space="preserve">(2) A jelen Szabályzat alkalmazásában a munkavégzés akkor tartósan magas színvonalú, illetve a munkateljesítmény akkor kiemelkedő, ha </w:t>
      </w:r>
    </w:p>
    <w:p w14:paraId="16EF216D" w14:textId="77777777" w:rsidR="00893D5B" w:rsidRPr="000250FA" w:rsidRDefault="00893D5B" w:rsidP="00893D5B">
      <w:pPr>
        <w:jc w:val="both"/>
        <w:rPr>
          <w:sz w:val="22"/>
          <w:szCs w:val="22"/>
        </w:rPr>
      </w:pPr>
    </w:p>
    <w:p w14:paraId="6EE2144F" w14:textId="77777777" w:rsidR="00893D5B" w:rsidRPr="000250FA" w:rsidRDefault="00893D5B" w:rsidP="00F83E93">
      <w:pPr>
        <w:numPr>
          <w:ilvl w:val="0"/>
          <w:numId w:val="123"/>
        </w:numPr>
        <w:jc w:val="both"/>
        <w:rPr>
          <w:sz w:val="22"/>
          <w:szCs w:val="22"/>
        </w:rPr>
      </w:pPr>
      <w:r w:rsidRPr="000250FA">
        <w:rPr>
          <w:sz w:val="22"/>
          <w:szCs w:val="22"/>
        </w:rPr>
        <w:t>a közalkalmazott az átlagosan elvárható színvonalnál magasabb szinten végzi munkáját,</w:t>
      </w:r>
    </w:p>
    <w:p w14:paraId="72320000" w14:textId="77777777" w:rsidR="00893D5B" w:rsidRPr="000250FA" w:rsidRDefault="00893D5B" w:rsidP="00F83E93">
      <w:pPr>
        <w:numPr>
          <w:ilvl w:val="0"/>
          <w:numId w:val="123"/>
        </w:numPr>
        <w:jc w:val="both"/>
        <w:rPr>
          <w:sz w:val="22"/>
          <w:szCs w:val="22"/>
        </w:rPr>
      </w:pPr>
      <w:r w:rsidRPr="000250FA">
        <w:rPr>
          <w:sz w:val="22"/>
          <w:szCs w:val="22"/>
        </w:rPr>
        <w:t>munkavégzése során a munkakörébe tartozó szakmai szabályok naprakész ismeretéről és alkalmazásáról tesz tanúságot,</w:t>
      </w:r>
    </w:p>
    <w:p w14:paraId="0336F006" w14:textId="77777777" w:rsidR="00893D5B" w:rsidRPr="000250FA" w:rsidRDefault="00893D5B" w:rsidP="00F83E93">
      <w:pPr>
        <w:numPr>
          <w:ilvl w:val="0"/>
          <w:numId w:val="123"/>
        </w:numPr>
        <w:jc w:val="both"/>
        <w:rPr>
          <w:sz w:val="22"/>
          <w:szCs w:val="22"/>
        </w:rPr>
      </w:pPr>
      <w:r w:rsidRPr="000250FA">
        <w:rPr>
          <w:sz w:val="22"/>
          <w:szCs w:val="22"/>
        </w:rPr>
        <w:t>munkatársai, illetve a vele kapcsolatba kerülő ügyfelek irányában magatartása példamutató,</w:t>
      </w:r>
    </w:p>
    <w:p w14:paraId="6DA2B892" w14:textId="77777777" w:rsidR="00893D5B" w:rsidRPr="000250FA" w:rsidRDefault="00893D5B" w:rsidP="00F83E93">
      <w:pPr>
        <w:numPr>
          <w:ilvl w:val="0"/>
          <w:numId w:val="123"/>
        </w:numPr>
        <w:jc w:val="both"/>
      </w:pPr>
      <w:r w:rsidRPr="000250FA">
        <w:rPr>
          <w:sz w:val="22"/>
          <w:szCs w:val="22"/>
        </w:rPr>
        <w:t xml:space="preserve">tevékenységét az Egyetem érdekeinek képviselete és az Egyetem jó hírnevének szolgálata </w:t>
      </w:r>
      <w:proofErr w:type="spellStart"/>
      <w:r w:rsidRPr="000250FA">
        <w:rPr>
          <w:sz w:val="22"/>
          <w:szCs w:val="22"/>
        </w:rPr>
        <w:t>jellemzi</w:t>
      </w:r>
      <w:proofErr w:type="spellEnd"/>
      <w:r w:rsidRPr="000250FA">
        <w:t>.</w:t>
      </w:r>
    </w:p>
    <w:p w14:paraId="168FA132" w14:textId="77777777" w:rsidR="00893D5B" w:rsidRPr="000250FA" w:rsidRDefault="00893D5B" w:rsidP="00893D5B">
      <w:pPr>
        <w:tabs>
          <w:tab w:val="left" w:pos="9781"/>
        </w:tabs>
        <w:ind w:right="-144"/>
        <w:jc w:val="center"/>
        <w:rPr>
          <w:b/>
          <w:sz w:val="22"/>
          <w:szCs w:val="22"/>
        </w:rPr>
      </w:pPr>
    </w:p>
    <w:p w14:paraId="1F27B1CA" w14:textId="77777777" w:rsidR="00893D5B" w:rsidRPr="000250FA" w:rsidRDefault="00893D5B" w:rsidP="00893D5B">
      <w:pPr>
        <w:pStyle w:val="Cmsor4"/>
      </w:pPr>
      <w:bookmarkStart w:id="277" w:name="_Toc432753628"/>
      <w:r w:rsidRPr="000250FA">
        <w:t>A közalkalmazotti jogviszonnyal járó címmel járó jogok</w:t>
      </w:r>
      <w:bookmarkEnd w:id="277"/>
    </w:p>
    <w:p w14:paraId="50DC55D1" w14:textId="77777777" w:rsidR="00893D5B" w:rsidRPr="000250FA" w:rsidRDefault="00893D5B" w:rsidP="00893D5B">
      <w:pPr>
        <w:rPr>
          <w:sz w:val="22"/>
          <w:szCs w:val="22"/>
        </w:rPr>
      </w:pPr>
    </w:p>
    <w:p w14:paraId="2FD51F0C" w14:textId="77777777" w:rsidR="00893D5B" w:rsidRPr="000250FA" w:rsidRDefault="00893D5B" w:rsidP="00893D5B">
      <w:pPr>
        <w:rPr>
          <w:sz w:val="22"/>
          <w:szCs w:val="22"/>
        </w:rPr>
      </w:pPr>
      <w:r w:rsidRPr="000250FA">
        <w:rPr>
          <w:b/>
          <w:sz w:val="22"/>
          <w:szCs w:val="22"/>
        </w:rPr>
        <w:t>129. §</w:t>
      </w:r>
      <w:r w:rsidRPr="000250FA">
        <w:rPr>
          <w:sz w:val="22"/>
          <w:szCs w:val="22"/>
        </w:rPr>
        <w:t xml:space="preserve"> (1) A közalkalmazotti jogviszonnyal járó cím viselőjét címpótlék illeti meg.</w:t>
      </w:r>
    </w:p>
    <w:p w14:paraId="1E14ED52" w14:textId="77777777" w:rsidR="00893D5B" w:rsidRPr="000250FA" w:rsidRDefault="00893D5B" w:rsidP="00893D5B">
      <w:pPr>
        <w:rPr>
          <w:sz w:val="22"/>
          <w:szCs w:val="22"/>
        </w:rPr>
      </w:pPr>
    </w:p>
    <w:p w14:paraId="23E13417" w14:textId="77777777" w:rsidR="00893D5B" w:rsidRPr="000250FA" w:rsidRDefault="00893D5B" w:rsidP="00893D5B">
      <w:pPr>
        <w:rPr>
          <w:sz w:val="22"/>
          <w:szCs w:val="22"/>
        </w:rPr>
      </w:pPr>
      <w:r w:rsidRPr="000250FA">
        <w:rPr>
          <w:sz w:val="22"/>
          <w:szCs w:val="22"/>
        </w:rPr>
        <w:t>(2) A pótlék mértéke:</w:t>
      </w:r>
    </w:p>
    <w:p w14:paraId="11980CE8" w14:textId="77777777" w:rsidR="00893D5B" w:rsidRPr="000250FA" w:rsidRDefault="00893D5B" w:rsidP="00893D5B">
      <w:pPr>
        <w:rPr>
          <w:sz w:val="22"/>
          <w:szCs w:val="22"/>
        </w:rPr>
      </w:pPr>
    </w:p>
    <w:p w14:paraId="1133DCC0" w14:textId="77777777" w:rsidR="00893D5B" w:rsidRPr="000250FA" w:rsidRDefault="00893D5B" w:rsidP="00F83E93">
      <w:pPr>
        <w:numPr>
          <w:ilvl w:val="0"/>
          <w:numId w:val="124"/>
        </w:numPr>
        <w:jc w:val="both"/>
        <w:rPr>
          <w:sz w:val="22"/>
          <w:szCs w:val="22"/>
        </w:rPr>
      </w:pPr>
      <w:r w:rsidRPr="000250FA">
        <w:rPr>
          <w:sz w:val="22"/>
          <w:szCs w:val="22"/>
        </w:rPr>
        <w:t>munkatársi cím esetén a pótlékalap 25%-</w:t>
      </w:r>
      <w:proofErr w:type="gramStart"/>
      <w:r w:rsidRPr="000250FA">
        <w:rPr>
          <w:sz w:val="22"/>
          <w:szCs w:val="22"/>
        </w:rPr>
        <w:t>a</w:t>
      </w:r>
      <w:proofErr w:type="gramEnd"/>
      <w:r w:rsidRPr="000250FA">
        <w:rPr>
          <w:sz w:val="22"/>
          <w:szCs w:val="22"/>
        </w:rPr>
        <w:t>,</w:t>
      </w:r>
    </w:p>
    <w:p w14:paraId="0DA87BA2" w14:textId="77777777" w:rsidR="00893D5B" w:rsidRPr="000250FA" w:rsidRDefault="00893D5B" w:rsidP="00F83E93">
      <w:pPr>
        <w:numPr>
          <w:ilvl w:val="0"/>
          <w:numId w:val="124"/>
        </w:numPr>
        <w:jc w:val="both"/>
        <w:rPr>
          <w:sz w:val="22"/>
          <w:szCs w:val="22"/>
        </w:rPr>
      </w:pPr>
      <w:r w:rsidRPr="000250FA">
        <w:rPr>
          <w:sz w:val="22"/>
          <w:szCs w:val="22"/>
        </w:rPr>
        <w:t>főmunkatársi cím esetén a pótlékalap 75%-</w:t>
      </w:r>
      <w:proofErr w:type="gramStart"/>
      <w:r w:rsidRPr="000250FA">
        <w:rPr>
          <w:sz w:val="22"/>
          <w:szCs w:val="22"/>
        </w:rPr>
        <w:t>a</w:t>
      </w:r>
      <w:proofErr w:type="gramEnd"/>
      <w:r w:rsidRPr="000250FA">
        <w:rPr>
          <w:sz w:val="22"/>
          <w:szCs w:val="22"/>
        </w:rPr>
        <w:t>,</w:t>
      </w:r>
    </w:p>
    <w:p w14:paraId="139BAD14" w14:textId="77777777" w:rsidR="00893D5B" w:rsidRPr="000250FA" w:rsidRDefault="00893D5B" w:rsidP="00F83E93">
      <w:pPr>
        <w:numPr>
          <w:ilvl w:val="0"/>
          <w:numId w:val="124"/>
        </w:numPr>
        <w:jc w:val="both"/>
        <w:rPr>
          <w:sz w:val="22"/>
          <w:szCs w:val="22"/>
        </w:rPr>
      </w:pPr>
      <w:r w:rsidRPr="000250FA">
        <w:rPr>
          <w:sz w:val="22"/>
          <w:szCs w:val="22"/>
        </w:rPr>
        <w:t>tanácsosi cím esetén a pótlékalap 50%-</w:t>
      </w:r>
      <w:proofErr w:type="gramStart"/>
      <w:r w:rsidRPr="000250FA">
        <w:rPr>
          <w:sz w:val="22"/>
          <w:szCs w:val="22"/>
        </w:rPr>
        <w:t>a</w:t>
      </w:r>
      <w:proofErr w:type="gramEnd"/>
      <w:r w:rsidRPr="000250FA">
        <w:rPr>
          <w:sz w:val="22"/>
          <w:szCs w:val="22"/>
        </w:rPr>
        <w:t>,</w:t>
      </w:r>
    </w:p>
    <w:p w14:paraId="564B86B8" w14:textId="77777777" w:rsidR="00893D5B" w:rsidRPr="000250FA" w:rsidRDefault="00893D5B" w:rsidP="00F83E93">
      <w:pPr>
        <w:numPr>
          <w:ilvl w:val="0"/>
          <w:numId w:val="124"/>
        </w:numPr>
        <w:jc w:val="both"/>
        <w:rPr>
          <w:sz w:val="22"/>
          <w:szCs w:val="22"/>
        </w:rPr>
      </w:pPr>
      <w:r w:rsidRPr="000250FA">
        <w:rPr>
          <w:sz w:val="22"/>
          <w:szCs w:val="22"/>
        </w:rPr>
        <w:t>főtanácsosi cím esetén a pótlékalap 100%-</w:t>
      </w:r>
      <w:proofErr w:type="gramStart"/>
      <w:r w:rsidRPr="000250FA">
        <w:rPr>
          <w:sz w:val="22"/>
          <w:szCs w:val="22"/>
        </w:rPr>
        <w:t>a.</w:t>
      </w:r>
      <w:proofErr w:type="gramEnd"/>
    </w:p>
    <w:p w14:paraId="2A7C325D" w14:textId="77777777" w:rsidR="00893D5B" w:rsidRPr="000250FA" w:rsidRDefault="00893D5B" w:rsidP="00893D5B">
      <w:pPr>
        <w:rPr>
          <w:sz w:val="22"/>
          <w:szCs w:val="22"/>
        </w:rPr>
      </w:pPr>
    </w:p>
    <w:p w14:paraId="79A4D460" w14:textId="77777777" w:rsidR="00893D5B" w:rsidRPr="000250FA" w:rsidRDefault="00893D5B" w:rsidP="00893D5B">
      <w:pPr>
        <w:jc w:val="both"/>
        <w:rPr>
          <w:sz w:val="22"/>
          <w:szCs w:val="22"/>
        </w:rPr>
      </w:pPr>
      <w:r w:rsidRPr="000250FA">
        <w:rPr>
          <w:sz w:val="22"/>
          <w:szCs w:val="22"/>
        </w:rPr>
        <w:t>(3) Amennyiben a közalkalmazott vezetői és címpótlékra is jogosult, részére a vezetői pótlék jár.</w:t>
      </w:r>
    </w:p>
    <w:p w14:paraId="437468BA" w14:textId="77777777" w:rsidR="00893D5B" w:rsidRPr="000250FA" w:rsidRDefault="00893D5B" w:rsidP="00893D5B">
      <w:pPr>
        <w:rPr>
          <w:sz w:val="22"/>
          <w:szCs w:val="22"/>
        </w:rPr>
      </w:pPr>
    </w:p>
    <w:p w14:paraId="63E2792A" w14:textId="77777777" w:rsidR="00893D5B" w:rsidRPr="000250FA" w:rsidRDefault="00893D5B" w:rsidP="00893D5B">
      <w:pPr>
        <w:jc w:val="both"/>
        <w:rPr>
          <w:sz w:val="22"/>
          <w:szCs w:val="22"/>
        </w:rPr>
      </w:pPr>
      <w:r w:rsidRPr="000250FA">
        <w:rPr>
          <w:sz w:val="22"/>
          <w:szCs w:val="22"/>
        </w:rPr>
        <w:t>(4) A pótlék fedezetét a szervezeti egységnek kell biztosítani az egység költségvetési előirányzata terhére.</w:t>
      </w:r>
    </w:p>
    <w:p w14:paraId="024F390C" w14:textId="77777777" w:rsidR="00893D5B" w:rsidRPr="000250FA" w:rsidRDefault="00893D5B" w:rsidP="00893D5B">
      <w:pPr>
        <w:tabs>
          <w:tab w:val="left" w:pos="9781"/>
        </w:tabs>
        <w:ind w:right="-144"/>
        <w:rPr>
          <w:b/>
          <w:sz w:val="22"/>
          <w:szCs w:val="22"/>
        </w:rPr>
      </w:pPr>
    </w:p>
    <w:p w14:paraId="344C2D58" w14:textId="77777777" w:rsidR="00893D5B" w:rsidRPr="000250FA" w:rsidRDefault="00893D5B" w:rsidP="00893D5B">
      <w:pPr>
        <w:pStyle w:val="Cmsor4"/>
      </w:pPr>
      <w:bookmarkStart w:id="278" w:name="_Toc432753629"/>
      <w:r w:rsidRPr="000250FA">
        <w:t>A közalkalmazotti jogviszonnyal járó cím viselésére jogosultság megszűnése</w:t>
      </w:r>
      <w:bookmarkEnd w:id="278"/>
    </w:p>
    <w:p w14:paraId="69745459" w14:textId="77777777" w:rsidR="00893D5B" w:rsidRPr="000250FA" w:rsidRDefault="00893D5B" w:rsidP="00893D5B">
      <w:pPr>
        <w:rPr>
          <w:sz w:val="22"/>
          <w:szCs w:val="22"/>
        </w:rPr>
      </w:pPr>
    </w:p>
    <w:p w14:paraId="2ED4C0D6" w14:textId="77777777" w:rsidR="00893D5B" w:rsidRPr="000250FA" w:rsidRDefault="00893D5B" w:rsidP="00893D5B">
      <w:pPr>
        <w:rPr>
          <w:sz w:val="22"/>
          <w:szCs w:val="22"/>
        </w:rPr>
      </w:pPr>
      <w:r w:rsidRPr="000250FA">
        <w:rPr>
          <w:b/>
          <w:sz w:val="22"/>
          <w:szCs w:val="22"/>
        </w:rPr>
        <w:t>130. §</w:t>
      </w:r>
      <w:r w:rsidRPr="000250FA">
        <w:rPr>
          <w:sz w:val="22"/>
          <w:szCs w:val="22"/>
        </w:rPr>
        <w:t xml:space="preserve"> (1) A közalkalmazotti jogviszonnyal járó cím viselésére való jogosultság megszűnik, ha</w:t>
      </w:r>
    </w:p>
    <w:p w14:paraId="32F697CD" w14:textId="77777777" w:rsidR="00893D5B" w:rsidRPr="000250FA" w:rsidRDefault="00893D5B" w:rsidP="00893D5B">
      <w:pPr>
        <w:rPr>
          <w:sz w:val="22"/>
          <w:szCs w:val="22"/>
        </w:rPr>
      </w:pPr>
    </w:p>
    <w:p w14:paraId="392A66F2" w14:textId="77777777" w:rsidR="00893D5B" w:rsidRPr="000250FA" w:rsidRDefault="00893D5B" w:rsidP="00F83E93">
      <w:pPr>
        <w:numPr>
          <w:ilvl w:val="0"/>
          <w:numId w:val="125"/>
        </w:numPr>
        <w:jc w:val="both"/>
        <w:rPr>
          <w:sz w:val="22"/>
          <w:szCs w:val="22"/>
        </w:rPr>
      </w:pPr>
      <w:r w:rsidRPr="000250FA">
        <w:rPr>
          <w:sz w:val="22"/>
          <w:szCs w:val="22"/>
          <w:vertAlign w:val="superscript"/>
        </w:rPr>
        <w:footnoteReference w:id="411"/>
      </w:r>
      <w:r w:rsidRPr="000250FA">
        <w:rPr>
          <w:sz w:val="22"/>
          <w:szCs w:val="22"/>
          <w:vertAlign w:val="superscript"/>
        </w:rPr>
        <w:t xml:space="preserve"> </w:t>
      </w:r>
      <w:r w:rsidRPr="000250FA">
        <w:rPr>
          <w:sz w:val="22"/>
          <w:szCs w:val="22"/>
        </w:rPr>
        <w:t>a közalkalmazottat közalkalmazotti felelősségre vonás keretében a szervezeti egység vezetője javaslatára a rektor a címtől megfosztja,</w:t>
      </w:r>
    </w:p>
    <w:p w14:paraId="2ABC12BB" w14:textId="77777777" w:rsidR="00893D5B" w:rsidRPr="000250FA" w:rsidRDefault="00893D5B" w:rsidP="00F83E93">
      <w:pPr>
        <w:numPr>
          <w:ilvl w:val="0"/>
          <w:numId w:val="125"/>
        </w:numPr>
        <w:jc w:val="both"/>
        <w:rPr>
          <w:sz w:val="22"/>
          <w:szCs w:val="22"/>
        </w:rPr>
      </w:pPr>
      <w:r w:rsidRPr="000250FA">
        <w:rPr>
          <w:sz w:val="22"/>
          <w:szCs w:val="22"/>
        </w:rPr>
        <w:t>a rektor a közalkalmazotti címet visszavonja.</w:t>
      </w:r>
    </w:p>
    <w:p w14:paraId="0C2747FC" w14:textId="77777777" w:rsidR="00893D5B" w:rsidRPr="000250FA" w:rsidRDefault="00893D5B" w:rsidP="00893D5B">
      <w:pPr>
        <w:rPr>
          <w:sz w:val="22"/>
          <w:szCs w:val="22"/>
        </w:rPr>
      </w:pPr>
    </w:p>
    <w:p w14:paraId="5A013CED" w14:textId="77777777" w:rsidR="00893D5B" w:rsidRPr="000250FA" w:rsidRDefault="00893D5B" w:rsidP="00893D5B">
      <w:pPr>
        <w:rPr>
          <w:sz w:val="22"/>
          <w:szCs w:val="22"/>
        </w:rPr>
      </w:pPr>
      <w:r w:rsidRPr="000250FA">
        <w:rPr>
          <w:sz w:val="22"/>
          <w:szCs w:val="22"/>
        </w:rPr>
        <w:t>(2) A közalkalmazotti jogviszonnyal járó cím visszavonható, ha</w:t>
      </w:r>
    </w:p>
    <w:p w14:paraId="7C8B3AA4" w14:textId="77777777" w:rsidR="00893D5B" w:rsidRPr="000250FA" w:rsidRDefault="00893D5B" w:rsidP="00893D5B">
      <w:pPr>
        <w:rPr>
          <w:sz w:val="22"/>
          <w:szCs w:val="22"/>
        </w:rPr>
      </w:pPr>
    </w:p>
    <w:p w14:paraId="0455B106" w14:textId="77777777" w:rsidR="00893D5B" w:rsidRPr="000250FA" w:rsidRDefault="00893D5B" w:rsidP="00F83E93">
      <w:pPr>
        <w:numPr>
          <w:ilvl w:val="0"/>
          <w:numId w:val="126"/>
        </w:numPr>
        <w:jc w:val="both"/>
        <w:rPr>
          <w:sz w:val="22"/>
          <w:szCs w:val="22"/>
        </w:rPr>
      </w:pPr>
      <w:r w:rsidRPr="000250FA">
        <w:rPr>
          <w:sz w:val="22"/>
          <w:szCs w:val="22"/>
        </w:rPr>
        <w:t>a közalkalmazott jogviszonyát jogellenesen szünteti meg,</w:t>
      </w:r>
    </w:p>
    <w:p w14:paraId="6674E801" w14:textId="77777777" w:rsidR="00893D5B" w:rsidRPr="000250FA" w:rsidRDefault="00893D5B" w:rsidP="00F83E93">
      <w:pPr>
        <w:numPr>
          <w:ilvl w:val="0"/>
          <w:numId w:val="126"/>
        </w:numPr>
        <w:jc w:val="both"/>
        <w:rPr>
          <w:sz w:val="22"/>
          <w:szCs w:val="22"/>
        </w:rPr>
      </w:pPr>
      <w:r w:rsidRPr="000250FA">
        <w:rPr>
          <w:sz w:val="22"/>
          <w:szCs w:val="22"/>
        </w:rPr>
        <w:t>a közalkalmazottat bíróság szándékos bűncselekményért jogerősen letöltendő szabadságvesztésre ítéli, vagy, ha a cím viselésére egyéb módon méltatlanná vált,</w:t>
      </w:r>
    </w:p>
    <w:p w14:paraId="2DF54A60" w14:textId="77777777" w:rsidR="00893D5B" w:rsidRPr="000250FA" w:rsidRDefault="00893D5B" w:rsidP="00F83E93">
      <w:pPr>
        <w:numPr>
          <w:ilvl w:val="0"/>
          <w:numId w:val="126"/>
        </w:numPr>
        <w:jc w:val="both"/>
        <w:rPr>
          <w:sz w:val="22"/>
          <w:szCs w:val="22"/>
        </w:rPr>
      </w:pPr>
      <w:r w:rsidRPr="000250FA">
        <w:rPr>
          <w:sz w:val="22"/>
          <w:szCs w:val="22"/>
        </w:rPr>
        <w:t>a közalkalmazott jogviszonya megszűnt, kivéve a nyugállományba vonulás esetét.</w:t>
      </w:r>
    </w:p>
    <w:p w14:paraId="363320D0" w14:textId="77777777" w:rsidR="00893D5B" w:rsidRPr="000250FA" w:rsidRDefault="00893D5B" w:rsidP="00893D5B">
      <w:pPr>
        <w:rPr>
          <w:sz w:val="22"/>
          <w:szCs w:val="22"/>
        </w:rPr>
      </w:pPr>
    </w:p>
    <w:p w14:paraId="627EA088" w14:textId="77777777" w:rsidR="00893D5B" w:rsidRPr="000250FA" w:rsidRDefault="00893D5B" w:rsidP="00893D5B">
      <w:pPr>
        <w:jc w:val="both"/>
        <w:rPr>
          <w:sz w:val="22"/>
          <w:szCs w:val="22"/>
        </w:rPr>
      </w:pPr>
      <w:r w:rsidRPr="000250FA">
        <w:rPr>
          <w:sz w:val="22"/>
          <w:szCs w:val="22"/>
        </w:rPr>
        <w:t>(3)</w:t>
      </w:r>
      <w:r w:rsidRPr="000250FA">
        <w:rPr>
          <w:rStyle w:val="Lbjegyzet-hivatkozs"/>
          <w:sz w:val="22"/>
          <w:szCs w:val="22"/>
        </w:rPr>
        <w:footnoteReference w:id="412"/>
      </w:r>
      <w:r w:rsidRPr="000250FA">
        <w:rPr>
          <w:sz w:val="22"/>
          <w:szCs w:val="22"/>
        </w:rPr>
        <w:t xml:space="preserve"> A cím visszavonására az adományozásra vonatkozó szabályok alapján a karok, illetve kari szervezetbe nem tartozó központi szervezeti egységek vezetői tehetnek javaslatot. Az (1) bekezdés a) pontja esetében az eljáró Kar dékánja értesíti a rektort, valamint az szervezeti egység vezetőjét a címtől való megfosztásról.</w:t>
      </w:r>
    </w:p>
    <w:p w14:paraId="2EE15A7F" w14:textId="77777777" w:rsidR="00893D5B" w:rsidRPr="000250FA" w:rsidRDefault="00893D5B" w:rsidP="00893D5B">
      <w:pPr>
        <w:jc w:val="center"/>
      </w:pPr>
      <w:bookmarkStart w:id="279" w:name="_Toc432753630"/>
    </w:p>
    <w:p w14:paraId="165992DB" w14:textId="77777777" w:rsidR="00893D5B" w:rsidRPr="000250FA" w:rsidRDefault="00893D5B" w:rsidP="00893D5B">
      <w:pPr>
        <w:jc w:val="center"/>
        <w:rPr>
          <w:b/>
          <w:sz w:val="22"/>
          <w:szCs w:val="22"/>
        </w:rPr>
      </w:pPr>
      <w:r w:rsidRPr="000250FA">
        <w:rPr>
          <w:b/>
          <w:sz w:val="22"/>
          <w:szCs w:val="22"/>
        </w:rPr>
        <w:t>Mestertanári cím adományozása</w:t>
      </w:r>
      <w:bookmarkEnd w:id="279"/>
    </w:p>
    <w:p w14:paraId="05639170" w14:textId="77777777" w:rsidR="00893D5B" w:rsidRPr="000250FA" w:rsidRDefault="00893D5B" w:rsidP="00893D5B">
      <w:pPr>
        <w:rPr>
          <w:b/>
          <w:strike/>
          <w:sz w:val="22"/>
          <w:szCs w:val="22"/>
        </w:rPr>
      </w:pPr>
    </w:p>
    <w:p w14:paraId="57CF19CD" w14:textId="77777777" w:rsidR="00893D5B" w:rsidRPr="000250FA" w:rsidRDefault="00893D5B" w:rsidP="00893D5B">
      <w:pPr>
        <w:jc w:val="both"/>
        <w:rPr>
          <w:b/>
          <w:bCs/>
          <w:sz w:val="22"/>
          <w:szCs w:val="22"/>
        </w:rPr>
      </w:pPr>
      <w:r w:rsidRPr="000250FA">
        <w:rPr>
          <w:b/>
          <w:sz w:val="22"/>
          <w:szCs w:val="22"/>
        </w:rPr>
        <w:t xml:space="preserve">131. § </w:t>
      </w:r>
      <w:r w:rsidRPr="000250FA">
        <w:rPr>
          <w:sz w:val="22"/>
          <w:szCs w:val="22"/>
        </w:rPr>
        <w:t xml:space="preserve">(1) </w:t>
      </w:r>
      <w:r w:rsidRPr="000250FA">
        <w:rPr>
          <w:bCs/>
          <w:sz w:val="22"/>
          <w:szCs w:val="22"/>
        </w:rPr>
        <w:t>Az Egyetemen tanári munkakörben foglalkoztatott, kiemelkedő gyakorlati oktató munkát végző tanár részére a Szenátus a kari tanács javaslatára az önálló oktatási szervezeti egység vezetőjének kezdeményezése alapján mestertanári címet adományozhat.</w:t>
      </w:r>
      <w:r w:rsidRPr="000250FA">
        <w:rPr>
          <w:b/>
          <w:bCs/>
          <w:sz w:val="22"/>
          <w:szCs w:val="22"/>
        </w:rPr>
        <w:t xml:space="preserve"> </w:t>
      </w:r>
    </w:p>
    <w:p w14:paraId="3F1DBC71" w14:textId="77777777" w:rsidR="00893D5B" w:rsidRPr="000250FA" w:rsidRDefault="00893D5B" w:rsidP="00893D5B">
      <w:pPr>
        <w:jc w:val="both"/>
        <w:rPr>
          <w:b/>
          <w:sz w:val="22"/>
          <w:szCs w:val="22"/>
        </w:rPr>
      </w:pPr>
    </w:p>
    <w:p w14:paraId="72D31543" w14:textId="77777777" w:rsidR="00893D5B" w:rsidRPr="000250FA" w:rsidRDefault="00893D5B" w:rsidP="00893D5B">
      <w:pPr>
        <w:jc w:val="both"/>
        <w:rPr>
          <w:sz w:val="22"/>
          <w:szCs w:val="22"/>
        </w:rPr>
      </w:pPr>
      <w:r w:rsidRPr="000250FA">
        <w:rPr>
          <w:sz w:val="22"/>
          <w:szCs w:val="22"/>
        </w:rPr>
        <w:t>(2) Mestertanári cím annak adományozható annak a tanárnak</w:t>
      </w:r>
    </w:p>
    <w:p w14:paraId="26E39FDB" w14:textId="77777777" w:rsidR="00893D5B" w:rsidRPr="000250FA" w:rsidRDefault="00893D5B" w:rsidP="00893D5B">
      <w:pPr>
        <w:jc w:val="both"/>
        <w:rPr>
          <w:sz w:val="22"/>
          <w:szCs w:val="22"/>
        </w:rPr>
      </w:pPr>
    </w:p>
    <w:p w14:paraId="0578596C" w14:textId="77777777" w:rsidR="00893D5B" w:rsidRPr="000250FA" w:rsidRDefault="00893D5B" w:rsidP="00F83E93">
      <w:pPr>
        <w:numPr>
          <w:ilvl w:val="0"/>
          <w:numId w:val="135"/>
        </w:numPr>
        <w:jc w:val="both"/>
        <w:rPr>
          <w:sz w:val="22"/>
          <w:szCs w:val="22"/>
        </w:rPr>
      </w:pPr>
      <w:r w:rsidRPr="000250FA">
        <w:rPr>
          <w:sz w:val="22"/>
          <w:szCs w:val="22"/>
        </w:rPr>
        <w:t xml:space="preserve">aki az Egyetemmel legalább tíz éve közalkalmazotti jogviszonyban </w:t>
      </w:r>
    </w:p>
    <w:p w14:paraId="750B34EF" w14:textId="77777777" w:rsidR="00893D5B" w:rsidRPr="000250FA" w:rsidRDefault="00893D5B" w:rsidP="00F83E93">
      <w:pPr>
        <w:numPr>
          <w:ilvl w:val="0"/>
          <w:numId w:val="135"/>
        </w:numPr>
        <w:jc w:val="both"/>
        <w:rPr>
          <w:sz w:val="22"/>
          <w:szCs w:val="22"/>
        </w:rPr>
      </w:pPr>
      <w:r w:rsidRPr="000250FA">
        <w:rPr>
          <w:sz w:val="22"/>
          <w:szCs w:val="22"/>
        </w:rPr>
        <w:t>akinek gyakorlati jellegű oktatása kiemelkedő jellegűnek minősül.</w:t>
      </w:r>
    </w:p>
    <w:p w14:paraId="49FAB793" w14:textId="77777777" w:rsidR="00893D5B" w:rsidRPr="000250FA" w:rsidRDefault="00893D5B" w:rsidP="00893D5B">
      <w:pPr>
        <w:jc w:val="both"/>
        <w:rPr>
          <w:sz w:val="22"/>
          <w:szCs w:val="22"/>
        </w:rPr>
      </w:pPr>
    </w:p>
    <w:p w14:paraId="32615AE5" w14:textId="77777777" w:rsidR="00893D5B" w:rsidRPr="000250FA" w:rsidRDefault="00893D5B" w:rsidP="00893D5B">
      <w:pPr>
        <w:jc w:val="both"/>
        <w:rPr>
          <w:sz w:val="22"/>
          <w:szCs w:val="22"/>
        </w:rPr>
      </w:pPr>
      <w:r w:rsidRPr="000250FA">
        <w:rPr>
          <w:sz w:val="22"/>
          <w:szCs w:val="22"/>
        </w:rPr>
        <w:t>(3) A mestertanári címet igazoló okiratot az érintett kar vezetője írja alá és adja át.</w:t>
      </w:r>
    </w:p>
    <w:p w14:paraId="5BE8CA86" w14:textId="77777777" w:rsidR="00893D5B" w:rsidRPr="000250FA" w:rsidRDefault="00893D5B" w:rsidP="00893D5B">
      <w:pPr>
        <w:tabs>
          <w:tab w:val="left" w:pos="9781"/>
        </w:tabs>
        <w:ind w:right="-144"/>
        <w:rPr>
          <w:b/>
          <w:sz w:val="22"/>
          <w:szCs w:val="22"/>
        </w:rPr>
      </w:pPr>
    </w:p>
    <w:p w14:paraId="0CAE4D86" w14:textId="77777777" w:rsidR="00893D5B" w:rsidRPr="00FA5A36" w:rsidRDefault="00893D5B" w:rsidP="00893D5B">
      <w:pPr>
        <w:pStyle w:val="Cmsor1"/>
      </w:pPr>
      <w:bookmarkStart w:id="280" w:name="_Toc432753631"/>
      <w:bookmarkStart w:id="281" w:name="_Toc444603575"/>
      <w:bookmarkStart w:id="282" w:name="_Toc445200834"/>
      <w:bookmarkStart w:id="283" w:name="_Toc58569558"/>
      <w:r w:rsidRPr="00FA5A36">
        <w:t>NYOLCADIK RÉSZ</w:t>
      </w:r>
      <w:r w:rsidRPr="00FA5A36">
        <w:rPr>
          <w:rStyle w:val="Lbjegyzet-hivatkozs"/>
        </w:rPr>
        <w:footnoteReference w:id="413"/>
      </w:r>
      <w:bookmarkEnd w:id="280"/>
      <w:bookmarkEnd w:id="281"/>
      <w:bookmarkEnd w:id="282"/>
      <w:bookmarkEnd w:id="283"/>
    </w:p>
    <w:p w14:paraId="15E0D52A" w14:textId="77777777" w:rsidR="00893D5B" w:rsidRPr="000250FA" w:rsidRDefault="00893D5B" w:rsidP="00893D5B">
      <w:pPr>
        <w:tabs>
          <w:tab w:val="left" w:pos="9781"/>
        </w:tabs>
        <w:ind w:right="-144"/>
        <w:jc w:val="center"/>
        <w:rPr>
          <w:b/>
          <w:sz w:val="22"/>
          <w:szCs w:val="22"/>
        </w:rPr>
      </w:pPr>
    </w:p>
    <w:p w14:paraId="6D5E6AAC" w14:textId="77777777" w:rsidR="00893D5B" w:rsidRPr="000250FA" w:rsidRDefault="00893D5B" w:rsidP="00893D5B">
      <w:pPr>
        <w:pStyle w:val="Cmsor2"/>
      </w:pPr>
      <w:bookmarkStart w:id="284" w:name="_Toc432753632"/>
      <w:bookmarkStart w:id="285" w:name="_Toc444603576"/>
      <w:bookmarkStart w:id="286" w:name="_Toc445200835"/>
      <w:bookmarkStart w:id="287" w:name="_Toc58569559"/>
      <w:r w:rsidRPr="000250FA">
        <w:t>Díjazás</w:t>
      </w:r>
      <w:bookmarkEnd w:id="284"/>
      <w:bookmarkEnd w:id="285"/>
      <w:bookmarkEnd w:id="286"/>
      <w:bookmarkEnd w:id="287"/>
    </w:p>
    <w:p w14:paraId="5A2F2E16" w14:textId="77777777" w:rsidR="00893D5B" w:rsidRPr="000250FA" w:rsidRDefault="00893D5B" w:rsidP="00893D5B">
      <w:pPr>
        <w:tabs>
          <w:tab w:val="left" w:pos="9781"/>
        </w:tabs>
        <w:ind w:right="-144"/>
        <w:jc w:val="both"/>
        <w:rPr>
          <w:sz w:val="22"/>
          <w:szCs w:val="22"/>
        </w:rPr>
      </w:pPr>
    </w:p>
    <w:p w14:paraId="5F07E785" w14:textId="77777777" w:rsidR="00893D5B" w:rsidRPr="000250FA" w:rsidRDefault="00893D5B" w:rsidP="00893D5B">
      <w:pPr>
        <w:pStyle w:val="Cmsor3"/>
      </w:pPr>
      <w:bookmarkStart w:id="288" w:name="_Toc432753633"/>
      <w:bookmarkStart w:id="289" w:name="_Toc444603577"/>
      <w:bookmarkStart w:id="290" w:name="_Toc445200836"/>
      <w:bookmarkStart w:id="291" w:name="_Toc58569560"/>
      <w:r w:rsidRPr="000250FA">
        <w:t>A jövedelemelosztás elvei</w:t>
      </w:r>
      <w:bookmarkEnd w:id="288"/>
      <w:bookmarkEnd w:id="289"/>
      <w:bookmarkEnd w:id="290"/>
      <w:bookmarkEnd w:id="291"/>
    </w:p>
    <w:p w14:paraId="4D49B7E0" w14:textId="77777777" w:rsidR="00893D5B" w:rsidRPr="000250FA" w:rsidRDefault="00893D5B" w:rsidP="00893D5B">
      <w:pPr>
        <w:tabs>
          <w:tab w:val="left" w:pos="9781"/>
        </w:tabs>
        <w:ind w:right="-144"/>
        <w:jc w:val="center"/>
        <w:rPr>
          <w:b/>
          <w:sz w:val="22"/>
          <w:szCs w:val="22"/>
        </w:rPr>
      </w:pPr>
    </w:p>
    <w:p w14:paraId="201FEF0F" w14:textId="77777777" w:rsidR="00893D5B" w:rsidRPr="000250FA" w:rsidRDefault="00893D5B" w:rsidP="00893D5B">
      <w:pPr>
        <w:pStyle w:val="Cmsor4"/>
      </w:pPr>
      <w:bookmarkStart w:id="292" w:name="_Toc432753634"/>
      <w:r w:rsidRPr="000250FA">
        <w:t>Alapelvek</w:t>
      </w:r>
      <w:bookmarkEnd w:id="292"/>
    </w:p>
    <w:p w14:paraId="0422CE65" w14:textId="77777777" w:rsidR="00893D5B" w:rsidRPr="000250FA" w:rsidRDefault="00893D5B" w:rsidP="00893D5B">
      <w:pPr>
        <w:tabs>
          <w:tab w:val="left" w:pos="9781"/>
        </w:tabs>
        <w:ind w:right="-144"/>
        <w:jc w:val="both"/>
        <w:rPr>
          <w:sz w:val="22"/>
          <w:szCs w:val="22"/>
        </w:rPr>
      </w:pPr>
    </w:p>
    <w:p w14:paraId="4654B828" w14:textId="77777777" w:rsidR="00893D5B" w:rsidRPr="000250FA" w:rsidRDefault="00893D5B" w:rsidP="00893D5B">
      <w:pPr>
        <w:tabs>
          <w:tab w:val="left" w:pos="9781"/>
        </w:tabs>
        <w:ind w:right="-144"/>
        <w:jc w:val="both"/>
        <w:rPr>
          <w:sz w:val="22"/>
          <w:szCs w:val="22"/>
        </w:rPr>
      </w:pPr>
      <w:r w:rsidRPr="000250FA">
        <w:rPr>
          <w:b/>
          <w:sz w:val="22"/>
          <w:szCs w:val="22"/>
        </w:rPr>
        <w:t>132. §</w:t>
      </w:r>
      <w:r w:rsidRPr="000250FA">
        <w:rPr>
          <w:b/>
          <w:i/>
          <w:sz w:val="22"/>
          <w:szCs w:val="22"/>
        </w:rPr>
        <w:t xml:space="preserve"> </w:t>
      </w:r>
      <w:r w:rsidRPr="000250FA">
        <w:rPr>
          <w:sz w:val="22"/>
          <w:szCs w:val="22"/>
        </w:rPr>
        <w:t xml:space="preserve">(1) Az Egyetem </w:t>
      </w:r>
      <w:proofErr w:type="spellStart"/>
      <w:r w:rsidRPr="000250FA">
        <w:rPr>
          <w:sz w:val="22"/>
          <w:szCs w:val="22"/>
        </w:rPr>
        <w:t>közalkalmazottai</w:t>
      </w:r>
      <w:proofErr w:type="spellEnd"/>
      <w:r w:rsidRPr="000250FA">
        <w:rPr>
          <w:sz w:val="22"/>
          <w:szCs w:val="22"/>
        </w:rPr>
        <w:t xml:space="preserve"> előmeneteli és illetményrendszerét átlátható módon, jogszerűen és az esélyegyenlőségi szempontokat figyelembe véve határozza meg.</w:t>
      </w:r>
    </w:p>
    <w:p w14:paraId="3B29AA9A" w14:textId="77777777" w:rsidR="00893D5B" w:rsidRPr="000250FA" w:rsidRDefault="00893D5B" w:rsidP="00893D5B">
      <w:pPr>
        <w:tabs>
          <w:tab w:val="left" w:pos="9781"/>
        </w:tabs>
        <w:ind w:right="-144"/>
        <w:jc w:val="both"/>
        <w:rPr>
          <w:sz w:val="22"/>
          <w:szCs w:val="22"/>
        </w:rPr>
      </w:pPr>
    </w:p>
    <w:p w14:paraId="4882A824" w14:textId="77777777" w:rsidR="00893D5B" w:rsidRPr="000250FA" w:rsidRDefault="00893D5B" w:rsidP="00893D5B">
      <w:pPr>
        <w:tabs>
          <w:tab w:val="left" w:pos="9781"/>
        </w:tabs>
        <w:ind w:right="-144"/>
        <w:jc w:val="both"/>
        <w:rPr>
          <w:sz w:val="22"/>
          <w:szCs w:val="22"/>
        </w:rPr>
      </w:pPr>
      <w:r w:rsidRPr="000250FA">
        <w:rPr>
          <w:sz w:val="22"/>
          <w:szCs w:val="22"/>
        </w:rPr>
        <w:t>(2) Az (1) bekezdésben foglaltak megvalósítása érdekében a közalkalmazottak számára díjazást jelen szabályzat rendelkezéseinek figyelembe vételével kizárólag a jogszabályban meghatározott módon, tartalommal és elnevezéssel, jogszerűen lehet megállapítani.</w:t>
      </w:r>
    </w:p>
    <w:p w14:paraId="577950E2" w14:textId="77777777" w:rsidR="00893D5B" w:rsidRPr="000250FA" w:rsidRDefault="00893D5B" w:rsidP="00893D5B">
      <w:pPr>
        <w:tabs>
          <w:tab w:val="left" w:pos="9781"/>
        </w:tabs>
        <w:ind w:right="-144"/>
        <w:jc w:val="both"/>
        <w:rPr>
          <w:sz w:val="22"/>
          <w:szCs w:val="22"/>
        </w:rPr>
      </w:pPr>
    </w:p>
    <w:p w14:paraId="6420C5D7" w14:textId="77777777" w:rsidR="00893D5B" w:rsidRPr="000250FA" w:rsidRDefault="00893D5B" w:rsidP="00893D5B">
      <w:pPr>
        <w:tabs>
          <w:tab w:val="left" w:pos="9781"/>
        </w:tabs>
        <w:ind w:right="-144"/>
        <w:jc w:val="both"/>
        <w:rPr>
          <w:sz w:val="22"/>
          <w:szCs w:val="22"/>
        </w:rPr>
      </w:pPr>
      <w:r w:rsidRPr="000250FA">
        <w:rPr>
          <w:sz w:val="22"/>
          <w:szCs w:val="22"/>
        </w:rPr>
        <w:t xml:space="preserve">(3) </w:t>
      </w:r>
      <w:proofErr w:type="gramStart"/>
      <w:r w:rsidRPr="000250FA">
        <w:rPr>
          <w:sz w:val="22"/>
          <w:szCs w:val="22"/>
        </w:rPr>
        <w:t>Kollektív</w:t>
      </w:r>
      <w:proofErr w:type="gramEnd"/>
      <w:r w:rsidRPr="000250FA">
        <w:rPr>
          <w:sz w:val="22"/>
          <w:szCs w:val="22"/>
        </w:rPr>
        <w:t xml:space="preserve"> Szerződés a jogszabálytól és jelen szabályzattól eltérő megnevezést a díjazási elemekre nem állapíthat meg, a mértékben azonban eltérhet.</w:t>
      </w:r>
    </w:p>
    <w:p w14:paraId="5852BDD8" w14:textId="77777777" w:rsidR="00893D5B" w:rsidRPr="000250FA" w:rsidRDefault="00893D5B" w:rsidP="00893D5B">
      <w:pPr>
        <w:tabs>
          <w:tab w:val="left" w:pos="9781"/>
        </w:tabs>
        <w:ind w:right="-144"/>
        <w:jc w:val="both"/>
        <w:rPr>
          <w:sz w:val="22"/>
          <w:szCs w:val="22"/>
        </w:rPr>
      </w:pPr>
    </w:p>
    <w:p w14:paraId="7949E128" w14:textId="474C9D6A" w:rsidR="00893D5B" w:rsidRPr="000250FA" w:rsidRDefault="00893D5B" w:rsidP="00893D5B">
      <w:pPr>
        <w:tabs>
          <w:tab w:val="left" w:pos="9781"/>
        </w:tabs>
        <w:ind w:right="-144"/>
        <w:jc w:val="both"/>
        <w:rPr>
          <w:sz w:val="22"/>
          <w:szCs w:val="22"/>
        </w:rPr>
      </w:pPr>
      <w:r w:rsidRPr="000250FA">
        <w:rPr>
          <w:sz w:val="22"/>
          <w:szCs w:val="22"/>
        </w:rPr>
        <w:t xml:space="preserve">(4) </w:t>
      </w:r>
      <w:r w:rsidRPr="000250FA">
        <w:rPr>
          <w:rStyle w:val="Lbjegyzet-hivatkozs"/>
          <w:sz w:val="22"/>
          <w:szCs w:val="22"/>
        </w:rPr>
        <w:footnoteReference w:id="414"/>
      </w:r>
      <w:r w:rsidRPr="000250FA">
        <w:rPr>
          <w:sz w:val="22"/>
          <w:szCs w:val="22"/>
        </w:rPr>
        <w:t xml:space="preserve">A munkáltatói jogkör gyakorlói a közalkalmazottak számára díjazást kizárólag jelen szabályzatban meghatározott jogcímek figyelembe vételével, a díjazási jogcímre jelen szabályzatban meghatározott feltételek betartása mellett állapíthatnak meg. A feltételek fennállását a Humánpolitikai </w:t>
      </w:r>
      <w:r w:rsidR="005C493C" w:rsidRPr="006E5CBC">
        <w:rPr>
          <w:bCs/>
          <w:iCs/>
          <w:sz w:val="22"/>
          <w:szCs w:val="22"/>
        </w:rPr>
        <w:t>Főosztály</w:t>
      </w:r>
      <w:r w:rsidR="005C493C" w:rsidRPr="006E5CBC">
        <w:rPr>
          <w:sz w:val="22"/>
          <w:szCs w:val="22"/>
        </w:rPr>
        <w:t xml:space="preserve"> </w:t>
      </w:r>
      <w:r w:rsidRPr="000250FA">
        <w:rPr>
          <w:sz w:val="22"/>
          <w:szCs w:val="22"/>
        </w:rPr>
        <w:t>köteles és jogosult ellenőrizni, a munkáltató utasítását e tekintetben csak jelen szabályzatban foglalt feltételek fennállása esetén hajthatja végre.</w:t>
      </w:r>
    </w:p>
    <w:p w14:paraId="224FA5A2" w14:textId="77777777" w:rsidR="00893D5B" w:rsidRPr="000250FA" w:rsidRDefault="00893D5B" w:rsidP="00893D5B">
      <w:pPr>
        <w:tabs>
          <w:tab w:val="left" w:pos="9781"/>
        </w:tabs>
        <w:ind w:right="-144"/>
        <w:jc w:val="both"/>
        <w:rPr>
          <w:sz w:val="22"/>
          <w:szCs w:val="22"/>
        </w:rPr>
      </w:pPr>
    </w:p>
    <w:p w14:paraId="6491F31E" w14:textId="77777777" w:rsidR="00893D5B" w:rsidRPr="000250FA" w:rsidRDefault="00893D5B" w:rsidP="00893D5B">
      <w:pPr>
        <w:tabs>
          <w:tab w:val="left" w:pos="9781"/>
        </w:tabs>
        <w:ind w:right="-144"/>
        <w:jc w:val="both"/>
        <w:rPr>
          <w:sz w:val="22"/>
          <w:szCs w:val="22"/>
        </w:rPr>
      </w:pPr>
      <w:r w:rsidRPr="000250FA">
        <w:rPr>
          <w:sz w:val="22"/>
          <w:szCs w:val="22"/>
        </w:rPr>
        <w:t>(5) A közalkalmazottak illetményét a munkaerőpiaci helyzet, az Egyetem alaptevékenységéhez tartozó feladatok lehető legmagasabb színvonalon történő ellátása, az ehhez szükséges szakértelem, szaktudás és tapasztalat biztosítása, valamint a költségvetés lehetőségei alapján kell meghatározni.</w:t>
      </w:r>
    </w:p>
    <w:p w14:paraId="4E28B9BD" w14:textId="77777777" w:rsidR="00893D5B" w:rsidRPr="000250FA" w:rsidRDefault="00893D5B" w:rsidP="00893D5B">
      <w:pPr>
        <w:tabs>
          <w:tab w:val="left" w:pos="9781"/>
        </w:tabs>
        <w:ind w:right="-144"/>
        <w:jc w:val="both"/>
        <w:rPr>
          <w:sz w:val="22"/>
          <w:szCs w:val="22"/>
        </w:rPr>
      </w:pPr>
    </w:p>
    <w:p w14:paraId="0B6A5A76" w14:textId="77777777" w:rsidR="00893D5B" w:rsidRPr="000250FA" w:rsidRDefault="00893D5B" w:rsidP="00893D5B">
      <w:pPr>
        <w:tabs>
          <w:tab w:val="left" w:pos="9781"/>
        </w:tabs>
        <w:ind w:right="-144"/>
        <w:jc w:val="both"/>
        <w:rPr>
          <w:sz w:val="22"/>
          <w:szCs w:val="22"/>
        </w:rPr>
      </w:pPr>
      <w:r w:rsidRPr="000250FA">
        <w:rPr>
          <w:sz w:val="22"/>
          <w:szCs w:val="22"/>
        </w:rPr>
        <w:t>(6) A közalkalmazottak díjazásának alapját képező munkaérték megállapításánál különösen</w:t>
      </w:r>
    </w:p>
    <w:p w14:paraId="0A1D0955" w14:textId="77777777" w:rsidR="00893D5B" w:rsidRPr="000250FA" w:rsidRDefault="00893D5B" w:rsidP="00F83E93">
      <w:pPr>
        <w:numPr>
          <w:ilvl w:val="0"/>
          <w:numId w:val="127"/>
        </w:numPr>
        <w:jc w:val="both"/>
        <w:rPr>
          <w:sz w:val="22"/>
          <w:szCs w:val="22"/>
        </w:rPr>
      </w:pPr>
      <w:r w:rsidRPr="000250FA">
        <w:rPr>
          <w:sz w:val="22"/>
          <w:szCs w:val="22"/>
        </w:rPr>
        <w:t>az elvégzett munka természetét,</w:t>
      </w:r>
    </w:p>
    <w:p w14:paraId="16FBB8A8" w14:textId="77777777" w:rsidR="00893D5B" w:rsidRPr="000250FA" w:rsidRDefault="00893D5B" w:rsidP="00F83E93">
      <w:pPr>
        <w:numPr>
          <w:ilvl w:val="0"/>
          <w:numId w:val="127"/>
        </w:numPr>
        <w:jc w:val="both"/>
        <w:rPr>
          <w:sz w:val="22"/>
          <w:szCs w:val="22"/>
        </w:rPr>
      </w:pPr>
      <w:r w:rsidRPr="000250FA">
        <w:rPr>
          <w:sz w:val="22"/>
          <w:szCs w:val="22"/>
        </w:rPr>
        <w:t>az elvégzett munka minőségét, mennyiségét,</w:t>
      </w:r>
    </w:p>
    <w:p w14:paraId="51E7B00A" w14:textId="77777777" w:rsidR="00893D5B" w:rsidRPr="000250FA" w:rsidRDefault="00893D5B" w:rsidP="00F83E93">
      <w:pPr>
        <w:numPr>
          <w:ilvl w:val="0"/>
          <w:numId w:val="127"/>
        </w:numPr>
        <w:jc w:val="both"/>
        <w:rPr>
          <w:sz w:val="22"/>
          <w:szCs w:val="22"/>
        </w:rPr>
      </w:pPr>
      <w:r w:rsidRPr="000250FA">
        <w:rPr>
          <w:sz w:val="22"/>
          <w:szCs w:val="22"/>
        </w:rPr>
        <w:t>a munkakörülményeket,</w:t>
      </w:r>
    </w:p>
    <w:p w14:paraId="40595383" w14:textId="77777777" w:rsidR="00893D5B" w:rsidRPr="000250FA" w:rsidRDefault="00893D5B" w:rsidP="00F83E93">
      <w:pPr>
        <w:numPr>
          <w:ilvl w:val="0"/>
          <w:numId w:val="127"/>
        </w:numPr>
        <w:jc w:val="both"/>
        <w:rPr>
          <w:sz w:val="22"/>
          <w:szCs w:val="22"/>
        </w:rPr>
      </w:pPr>
      <w:r w:rsidRPr="000250FA">
        <w:rPr>
          <w:sz w:val="22"/>
          <w:szCs w:val="22"/>
        </w:rPr>
        <w:t>a szükséges szakképzettséget,</w:t>
      </w:r>
    </w:p>
    <w:p w14:paraId="3DE5A74D" w14:textId="77777777" w:rsidR="00893D5B" w:rsidRPr="000250FA" w:rsidRDefault="00893D5B" w:rsidP="00F83E93">
      <w:pPr>
        <w:numPr>
          <w:ilvl w:val="0"/>
          <w:numId w:val="127"/>
        </w:numPr>
        <w:jc w:val="both"/>
        <w:rPr>
          <w:sz w:val="22"/>
          <w:szCs w:val="22"/>
        </w:rPr>
      </w:pPr>
      <w:r w:rsidRPr="000250FA">
        <w:rPr>
          <w:sz w:val="22"/>
          <w:szCs w:val="22"/>
        </w:rPr>
        <w:t>fizikai vagy szellemi erőfeszítést,</w:t>
      </w:r>
    </w:p>
    <w:p w14:paraId="2E4FFF3A" w14:textId="77777777" w:rsidR="00893D5B" w:rsidRPr="000250FA" w:rsidRDefault="00893D5B" w:rsidP="00F83E93">
      <w:pPr>
        <w:numPr>
          <w:ilvl w:val="0"/>
          <w:numId w:val="127"/>
        </w:numPr>
        <w:jc w:val="both"/>
        <w:rPr>
          <w:sz w:val="22"/>
          <w:szCs w:val="22"/>
        </w:rPr>
      </w:pPr>
      <w:r w:rsidRPr="000250FA">
        <w:rPr>
          <w:sz w:val="22"/>
          <w:szCs w:val="22"/>
        </w:rPr>
        <w:t>tapasztalatot, illetve</w:t>
      </w:r>
    </w:p>
    <w:p w14:paraId="4DFF2E22" w14:textId="77777777" w:rsidR="00893D5B" w:rsidRPr="000250FA" w:rsidRDefault="00893D5B" w:rsidP="00F83E93">
      <w:pPr>
        <w:numPr>
          <w:ilvl w:val="0"/>
          <w:numId w:val="127"/>
        </w:numPr>
        <w:jc w:val="both"/>
        <w:rPr>
          <w:sz w:val="22"/>
          <w:szCs w:val="22"/>
        </w:rPr>
      </w:pPr>
      <w:r w:rsidRPr="000250FA">
        <w:rPr>
          <w:sz w:val="22"/>
          <w:szCs w:val="22"/>
        </w:rPr>
        <w:t xml:space="preserve">felelősséget </w:t>
      </w:r>
    </w:p>
    <w:p w14:paraId="5199B4ED" w14:textId="77777777" w:rsidR="00893D5B" w:rsidRPr="000250FA" w:rsidRDefault="00893D5B" w:rsidP="00893D5B">
      <w:pPr>
        <w:tabs>
          <w:tab w:val="left" w:pos="9781"/>
        </w:tabs>
        <w:ind w:right="-144"/>
        <w:jc w:val="both"/>
        <w:rPr>
          <w:sz w:val="22"/>
          <w:szCs w:val="22"/>
        </w:rPr>
      </w:pPr>
      <w:proofErr w:type="gramStart"/>
      <w:r w:rsidRPr="000250FA">
        <w:rPr>
          <w:sz w:val="22"/>
          <w:szCs w:val="22"/>
        </w:rPr>
        <w:t>kell</w:t>
      </w:r>
      <w:proofErr w:type="gramEnd"/>
      <w:r w:rsidRPr="000250FA">
        <w:rPr>
          <w:sz w:val="22"/>
          <w:szCs w:val="22"/>
        </w:rPr>
        <w:t xml:space="preserve"> figyelembe venni.</w:t>
      </w:r>
    </w:p>
    <w:p w14:paraId="10BEDB7E" w14:textId="77777777" w:rsidR="00893D5B" w:rsidRPr="000250FA" w:rsidRDefault="00893D5B" w:rsidP="00893D5B">
      <w:pPr>
        <w:tabs>
          <w:tab w:val="left" w:pos="9781"/>
        </w:tabs>
        <w:ind w:right="-144"/>
        <w:rPr>
          <w:b/>
          <w:sz w:val="22"/>
          <w:szCs w:val="22"/>
        </w:rPr>
      </w:pPr>
    </w:p>
    <w:p w14:paraId="04F719C3" w14:textId="77777777" w:rsidR="00893D5B" w:rsidRPr="000250FA" w:rsidRDefault="00893D5B" w:rsidP="00893D5B">
      <w:pPr>
        <w:pStyle w:val="Cmsor4"/>
      </w:pPr>
      <w:bookmarkStart w:id="293" w:name="_Toc432753635"/>
      <w:r w:rsidRPr="000250FA">
        <w:t>A díjazásra vonatkozó különös rendelkezések</w:t>
      </w:r>
      <w:bookmarkEnd w:id="293"/>
    </w:p>
    <w:p w14:paraId="16A40F08" w14:textId="77777777" w:rsidR="00893D5B" w:rsidRPr="000250FA" w:rsidRDefault="00893D5B" w:rsidP="00893D5B">
      <w:pPr>
        <w:tabs>
          <w:tab w:val="left" w:pos="9781"/>
        </w:tabs>
        <w:ind w:right="-144"/>
        <w:jc w:val="both"/>
        <w:rPr>
          <w:sz w:val="22"/>
          <w:szCs w:val="22"/>
        </w:rPr>
      </w:pPr>
    </w:p>
    <w:p w14:paraId="2EE15A6F" w14:textId="77777777" w:rsidR="00893D5B" w:rsidRPr="000250FA" w:rsidRDefault="00893D5B" w:rsidP="00893D5B">
      <w:pPr>
        <w:pStyle w:val="Cmsor5"/>
        <w:rPr>
          <w:color w:val="auto"/>
          <w:sz w:val="22"/>
          <w:szCs w:val="22"/>
        </w:rPr>
      </w:pPr>
      <w:bookmarkStart w:id="294" w:name="_Toc432753636"/>
      <w:r w:rsidRPr="000250FA">
        <w:rPr>
          <w:color w:val="auto"/>
          <w:sz w:val="22"/>
          <w:szCs w:val="22"/>
        </w:rPr>
        <w:t>Garantált illetmény</w:t>
      </w:r>
      <w:bookmarkEnd w:id="294"/>
    </w:p>
    <w:p w14:paraId="16571477" w14:textId="77777777" w:rsidR="00893D5B" w:rsidRPr="000250FA" w:rsidRDefault="00893D5B" w:rsidP="00893D5B">
      <w:pPr>
        <w:pStyle w:val="Normlstilus1norml"/>
        <w:tabs>
          <w:tab w:val="left" w:pos="9781"/>
        </w:tabs>
        <w:ind w:right="-144"/>
        <w:jc w:val="center"/>
        <w:rPr>
          <w:b/>
          <w:bCs/>
          <w:color w:val="auto"/>
          <w:sz w:val="22"/>
          <w:szCs w:val="22"/>
        </w:rPr>
      </w:pPr>
    </w:p>
    <w:p w14:paraId="25B8DF4A" w14:textId="77777777" w:rsidR="00893D5B" w:rsidRPr="000250FA" w:rsidRDefault="00893D5B" w:rsidP="00893D5B">
      <w:pPr>
        <w:tabs>
          <w:tab w:val="left" w:pos="9781"/>
        </w:tabs>
        <w:ind w:right="-144"/>
        <w:jc w:val="both"/>
        <w:rPr>
          <w:sz w:val="22"/>
          <w:szCs w:val="22"/>
        </w:rPr>
      </w:pPr>
      <w:r w:rsidRPr="000250FA">
        <w:rPr>
          <w:b/>
          <w:bCs/>
          <w:sz w:val="22"/>
          <w:szCs w:val="22"/>
        </w:rPr>
        <w:t>133. §</w:t>
      </w:r>
      <w:r w:rsidRPr="000250FA">
        <w:rPr>
          <w:sz w:val="22"/>
          <w:szCs w:val="22"/>
        </w:rPr>
        <w:t xml:space="preserve"> (1) A közalkalmazott </w:t>
      </w:r>
      <w:proofErr w:type="gramStart"/>
      <w:r w:rsidRPr="000250FA">
        <w:rPr>
          <w:sz w:val="22"/>
          <w:szCs w:val="22"/>
        </w:rPr>
        <w:t>garantált</w:t>
      </w:r>
      <w:proofErr w:type="gramEnd"/>
      <w:r w:rsidRPr="000250FA">
        <w:rPr>
          <w:b/>
          <w:i/>
          <w:sz w:val="22"/>
          <w:szCs w:val="22"/>
        </w:rPr>
        <w:t xml:space="preserve"> </w:t>
      </w:r>
      <w:r w:rsidRPr="000250FA">
        <w:rPr>
          <w:sz w:val="22"/>
          <w:szCs w:val="22"/>
        </w:rPr>
        <w:t xml:space="preserve">illetményét a jogszabályban foglaltak alapján kell megállapítani. A </w:t>
      </w:r>
      <w:proofErr w:type="gramStart"/>
      <w:r w:rsidRPr="000250FA">
        <w:rPr>
          <w:sz w:val="22"/>
          <w:szCs w:val="22"/>
        </w:rPr>
        <w:t>garantált</w:t>
      </w:r>
      <w:proofErr w:type="gramEnd"/>
      <w:r w:rsidRPr="000250FA">
        <w:rPr>
          <w:sz w:val="22"/>
          <w:szCs w:val="22"/>
        </w:rPr>
        <w:t xml:space="preserve"> illetmény tartalmazza a Kjt. bértábla szerinti illetményt, annak a költségvetési törvényben meghatározott vonatkozó minimálbérre történő kiegészítését, valamint - amennyiben megállapításának feltételei fennállnak - a szakmai illetményszorzót.</w:t>
      </w:r>
    </w:p>
    <w:p w14:paraId="405AED5A" w14:textId="77777777" w:rsidR="00893D5B" w:rsidRPr="000250FA" w:rsidRDefault="00893D5B" w:rsidP="00893D5B">
      <w:pPr>
        <w:tabs>
          <w:tab w:val="left" w:pos="9781"/>
        </w:tabs>
        <w:ind w:right="-144"/>
        <w:jc w:val="both"/>
        <w:rPr>
          <w:sz w:val="22"/>
          <w:szCs w:val="22"/>
        </w:rPr>
      </w:pPr>
    </w:p>
    <w:p w14:paraId="7B507CDE" w14:textId="77777777" w:rsidR="00893D5B" w:rsidRPr="000250FA" w:rsidRDefault="00893D5B" w:rsidP="00893D5B">
      <w:pPr>
        <w:tabs>
          <w:tab w:val="left" w:pos="9781"/>
        </w:tabs>
        <w:ind w:right="-144"/>
        <w:jc w:val="both"/>
        <w:rPr>
          <w:sz w:val="22"/>
          <w:szCs w:val="22"/>
        </w:rPr>
      </w:pPr>
      <w:r w:rsidRPr="000250FA">
        <w:rPr>
          <w:sz w:val="22"/>
          <w:szCs w:val="22"/>
        </w:rPr>
        <w:t xml:space="preserve">(2) A </w:t>
      </w:r>
      <w:proofErr w:type="gramStart"/>
      <w:r w:rsidRPr="000250FA">
        <w:rPr>
          <w:sz w:val="22"/>
          <w:szCs w:val="22"/>
        </w:rPr>
        <w:t>garantált</w:t>
      </w:r>
      <w:proofErr w:type="gramEnd"/>
      <w:r w:rsidRPr="000250FA">
        <w:rPr>
          <w:sz w:val="22"/>
          <w:szCs w:val="22"/>
        </w:rPr>
        <w:t xml:space="preserve"> illetmény a kinevezés kötelező tartalmi eleme.</w:t>
      </w:r>
    </w:p>
    <w:p w14:paraId="59D3556C" w14:textId="77777777" w:rsidR="00893D5B" w:rsidRPr="000250FA" w:rsidRDefault="00893D5B" w:rsidP="00893D5B">
      <w:pPr>
        <w:tabs>
          <w:tab w:val="left" w:pos="9781"/>
        </w:tabs>
        <w:ind w:right="-144"/>
        <w:jc w:val="both"/>
        <w:rPr>
          <w:sz w:val="22"/>
          <w:szCs w:val="22"/>
        </w:rPr>
      </w:pPr>
    </w:p>
    <w:p w14:paraId="1B80E4FB" w14:textId="77777777" w:rsidR="00893D5B" w:rsidRPr="000250FA" w:rsidRDefault="00893D5B" w:rsidP="00893D5B">
      <w:pPr>
        <w:pStyle w:val="Cmsor5"/>
        <w:rPr>
          <w:color w:val="auto"/>
          <w:sz w:val="22"/>
          <w:szCs w:val="22"/>
        </w:rPr>
      </w:pPr>
      <w:bookmarkStart w:id="295" w:name="_Toc432753637"/>
      <w:r w:rsidRPr="000250FA">
        <w:rPr>
          <w:color w:val="auto"/>
          <w:sz w:val="22"/>
          <w:szCs w:val="22"/>
        </w:rPr>
        <w:t>Munkáltatói hatáskörű illetménykiegészítés</w:t>
      </w:r>
      <w:bookmarkEnd w:id="295"/>
    </w:p>
    <w:p w14:paraId="3ADD355E" w14:textId="77777777" w:rsidR="00893D5B" w:rsidRPr="000250FA" w:rsidRDefault="00893D5B" w:rsidP="00893D5B">
      <w:pPr>
        <w:tabs>
          <w:tab w:val="left" w:pos="9781"/>
        </w:tabs>
        <w:ind w:right="-144"/>
        <w:jc w:val="both"/>
        <w:rPr>
          <w:sz w:val="22"/>
          <w:szCs w:val="22"/>
        </w:rPr>
      </w:pPr>
    </w:p>
    <w:p w14:paraId="53553C3A" w14:textId="77777777" w:rsidR="00893D5B" w:rsidRPr="000250FA" w:rsidRDefault="00893D5B" w:rsidP="00893D5B">
      <w:pPr>
        <w:tabs>
          <w:tab w:val="left" w:pos="9781"/>
        </w:tabs>
        <w:ind w:right="-144"/>
        <w:jc w:val="both"/>
        <w:rPr>
          <w:sz w:val="22"/>
          <w:szCs w:val="22"/>
        </w:rPr>
      </w:pPr>
      <w:r w:rsidRPr="000250FA">
        <w:rPr>
          <w:b/>
          <w:sz w:val="22"/>
          <w:szCs w:val="22"/>
        </w:rPr>
        <w:t xml:space="preserve">134. § </w:t>
      </w:r>
      <w:r w:rsidRPr="000250FA">
        <w:rPr>
          <w:sz w:val="22"/>
          <w:szCs w:val="22"/>
        </w:rPr>
        <w:t>(1)</w:t>
      </w:r>
      <w:r w:rsidRPr="000250FA">
        <w:rPr>
          <w:b/>
          <w:i/>
          <w:sz w:val="22"/>
          <w:szCs w:val="22"/>
        </w:rPr>
        <w:t xml:space="preserve"> </w:t>
      </w:r>
      <w:r w:rsidRPr="000250FA">
        <w:rPr>
          <w:sz w:val="22"/>
          <w:szCs w:val="22"/>
        </w:rPr>
        <w:t xml:space="preserve">A Kjt. 66. § (7) bekezdése szerinti munkáltatói hatáskörű illetménykiegészítés adható, amennyiben az adott foglalkoztatáshoz kapcsolódó munkáltatói érdek (a munkaerőpiaci helyzet és a közalkalmazott szakértelmének egyedi megítélése alapján) azt feltétlenül megköveteli. </w:t>
      </w:r>
    </w:p>
    <w:p w14:paraId="07F45830" w14:textId="77777777" w:rsidR="00893D5B" w:rsidRPr="000250FA" w:rsidRDefault="00893D5B" w:rsidP="00893D5B">
      <w:pPr>
        <w:tabs>
          <w:tab w:val="left" w:pos="9781"/>
        </w:tabs>
        <w:ind w:right="-144"/>
        <w:jc w:val="both"/>
        <w:rPr>
          <w:sz w:val="22"/>
          <w:szCs w:val="22"/>
        </w:rPr>
      </w:pPr>
    </w:p>
    <w:p w14:paraId="43E7D81E" w14:textId="77777777" w:rsidR="00893D5B" w:rsidRPr="000250FA" w:rsidRDefault="00893D5B" w:rsidP="00893D5B">
      <w:pPr>
        <w:tabs>
          <w:tab w:val="left" w:pos="9781"/>
        </w:tabs>
        <w:ind w:right="-144"/>
        <w:jc w:val="both"/>
        <w:rPr>
          <w:sz w:val="22"/>
          <w:szCs w:val="22"/>
        </w:rPr>
      </w:pPr>
      <w:r w:rsidRPr="000250FA">
        <w:rPr>
          <w:sz w:val="22"/>
          <w:szCs w:val="22"/>
        </w:rPr>
        <w:lastRenderedPageBreak/>
        <w:t xml:space="preserve">(2) Az Egyetemen a jogszabályban meghatározott </w:t>
      </w:r>
      <w:proofErr w:type="gramStart"/>
      <w:r w:rsidRPr="000250FA">
        <w:rPr>
          <w:sz w:val="22"/>
          <w:szCs w:val="22"/>
        </w:rPr>
        <w:t>garantált</w:t>
      </w:r>
      <w:proofErr w:type="gramEnd"/>
      <w:r w:rsidRPr="000250FA">
        <w:rPr>
          <w:sz w:val="22"/>
          <w:szCs w:val="22"/>
        </w:rPr>
        <w:t xml:space="preserve"> illetménynél magasabb összegű illetmény akkor állapítható meg, amennyiben a közalkalmazott kiválóan alkalmas vagy alkalmas minősítést kapott. Ebben az esetben a juttatás megállapítása előtt kell a közalkalmazottat minősíteni, illetőleg amennyiben a közalkalmazotti jogviszony létesítésekor állapít meg munkáltatói hatáskörű kiegészítést a munkáltató, egy éven belül a minősítést el kell végeznie. </w:t>
      </w:r>
    </w:p>
    <w:p w14:paraId="305AD6F5" w14:textId="77777777" w:rsidR="00893D5B" w:rsidRPr="000250FA" w:rsidRDefault="00893D5B" w:rsidP="00893D5B">
      <w:pPr>
        <w:tabs>
          <w:tab w:val="left" w:pos="9781"/>
        </w:tabs>
        <w:ind w:right="-144"/>
        <w:jc w:val="both"/>
        <w:rPr>
          <w:sz w:val="22"/>
          <w:szCs w:val="22"/>
        </w:rPr>
      </w:pPr>
    </w:p>
    <w:p w14:paraId="27F5499A" w14:textId="77777777" w:rsidR="00893D5B" w:rsidRPr="000250FA" w:rsidRDefault="00893D5B" w:rsidP="00893D5B">
      <w:pPr>
        <w:tabs>
          <w:tab w:val="left" w:pos="9781"/>
        </w:tabs>
        <w:ind w:right="-144"/>
        <w:jc w:val="center"/>
        <w:rPr>
          <w:sz w:val="22"/>
          <w:szCs w:val="22"/>
        </w:rPr>
      </w:pPr>
      <w:r w:rsidRPr="000250FA">
        <w:rPr>
          <w:sz w:val="22"/>
          <w:szCs w:val="22"/>
        </w:rPr>
        <w:t>(3) A munkáltatói hatáskörű illetménykiegészítést - megállapítása esetén - a kinevezésben kell rögzíteni.</w:t>
      </w:r>
    </w:p>
    <w:p w14:paraId="08154F32" w14:textId="77777777" w:rsidR="00893D5B" w:rsidRPr="000250FA" w:rsidRDefault="00893D5B" w:rsidP="00893D5B">
      <w:pPr>
        <w:tabs>
          <w:tab w:val="left" w:pos="9781"/>
        </w:tabs>
        <w:ind w:right="-144"/>
        <w:jc w:val="center"/>
        <w:rPr>
          <w:sz w:val="22"/>
          <w:szCs w:val="22"/>
        </w:rPr>
      </w:pPr>
    </w:p>
    <w:p w14:paraId="348BF81F" w14:textId="77777777" w:rsidR="00893D5B" w:rsidRPr="000250FA" w:rsidRDefault="00893D5B" w:rsidP="00893D5B">
      <w:pPr>
        <w:tabs>
          <w:tab w:val="left" w:pos="9781"/>
        </w:tabs>
        <w:ind w:right="-144"/>
        <w:jc w:val="center"/>
        <w:rPr>
          <w:b/>
          <w:sz w:val="22"/>
          <w:szCs w:val="22"/>
        </w:rPr>
      </w:pPr>
      <w:r w:rsidRPr="000250FA">
        <w:rPr>
          <w:b/>
          <w:sz w:val="22"/>
          <w:szCs w:val="22"/>
        </w:rPr>
        <w:t>Illetménytöbblet</w:t>
      </w:r>
      <w:r w:rsidRPr="000250FA">
        <w:rPr>
          <w:rStyle w:val="Lbjegyzet-hivatkozs"/>
          <w:b/>
          <w:sz w:val="22"/>
          <w:szCs w:val="22"/>
        </w:rPr>
        <w:footnoteReference w:id="415"/>
      </w:r>
      <w:r w:rsidRPr="000250FA">
        <w:rPr>
          <w:b/>
          <w:sz w:val="22"/>
          <w:szCs w:val="22"/>
        </w:rPr>
        <w:t xml:space="preserve"> </w:t>
      </w:r>
    </w:p>
    <w:p w14:paraId="78BA979F" w14:textId="77777777" w:rsidR="00893D5B" w:rsidRPr="000250FA" w:rsidRDefault="00893D5B" w:rsidP="00893D5B">
      <w:pPr>
        <w:tabs>
          <w:tab w:val="left" w:pos="9781"/>
        </w:tabs>
        <w:ind w:right="-144"/>
        <w:jc w:val="center"/>
        <w:rPr>
          <w:b/>
          <w:i/>
          <w:sz w:val="22"/>
          <w:szCs w:val="22"/>
        </w:rPr>
      </w:pPr>
    </w:p>
    <w:p w14:paraId="2957B137" w14:textId="77777777" w:rsidR="00893D5B" w:rsidRPr="000250FA" w:rsidRDefault="00893D5B" w:rsidP="00893D5B">
      <w:pPr>
        <w:jc w:val="both"/>
        <w:rPr>
          <w:sz w:val="22"/>
          <w:szCs w:val="22"/>
        </w:rPr>
      </w:pPr>
      <w:r w:rsidRPr="000250FA">
        <w:rPr>
          <w:b/>
          <w:sz w:val="22"/>
          <w:szCs w:val="22"/>
        </w:rPr>
        <w:t>134/</w:t>
      </w:r>
      <w:proofErr w:type="gramStart"/>
      <w:r w:rsidRPr="000250FA">
        <w:rPr>
          <w:b/>
          <w:sz w:val="22"/>
          <w:szCs w:val="22"/>
        </w:rPr>
        <w:t>A.</w:t>
      </w:r>
      <w:proofErr w:type="gramEnd"/>
      <w:r w:rsidRPr="000250FA">
        <w:rPr>
          <w:b/>
          <w:sz w:val="22"/>
          <w:szCs w:val="22"/>
        </w:rPr>
        <w:t xml:space="preserve"> § </w:t>
      </w:r>
      <w:r w:rsidRPr="000250FA">
        <w:rPr>
          <w:sz w:val="22"/>
          <w:szCs w:val="22"/>
        </w:rPr>
        <w:t xml:space="preserve">A felsőoktatás tevékenységében és irányításában oktató, kutató és felsőoktatási tanári munkakörben részt vevő közalkalmazottak a 2016. január 1-jétől 2016. december 31-ig terjedő időszakra illetménytöbbletben részesülhetnek. Az illetménytöbblet havi összege a </w:t>
      </w:r>
      <w:proofErr w:type="gramStart"/>
      <w:r w:rsidRPr="000250FA">
        <w:rPr>
          <w:sz w:val="22"/>
          <w:szCs w:val="22"/>
        </w:rPr>
        <w:t>garantált</w:t>
      </w:r>
      <w:proofErr w:type="gramEnd"/>
      <w:r w:rsidRPr="000250FA">
        <w:rPr>
          <w:sz w:val="22"/>
          <w:szCs w:val="22"/>
        </w:rPr>
        <w:t xml:space="preserve"> illetmény 115%-</w:t>
      </w:r>
      <w:proofErr w:type="spellStart"/>
      <w:r w:rsidRPr="000250FA">
        <w:rPr>
          <w:sz w:val="22"/>
          <w:szCs w:val="22"/>
        </w:rPr>
        <w:t>ának</w:t>
      </w:r>
      <w:proofErr w:type="spellEnd"/>
      <w:r w:rsidRPr="000250FA">
        <w:rPr>
          <w:sz w:val="22"/>
          <w:szCs w:val="22"/>
        </w:rPr>
        <w:t xml:space="preserve"> és a közalkalmazott - illetménypótlék és kereset-, illetve illetménykiegészítés nélkül számított - illetményének a különbözete, illetve annak az a része, amely folyósítása esetén a közalkalmazott havi rendszeres járandósága az </w:t>
      </w:r>
      <w:proofErr w:type="spellStart"/>
      <w:r w:rsidRPr="000250FA">
        <w:rPr>
          <w:sz w:val="22"/>
          <w:szCs w:val="22"/>
        </w:rPr>
        <w:t>Nftv</w:t>
      </w:r>
      <w:proofErr w:type="spellEnd"/>
      <w:r w:rsidRPr="000250FA">
        <w:rPr>
          <w:sz w:val="22"/>
          <w:szCs w:val="22"/>
        </w:rPr>
        <w:t>. 36. § (2) bekezdése szerinti mértéket nem haladja meg. Az illetménytöbblet havi összegét a kerekítés általános szabályai szerint száz forintra kerekítve kell megállapítani.</w:t>
      </w:r>
    </w:p>
    <w:p w14:paraId="24364799" w14:textId="77777777" w:rsidR="00962C23" w:rsidRDefault="00962C23">
      <w:pPr>
        <w:spacing w:after="160" w:line="259" w:lineRule="auto"/>
        <w:rPr>
          <w:lang w:eastAsia="x-none"/>
        </w:rPr>
      </w:pPr>
      <w:r>
        <w:rPr>
          <w:lang w:eastAsia="x-none"/>
        </w:rPr>
        <w:br w:type="page"/>
      </w:r>
    </w:p>
    <w:p w14:paraId="51659066" w14:textId="77777777" w:rsidR="00893D5B" w:rsidRPr="000250FA" w:rsidRDefault="00893D5B" w:rsidP="00893D5B">
      <w:pPr>
        <w:rPr>
          <w:lang w:eastAsia="x-none"/>
        </w:rPr>
      </w:pPr>
    </w:p>
    <w:p w14:paraId="40616E66" w14:textId="77777777" w:rsidR="00893D5B" w:rsidRPr="000250FA" w:rsidRDefault="00893D5B" w:rsidP="00893D5B">
      <w:pPr>
        <w:pStyle w:val="Cmsor5"/>
        <w:rPr>
          <w:color w:val="auto"/>
          <w:sz w:val="22"/>
          <w:szCs w:val="22"/>
        </w:rPr>
      </w:pPr>
      <w:bookmarkStart w:id="296" w:name="_Toc432753638"/>
      <w:r w:rsidRPr="000250FA">
        <w:rPr>
          <w:color w:val="auto"/>
          <w:sz w:val="22"/>
          <w:szCs w:val="22"/>
        </w:rPr>
        <w:t>Vezetői illetménykiegészítés</w:t>
      </w:r>
      <w:bookmarkEnd w:id="296"/>
    </w:p>
    <w:p w14:paraId="74D5149F" w14:textId="77777777" w:rsidR="00893D5B" w:rsidRPr="000250FA" w:rsidRDefault="00893D5B" w:rsidP="00893D5B">
      <w:pPr>
        <w:pStyle w:val="Normlstilus1norml"/>
        <w:tabs>
          <w:tab w:val="left" w:pos="9781"/>
        </w:tabs>
        <w:ind w:right="-144"/>
        <w:rPr>
          <w:color w:val="auto"/>
          <w:sz w:val="22"/>
          <w:szCs w:val="22"/>
        </w:rPr>
      </w:pPr>
    </w:p>
    <w:p w14:paraId="2D85023C"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135. §</w:t>
      </w:r>
      <w:r w:rsidRPr="000250FA">
        <w:rPr>
          <w:rStyle w:val="Lbjegyzet-hivatkozs"/>
          <w:b/>
          <w:bCs/>
          <w:color w:val="auto"/>
          <w:sz w:val="22"/>
          <w:szCs w:val="22"/>
        </w:rPr>
        <w:footnoteReference w:id="416"/>
      </w:r>
      <w:r w:rsidRPr="000250FA">
        <w:rPr>
          <w:color w:val="auto"/>
          <w:sz w:val="22"/>
          <w:szCs w:val="22"/>
        </w:rPr>
        <w:t xml:space="preserve"> A magasabb vezető és vezető megbízással rendelkező</w:t>
      </w:r>
      <w:r w:rsidRPr="000250FA">
        <w:rPr>
          <w:b/>
          <w:i/>
          <w:color w:val="auto"/>
          <w:sz w:val="22"/>
          <w:szCs w:val="22"/>
        </w:rPr>
        <w:t xml:space="preserve"> </w:t>
      </w:r>
      <w:r w:rsidRPr="000250FA">
        <w:rPr>
          <w:color w:val="auto"/>
          <w:sz w:val="22"/>
          <w:szCs w:val="22"/>
        </w:rPr>
        <w:t>közalkalmazott a munkaköre</w:t>
      </w:r>
      <w:r w:rsidRPr="000250FA">
        <w:rPr>
          <w:b/>
          <w:i/>
          <w:color w:val="auto"/>
          <w:sz w:val="22"/>
          <w:szCs w:val="22"/>
        </w:rPr>
        <w:t xml:space="preserve"> </w:t>
      </w:r>
      <w:r w:rsidRPr="000250FA">
        <w:rPr>
          <w:color w:val="auto"/>
          <w:sz w:val="22"/>
          <w:szCs w:val="22"/>
        </w:rPr>
        <w:t>alapján járó illetményén felül az Egyetem saját bevételei terhére a vezetői megbízásra tekintettel, annak időtartamára vezetői</w:t>
      </w:r>
      <w:r w:rsidRPr="000250FA">
        <w:rPr>
          <w:b/>
          <w:i/>
          <w:color w:val="auto"/>
          <w:sz w:val="22"/>
          <w:szCs w:val="22"/>
        </w:rPr>
        <w:t xml:space="preserve"> </w:t>
      </w:r>
      <w:r w:rsidRPr="000250FA">
        <w:rPr>
          <w:color w:val="auto"/>
          <w:sz w:val="22"/>
          <w:szCs w:val="22"/>
        </w:rPr>
        <w:t>illetménykiegészítésben részesülhet. A vezetői illetménykiegészítést a vezetői megbízásban kell rögzíteni.</w:t>
      </w:r>
    </w:p>
    <w:p w14:paraId="62B395FB" w14:textId="77777777" w:rsidR="00893D5B" w:rsidRPr="000250FA" w:rsidRDefault="00893D5B" w:rsidP="00893D5B">
      <w:pPr>
        <w:pStyle w:val="Normlstilus1norml"/>
        <w:tabs>
          <w:tab w:val="left" w:pos="9781"/>
        </w:tabs>
        <w:ind w:right="-144"/>
        <w:rPr>
          <w:color w:val="auto"/>
          <w:sz w:val="22"/>
          <w:szCs w:val="22"/>
        </w:rPr>
      </w:pPr>
    </w:p>
    <w:p w14:paraId="1E8DA463" w14:textId="77777777" w:rsidR="00893D5B" w:rsidRPr="000250FA" w:rsidRDefault="00893D5B" w:rsidP="00893D5B">
      <w:pPr>
        <w:tabs>
          <w:tab w:val="left" w:pos="9781"/>
        </w:tabs>
        <w:jc w:val="both"/>
        <w:rPr>
          <w:rFonts w:eastAsia="Calibri"/>
          <w:sz w:val="22"/>
          <w:szCs w:val="22"/>
          <w:lang w:eastAsia="en-US"/>
        </w:rPr>
      </w:pPr>
      <w:r w:rsidRPr="000250FA">
        <w:rPr>
          <w:b/>
          <w:bCs/>
          <w:sz w:val="22"/>
          <w:szCs w:val="22"/>
        </w:rPr>
        <w:t>136. §</w:t>
      </w:r>
      <w:r w:rsidRPr="000250FA">
        <w:rPr>
          <w:sz w:val="22"/>
          <w:szCs w:val="22"/>
        </w:rPr>
        <w:t xml:space="preserve"> (1)</w:t>
      </w:r>
      <w:r w:rsidRPr="000250FA">
        <w:rPr>
          <w:rStyle w:val="Lbjegyzet-hivatkozs"/>
          <w:sz w:val="22"/>
          <w:szCs w:val="22"/>
        </w:rPr>
        <w:footnoteReference w:id="417"/>
      </w:r>
      <w:r w:rsidRPr="000250FA">
        <w:rPr>
          <w:sz w:val="22"/>
          <w:szCs w:val="22"/>
        </w:rPr>
        <w:t xml:space="preserve"> A 135. §-</w:t>
      </w:r>
      <w:proofErr w:type="spellStart"/>
      <w:r w:rsidRPr="000250FA">
        <w:rPr>
          <w:sz w:val="22"/>
          <w:szCs w:val="22"/>
        </w:rPr>
        <w:t>ban</w:t>
      </w:r>
      <w:proofErr w:type="spellEnd"/>
      <w:r w:rsidRPr="000250FA">
        <w:rPr>
          <w:sz w:val="22"/>
          <w:szCs w:val="22"/>
        </w:rPr>
        <w:t xml:space="preserve"> meghatározott jogosultakon kívül az akkreditált doktori iskola vezetője </w:t>
      </w:r>
      <w:r w:rsidRPr="000250FA">
        <w:rPr>
          <w:rFonts w:eastAsia="Calibri"/>
          <w:sz w:val="22"/>
          <w:szCs w:val="22"/>
          <w:lang w:eastAsia="en-US"/>
        </w:rPr>
        <w:t xml:space="preserve">az egyetemi tanári munkakör 1. fizetési fokozatára mindenkor meghatározott </w:t>
      </w:r>
      <w:proofErr w:type="gramStart"/>
      <w:r w:rsidRPr="000250FA">
        <w:rPr>
          <w:rFonts w:eastAsia="Calibri"/>
          <w:sz w:val="22"/>
          <w:szCs w:val="22"/>
          <w:lang w:eastAsia="en-US"/>
        </w:rPr>
        <w:t>garantált</w:t>
      </w:r>
      <w:proofErr w:type="gramEnd"/>
      <w:r w:rsidRPr="000250FA">
        <w:rPr>
          <w:rFonts w:eastAsia="Calibri"/>
          <w:sz w:val="22"/>
          <w:szCs w:val="22"/>
          <w:lang w:eastAsia="en-US"/>
        </w:rPr>
        <w:t xml:space="preserve"> illetmény 49%-</w:t>
      </w:r>
      <w:proofErr w:type="spellStart"/>
      <w:r w:rsidRPr="000250FA">
        <w:rPr>
          <w:rFonts w:eastAsia="Calibri"/>
          <w:sz w:val="22"/>
          <w:szCs w:val="22"/>
          <w:lang w:eastAsia="en-US"/>
        </w:rPr>
        <w:t>ának</w:t>
      </w:r>
      <w:proofErr w:type="spellEnd"/>
      <w:r w:rsidRPr="000250FA">
        <w:rPr>
          <w:rFonts w:eastAsia="Calibri"/>
          <w:sz w:val="22"/>
          <w:szCs w:val="22"/>
          <w:lang w:eastAsia="en-US"/>
        </w:rPr>
        <w:t xml:space="preserve"> megfelelő összegű illetménykiegészítésre jogosult.</w:t>
      </w:r>
    </w:p>
    <w:p w14:paraId="3AE83A83" w14:textId="77777777" w:rsidR="00893D5B" w:rsidRPr="000250FA" w:rsidRDefault="00893D5B" w:rsidP="00893D5B">
      <w:pPr>
        <w:tabs>
          <w:tab w:val="left" w:pos="9781"/>
        </w:tabs>
        <w:ind w:right="-144"/>
        <w:jc w:val="both"/>
        <w:rPr>
          <w:sz w:val="22"/>
          <w:szCs w:val="22"/>
        </w:rPr>
      </w:pPr>
    </w:p>
    <w:p w14:paraId="7A19978A" w14:textId="77777777" w:rsidR="00893D5B" w:rsidRPr="000250FA" w:rsidRDefault="00893D5B" w:rsidP="00893D5B">
      <w:pPr>
        <w:tabs>
          <w:tab w:val="left" w:pos="9781"/>
        </w:tabs>
        <w:ind w:right="-144"/>
        <w:jc w:val="both"/>
        <w:rPr>
          <w:sz w:val="22"/>
          <w:szCs w:val="22"/>
        </w:rPr>
      </w:pPr>
      <w:r w:rsidRPr="000250FA">
        <w:rPr>
          <w:sz w:val="22"/>
          <w:szCs w:val="22"/>
        </w:rPr>
        <w:t xml:space="preserve">(2) </w:t>
      </w:r>
      <w:r w:rsidRPr="000250FA">
        <w:rPr>
          <w:rStyle w:val="Lbjegyzet-hivatkozs"/>
          <w:sz w:val="22"/>
          <w:szCs w:val="22"/>
        </w:rPr>
        <w:footnoteReference w:id="418"/>
      </w:r>
      <w:r w:rsidRPr="000250FA">
        <w:rPr>
          <w:sz w:val="22"/>
          <w:szCs w:val="22"/>
        </w:rPr>
        <w:t>Vezetői illetménykiegészítésre jogosultak a rektor által megbízott szaktanácsadók, a megbízásban rögzítettek szerint.</w:t>
      </w:r>
    </w:p>
    <w:p w14:paraId="42D7952D" w14:textId="77777777" w:rsidR="00893D5B" w:rsidRPr="000250FA" w:rsidRDefault="00893D5B" w:rsidP="00893D5B">
      <w:pPr>
        <w:tabs>
          <w:tab w:val="left" w:pos="9781"/>
        </w:tabs>
        <w:ind w:right="-144"/>
        <w:jc w:val="both"/>
        <w:rPr>
          <w:sz w:val="22"/>
          <w:szCs w:val="22"/>
        </w:rPr>
      </w:pPr>
    </w:p>
    <w:p w14:paraId="6382A58E" w14:textId="77777777" w:rsidR="00893D5B" w:rsidRPr="000250FA" w:rsidRDefault="00893D5B" w:rsidP="00893D5B">
      <w:pPr>
        <w:pStyle w:val="BodyText21"/>
        <w:widowControl/>
        <w:tabs>
          <w:tab w:val="left" w:pos="9781"/>
        </w:tabs>
        <w:ind w:right="-144"/>
        <w:rPr>
          <w:sz w:val="22"/>
          <w:szCs w:val="22"/>
        </w:rPr>
      </w:pPr>
      <w:r w:rsidRPr="000250FA">
        <w:rPr>
          <w:sz w:val="22"/>
          <w:szCs w:val="22"/>
        </w:rPr>
        <w:t>(3)</w:t>
      </w:r>
      <w:r w:rsidRPr="000250FA">
        <w:rPr>
          <w:rStyle w:val="Lbjegyzet-hivatkozs"/>
          <w:sz w:val="22"/>
          <w:szCs w:val="22"/>
        </w:rPr>
        <w:footnoteReference w:id="419"/>
      </w:r>
      <w:r w:rsidRPr="000250FA">
        <w:rPr>
          <w:sz w:val="22"/>
          <w:szCs w:val="22"/>
        </w:rPr>
        <w:t xml:space="preserve"> A vezetői illetménykiegészítés megszűnik:</w:t>
      </w:r>
    </w:p>
    <w:p w14:paraId="261619FF" w14:textId="77777777" w:rsidR="00893D5B" w:rsidRPr="000250FA" w:rsidRDefault="00893D5B" w:rsidP="00893D5B">
      <w:pPr>
        <w:tabs>
          <w:tab w:val="left" w:pos="9781"/>
        </w:tabs>
        <w:ind w:left="561" w:right="-144"/>
        <w:jc w:val="both"/>
        <w:rPr>
          <w:sz w:val="22"/>
          <w:szCs w:val="22"/>
        </w:rPr>
      </w:pPr>
    </w:p>
    <w:p w14:paraId="38F00435" w14:textId="77777777" w:rsidR="00893D5B" w:rsidRPr="000250FA" w:rsidRDefault="00893D5B" w:rsidP="00F83E93">
      <w:pPr>
        <w:numPr>
          <w:ilvl w:val="0"/>
          <w:numId w:val="128"/>
        </w:numPr>
        <w:jc w:val="both"/>
        <w:rPr>
          <w:strike/>
          <w:sz w:val="22"/>
          <w:szCs w:val="22"/>
        </w:rPr>
      </w:pPr>
      <w:r w:rsidRPr="000250FA">
        <w:rPr>
          <w:sz w:val="22"/>
          <w:szCs w:val="22"/>
        </w:rPr>
        <w:t xml:space="preserve"> a 65. éves korhatár betöltésével,</w:t>
      </w:r>
    </w:p>
    <w:p w14:paraId="6ADE4469" w14:textId="77777777" w:rsidR="00893D5B" w:rsidRPr="000250FA" w:rsidRDefault="00893D5B" w:rsidP="00F83E93">
      <w:pPr>
        <w:numPr>
          <w:ilvl w:val="0"/>
          <w:numId w:val="128"/>
        </w:numPr>
        <w:jc w:val="both"/>
        <w:rPr>
          <w:sz w:val="22"/>
          <w:szCs w:val="22"/>
        </w:rPr>
      </w:pPr>
      <w:r w:rsidRPr="000250FA">
        <w:rPr>
          <w:sz w:val="22"/>
          <w:szCs w:val="22"/>
        </w:rPr>
        <w:t>a doktori iskola megszűnésével,</w:t>
      </w:r>
    </w:p>
    <w:p w14:paraId="6BF36435" w14:textId="77777777" w:rsidR="00893D5B" w:rsidRPr="000250FA" w:rsidRDefault="00893D5B" w:rsidP="00F83E93">
      <w:pPr>
        <w:numPr>
          <w:ilvl w:val="0"/>
          <w:numId w:val="128"/>
        </w:numPr>
        <w:jc w:val="both"/>
        <w:rPr>
          <w:sz w:val="22"/>
          <w:szCs w:val="22"/>
        </w:rPr>
      </w:pPr>
      <w:r w:rsidRPr="000250FA">
        <w:rPr>
          <w:sz w:val="22"/>
          <w:szCs w:val="22"/>
        </w:rPr>
        <w:t>az érintett személy arról történő lemondásával,</w:t>
      </w:r>
    </w:p>
    <w:p w14:paraId="73582D07" w14:textId="77777777" w:rsidR="00893D5B" w:rsidRPr="000250FA" w:rsidRDefault="00893D5B" w:rsidP="00F83E93">
      <w:pPr>
        <w:numPr>
          <w:ilvl w:val="0"/>
          <w:numId w:val="128"/>
        </w:numPr>
        <w:jc w:val="both"/>
      </w:pPr>
      <w:r w:rsidRPr="000250FA">
        <w:rPr>
          <w:sz w:val="22"/>
          <w:szCs w:val="22"/>
        </w:rPr>
        <w:t>a vezetői, magasabb vezetői megbízás, a doktori iskola vezetői, illetőleg a szaktanácsadói megbízás megszűnésével</w:t>
      </w:r>
      <w:r w:rsidRPr="000250FA">
        <w:t>.</w:t>
      </w:r>
    </w:p>
    <w:p w14:paraId="18C4556A" w14:textId="77777777" w:rsidR="00893D5B" w:rsidRPr="000250FA" w:rsidRDefault="00893D5B" w:rsidP="00893D5B">
      <w:pPr>
        <w:tabs>
          <w:tab w:val="left" w:pos="2529"/>
          <w:tab w:val="left" w:pos="9781"/>
        </w:tabs>
        <w:ind w:right="-144"/>
        <w:jc w:val="both"/>
        <w:rPr>
          <w:sz w:val="22"/>
          <w:szCs w:val="22"/>
        </w:rPr>
      </w:pPr>
    </w:p>
    <w:p w14:paraId="3F0D7E54" w14:textId="77777777" w:rsidR="00893D5B" w:rsidRPr="000250FA" w:rsidRDefault="00893D5B" w:rsidP="00893D5B">
      <w:pPr>
        <w:tabs>
          <w:tab w:val="left" w:pos="9781"/>
        </w:tabs>
        <w:ind w:right="-144"/>
        <w:jc w:val="both"/>
        <w:rPr>
          <w:sz w:val="22"/>
          <w:szCs w:val="22"/>
        </w:rPr>
      </w:pPr>
      <w:r w:rsidRPr="000250FA">
        <w:rPr>
          <w:sz w:val="22"/>
          <w:szCs w:val="22"/>
        </w:rPr>
        <w:t>(4)</w:t>
      </w:r>
      <w:r w:rsidRPr="000250FA">
        <w:rPr>
          <w:rStyle w:val="Lbjegyzet-hivatkozs"/>
          <w:sz w:val="22"/>
          <w:szCs w:val="22"/>
        </w:rPr>
        <w:footnoteReference w:id="420"/>
      </w:r>
      <w:r w:rsidRPr="000250FA">
        <w:rPr>
          <w:sz w:val="22"/>
          <w:szCs w:val="22"/>
        </w:rPr>
        <w:t xml:space="preserve"> A vezetői illetménykiegészítés csak egy jogcímen állapítható meg.</w:t>
      </w:r>
    </w:p>
    <w:p w14:paraId="03B4268C" w14:textId="77777777" w:rsidR="00893D5B" w:rsidRPr="000250FA" w:rsidRDefault="00893D5B" w:rsidP="00893D5B">
      <w:pPr>
        <w:tabs>
          <w:tab w:val="left" w:pos="9781"/>
        </w:tabs>
        <w:ind w:right="-144"/>
        <w:jc w:val="both"/>
        <w:rPr>
          <w:sz w:val="22"/>
          <w:szCs w:val="22"/>
        </w:rPr>
      </w:pPr>
    </w:p>
    <w:p w14:paraId="31378E05" w14:textId="77777777" w:rsidR="00893D5B" w:rsidRPr="000250FA" w:rsidRDefault="00893D5B" w:rsidP="00893D5B">
      <w:pPr>
        <w:tabs>
          <w:tab w:val="left" w:pos="9781"/>
        </w:tabs>
        <w:ind w:right="-144"/>
        <w:jc w:val="both"/>
        <w:rPr>
          <w:sz w:val="22"/>
          <w:szCs w:val="22"/>
        </w:rPr>
      </w:pPr>
      <w:r w:rsidRPr="000250FA">
        <w:rPr>
          <w:sz w:val="22"/>
          <w:szCs w:val="22"/>
        </w:rPr>
        <w:t>(5) A vezetői illetménykiegészítés kifizetése az önállóan gazdálkodó egység bérkerete</w:t>
      </w:r>
      <w:r w:rsidRPr="000250FA">
        <w:rPr>
          <w:b/>
          <w:i/>
          <w:sz w:val="22"/>
          <w:szCs w:val="22"/>
        </w:rPr>
        <w:t xml:space="preserve"> </w:t>
      </w:r>
      <w:r w:rsidRPr="000250FA">
        <w:rPr>
          <w:sz w:val="22"/>
          <w:szCs w:val="22"/>
        </w:rPr>
        <w:t xml:space="preserve">keretek terhére történik. </w:t>
      </w:r>
    </w:p>
    <w:p w14:paraId="3B502265" w14:textId="77777777" w:rsidR="00893D5B" w:rsidRPr="000250FA" w:rsidRDefault="00893D5B" w:rsidP="00893D5B">
      <w:pPr>
        <w:pStyle w:val="Normlstilus1norml"/>
        <w:tabs>
          <w:tab w:val="left" w:pos="9781"/>
        </w:tabs>
        <w:ind w:right="-144"/>
        <w:rPr>
          <w:color w:val="auto"/>
          <w:sz w:val="22"/>
          <w:szCs w:val="22"/>
        </w:rPr>
      </w:pPr>
    </w:p>
    <w:p w14:paraId="0C444899"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137. §</w:t>
      </w:r>
      <w:r w:rsidRPr="000250FA">
        <w:rPr>
          <w:color w:val="auto"/>
          <w:sz w:val="22"/>
          <w:szCs w:val="22"/>
        </w:rPr>
        <w:t xml:space="preserve"> A vezetői illetménykiegészítésre vonatkozó külön rendelkezéseket a 141. § tartalmazza.</w:t>
      </w:r>
    </w:p>
    <w:p w14:paraId="32A1C922" w14:textId="77777777" w:rsidR="00893D5B" w:rsidRPr="000250FA" w:rsidRDefault="00893D5B" w:rsidP="00893D5B">
      <w:pPr>
        <w:pStyle w:val="Normlstilus1norml"/>
        <w:tabs>
          <w:tab w:val="left" w:pos="9781"/>
        </w:tabs>
        <w:ind w:right="-144"/>
        <w:rPr>
          <w:color w:val="auto"/>
          <w:sz w:val="22"/>
          <w:szCs w:val="22"/>
        </w:rPr>
      </w:pPr>
    </w:p>
    <w:p w14:paraId="03ADF5FF" w14:textId="77777777" w:rsidR="00893D5B" w:rsidRPr="000250FA" w:rsidRDefault="00893D5B" w:rsidP="00893D5B">
      <w:pPr>
        <w:pStyle w:val="Cmsor5"/>
        <w:rPr>
          <w:color w:val="auto"/>
          <w:sz w:val="22"/>
          <w:szCs w:val="22"/>
        </w:rPr>
      </w:pPr>
      <w:bookmarkStart w:id="297" w:name="_Toc432753639"/>
      <w:r w:rsidRPr="000250FA">
        <w:rPr>
          <w:color w:val="auto"/>
          <w:sz w:val="22"/>
          <w:szCs w:val="22"/>
        </w:rPr>
        <w:t>Keresetkiegészítés</w:t>
      </w:r>
      <w:bookmarkEnd w:id="297"/>
      <w:r w:rsidRPr="000250FA">
        <w:rPr>
          <w:rStyle w:val="Lbjegyzet-hivatkozs"/>
          <w:color w:val="auto"/>
          <w:sz w:val="22"/>
          <w:szCs w:val="22"/>
        </w:rPr>
        <w:footnoteReference w:id="421"/>
      </w:r>
    </w:p>
    <w:p w14:paraId="43C2E68B" w14:textId="77777777" w:rsidR="00893D5B" w:rsidRPr="000250FA" w:rsidRDefault="00893D5B" w:rsidP="00893D5B">
      <w:pPr>
        <w:pStyle w:val="Normlstilus1norml"/>
        <w:tabs>
          <w:tab w:val="left" w:pos="9781"/>
        </w:tabs>
        <w:ind w:right="-144"/>
        <w:rPr>
          <w:color w:val="auto"/>
          <w:sz w:val="22"/>
          <w:szCs w:val="22"/>
        </w:rPr>
      </w:pPr>
    </w:p>
    <w:p w14:paraId="27133119" w14:textId="77777777" w:rsidR="00893D5B" w:rsidRPr="000250FA" w:rsidRDefault="00893D5B" w:rsidP="00893D5B">
      <w:pPr>
        <w:pStyle w:val="Normlstilus1norml"/>
        <w:tabs>
          <w:tab w:val="left" w:pos="9781"/>
        </w:tabs>
        <w:ind w:right="-144"/>
        <w:rPr>
          <w:bCs/>
          <w:color w:val="auto"/>
          <w:sz w:val="22"/>
          <w:szCs w:val="22"/>
          <w:u w:val="single"/>
        </w:rPr>
      </w:pPr>
      <w:r w:rsidRPr="000250FA">
        <w:rPr>
          <w:b/>
          <w:bCs/>
          <w:color w:val="auto"/>
          <w:sz w:val="22"/>
          <w:szCs w:val="22"/>
        </w:rPr>
        <w:t xml:space="preserve">138. § </w:t>
      </w:r>
      <w:r w:rsidRPr="000250FA">
        <w:rPr>
          <w:b/>
          <w:bCs/>
          <w:i/>
          <w:color w:val="auto"/>
          <w:sz w:val="22"/>
          <w:szCs w:val="22"/>
        </w:rPr>
        <w:t xml:space="preserve"> </w:t>
      </w:r>
      <w:r w:rsidRPr="000250FA">
        <w:rPr>
          <w:bCs/>
          <w:color w:val="auto"/>
          <w:sz w:val="22"/>
          <w:szCs w:val="22"/>
        </w:rPr>
        <w:t>(1) A közalkalmazottat a munkáltatói jogkör gyakorlója átmeneti többletfeladatok (ide nem értve az átirányítást) teljesítéséért, továbbá meghatározott munkateljesítmény eléréséért a teljesítményértékelési rendszer keretében, a megállapított személyi juttatások előirányzatán belül egyszeri vagy meghatározott időre szóló, havi rendszerességgel fizetett kereset-kiegészítésben részesítheti. A keresetkiegészítés juttatásáról a közalkalmazottat a munkáltatói jogkör gyakorlója TÉR-</w:t>
      </w:r>
      <w:proofErr w:type="spellStart"/>
      <w:r w:rsidRPr="000250FA">
        <w:rPr>
          <w:bCs/>
          <w:color w:val="auto"/>
          <w:sz w:val="22"/>
          <w:szCs w:val="22"/>
        </w:rPr>
        <w:t>ben</w:t>
      </w:r>
      <w:proofErr w:type="spellEnd"/>
      <w:r w:rsidRPr="000250FA">
        <w:rPr>
          <w:bCs/>
          <w:color w:val="auto"/>
          <w:sz w:val="22"/>
          <w:szCs w:val="22"/>
        </w:rPr>
        <w:t xml:space="preserve"> szabályozott </w:t>
      </w:r>
      <w:proofErr w:type="gramStart"/>
      <w:r w:rsidRPr="000250FA">
        <w:rPr>
          <w:bCs/>
          <w:color w:val="auto"/>
          <w:sz w:val="22"/>
          <w:szCs w:val="22"/>
        </w:rPr>
        <w:t>dokumentumban</w:t>
      </w:r>
      <w:proofErr w:type="gramEnd"/>
      <w:r w:rsidRPr="000250FA">
        <w:rPr>
          <w:bCs/>
          <w:color w:val="auto"/>
          <w:sz w:val="22"/>
          <w:szCs w:val="22"/>
        </w:rPr>
        <w:t>, illetőleg Többletfeladat-kitűző lapon értesíti.</w:t>
      </w:r>
    </w:p>
    <w:p w14:paraId="264F5451" w14:textId="77777777" w:rsidR="00893D5B" w:rsidRPr="000250FA" w:rsidRDefault="00893D5B" w:rsidP="00893D5B">
      <w:pPr>
        <w:pStyle w:val="Normlstilus1norml"/>
        <w:tabs>
          <w:tab w:val="left" w:pos="9781"/>
        </w:tabs>
        <w:ind w:right="-144"/>
        <w:rPr>
          <w:bCs/>
          <w:color w:val="auto"/>
          <w:sz w:val="22"/>
          <w:szCs w:val="22"/>
        </w:rPr>
      </w:pPr>
    </w:p>
    <w:p w14:paraId="4C625ECC"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(2) A Klinikai Központban a hatályos 1/2013. számú KK főigazgatói utasítás alapján a minősített munkahelyen és munkakörben megállapított keresetkiegészítés folyósítása az utasítás szabályai szerint történik.</w:t>
      </w:r>
    </w:p>
    <w:p w14:paraId="74DB9ADD" w14:textId="77777777" w:rsidR="00893D5B" w:rsidRPr="000250FA" w:rsidRDefault="00893D5B" w:rsidP="00893D5B">
      <w:pPr>
        <w:pStyle w:val="Normlstilus1norml"/>
        <w:tabs>
          <w:tab w:val="left" w:pos="9781"/>
        </w:tabs>
        <w:ind w:right="-144"/>
        <w:rPr>
          <w:bCs/>
          <w:color w:val="auto"/>
          <w:sz w:val="22"/>
          <w:szCs w:val="22"/>
        </w:rPr>
      </w:pPr>
    </w:p>
    <w:p w14:paraId="27D0F990"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 xml:space="preserve">(3) A meghatározott időre megállapított kereset-kiegészítést a feladat jellegének megfelelően kell meghatározni (tárgyév/hónap; tanév/szemeszter; más meghatározott időszak </w:t>
      </w:r>
      <w:proofErr w:type="spellStart"/>
      <w:r w:rsidRPr="000250FA">
        <w:rPr>
          <w:bCs/>
          <w:color w:val="auto"/>
          <w:sz w:val="22"/>
          <w:szCs w:val="22"/>
        </w:rPr>
        <w:t>naptárilag</w:t>
      </w:r>
      <w:proofErr w:type="spellEnd"/>
      <w:r w:rsidRPr="000250FA">
        <w:rPr>
          <w:bCs/>
          <w:color w:val="auto"/>
          <w:sz w:val="22"/>
          <w:szCs w:val="22"/>
        </w:rPr>
        <w:t>).</w:t>
      </w:r>
    </w:p>
    <w:p w14:paraId="1702C4BC" w14:textId="77777777" w:rsidR="00893D5B" w:rsidRPr="000250FA" w:rsidRDefault="00893D5B" w:rsidP="00893D5B">
      <w:pPr>
        <w:pStyle w:val="Normlstilus1norml"/>
        <w:tabs>
          <w:tab w:val="left" w:pos="9781"/>
        </w:tabs>
        <w:ind w:right="-144"/>
        <w:rPr>
          <w:bCs/>
          <w:color w:val="auto"/>
          <w:sz w:val="22"/>
          <w:szCs w:val="22"/>
        </w:rPr>
      </w:pPr>
    </w:p>
    <w:p w14:paraId="60421558"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(4) A kereset-kiegészítés megállapításának feltétele, hogy a pénzügyi fedezet igazoltan rendelkezésre álljon.</w:t>
      </w:r>
    </w:p>
    <w:p w14:paraId="6239C1E2" w14:textId="77777777" w:rsidR="00893D5B" w:rsidRPr="000250FA" w:rsidRDefault="00893D5B" w:rsidP="00893D5B">
      <w:pPr>
        <w:pStyle w:val="Normlstilus1norml"/>
        <w:tabs>
          <w:tab w:val="left" w:pos="9781"/>
        </w:tabs>
        <w:ind w:right="-144"/>
        <w:rPr>
          <w:bCs/>
          <w:color w:val="auto"/>
          <w:sz w:val="22"/>
          <w:szCs w:val="22"/>
        </w:rPr>
      </w:pPr>
    </w:p>
    <w:p w14:paraId="5CCFF10A"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(5) Többletfeladatként a közalkalmazott számára bármely olyan feladat ellátásáért megállapítható kereset-kiegészítés,</w:t>
      </w:r>
    </w:p>
    <w:p w14:paraId="305EE2BA" w14:textId="77777777" w:rsidR="00893D5B" w:rsidRPr="000250FA" w:rsidRDefault="00893D5B" w:rsidP="00F83E93">
      <w:pPr>
        <w:numPr>
          <w:ilvl w:val="0"/>
          <w:numId w:val="129"/>
        </w:numPr>
        <w:jc w:val="both"/>
        <w:rPr>
          <w:sz w:val="22"/>
          <w:szCs w:val="22"/>
        </w:rPr>
      </w:pPr>
      <w:r w:rsidRPr="000250FA">
        <w:rPr>
          <w:sz w:val="22"/>
          <w:szCs w:val="22"/>
        </w:rPr>
        <w:t>amely az Egyetem tevékenységi körébe tartozik,</w:t>
      </w:r>
    </w:p>
    <w:p w14:paraId="432CC818" w14:textId="77777777" w:rsidR="00893D5B" w:rsidRPr="000250FA" w:rsidRDefault="00893D5B" w:rsidP="00F83E93">
      <w:pPr>
        <w:numPr>
          <w:ilvl w:val="0"/>
          <w:numId w:val="129"/>
        </w:numPr>
        <w:jc w:val="both"/>
        <w:rPr>
          <w:sz w:val="22"/>
          <w:szCs w:val="22"/>
        </w:rPr>
      </w:pPr>
      <w:r w:rsidRPr="000250FA">
        <w:rPr>
          <w:sz w:val="22"/>
          <w:szCs w:val="22"/>
        </w:rPr>
        <w:t>amelynek ellátása az Egyetem érdekeit tekintve ilyen módon célszerű és gazdaságos,</w:t>
      </w:r>
    </w:p>
    <w:p w14:paraId="28052859" w14:textId="77777777" w:rsidR="00893D5B" w:rsidRPr="000250FA" w:rsidRDefault="00893D5B" w:rsidP="00F83E93">
      <w:pPr>
        <w:numPr>
          <w:ilvl w:val="0"/>
          <w:numId w:val="129"/>
        </w:numPr>
        <w:jc w:val="both"/>
      </w:pPr>
      <w:r w:rsidRPr="000250FA">
        <w:rPr>
          <w:sz w:val="22"/>
          <w:szCs w:val="22"/>
        </w:rPr>
        <w:t>amelynek ellátásához az érintett közalkalmazott szakképzettséggel, szakértelemmel rendelkezik</w:t>
      </w:r>
      <w:r w:rsidRPr="000250FA">
        <w:t>.</w:t>
      </w:r>
    </w:p>
    <w:p w14:paraId="68E999D3" w14:textId="77777777" w:rsidR="00893D5B" w:rsidRPr="000250FA" w:rsidRDefault="00893D5B" w:rsidP="00893D5B">
      <w:pPr>
        <w:pStyle w:val="Normlstilus1norml"/>
        <w:tabs>
          <w:tab w:val="left" w:pos="9781"/>
        </w:tabs>
        <w:ind w:right="-144"/>
        <w:rPr>
          <w:bCs/>
          <w:color w:val="auto"/>
          <w:sz w:val="22"/>
          <w:szCs w:val="22"/>
        </w:rPr>
      </w:pPr>
    </w:p>
    <w:p w14:paraId="64BF1608"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(6) A közalkalmazottak jogállásáról szóló 1992. évi XXXIII. törvény 21/</w:t>
      </w:r>
      <w:proofErr w:type="gramStart"/>
      <w:r w:rsidRPr="000250FA">
        <w:rPr>
          <w:bCs/>
          <w:color w:val="auto"/>
          <w:sz w:val="22"/>
          <w:szCs w:val="22"/>
        </w:rPr>
        <w:t>A</w:t>
      </w:r>
      <w:proofErr w:type="gramEnd"/>
      <w:r w:rsidRPr="000250FA">
        <w:rPr>
          <w:bCs/>
          <w:color w:val="auto"/>
          <w:sz w:val="22"/>
          <w:szCs w:val="22"/>
        </w:rPr>
        <w:t xml:space="preserve">. § szerinti </w:t>
      </w:r>
      <w:bookmarkStart w:id="298" w:name="pr2"/>
      <w:bookmarkEnd w:id="298"/>
      <w:r w:rsidRPr="000250FA">
        <w:rPr>
          <w:bCs/>
          <w:color w:val="auto"/>
          <w:sz w:val="22"/>
          <w:szCs w:val="22"/>
        </w:rPr>
        <w:t>próbaidő alatt többletfeladat nem tűzhető ki</w:t>
      </w:r>
    </w:p>
    <w:p w14:paraId="11BD1DB5" w14:textId="77777777" w:rsidR="00893D5B" w:rsidRPr="000250FA" w:rsidRDefault="00893D5B" w:rsidP="00893D5B">
      <w:pPr>
        <w:pStyle w:val="Normlstilus1norml"/>
        <w:tabs>
          <w:tab w:val="left" w:pos="9781"/>
        </w:tabs>
        <w:ind w:right="-144"/>
        <w:rPr>
          <w:bCs/>
          <w:color w:val="auto"/>
          <w:sz w:val="22"/>
          <w:szCs w:val="22"/>
        </w:rPr>
      </w:pPr>
    </w:p>
    <w:p w14:paraId="1F295257"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(7) Amennyiben a többletfeladat kitűzése olyan közalkalmazott számára történik, akire vonatkozóan a munkáltatói jogkör gyakorlójának személye elválik a kötelezettségvállaló személyétől és/vagy elválik a közalkalmazottat foglalkoztató szervezeti egység vezetőjétől, a kötelezettségvállaló írásban kezdeményezheti a foglalkoztatás szerinti szervezeti egység vezetőjénél a feladat kitűzését, csatolva a többletfeladat-kitűző lapot kitöltve, saját valamint a kötelezettségvállaló részéről a pénzügyi és szakmai ellenjegyző aláírásával ellátva.</w:t>
      </w:r>
    </w:p>
    <w:p w14:paraId="0F48A62E"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A szervezeti egység vezetője egyetértését aláírásával igazolja, majd- amennyiben személye elválik a kinevezés szerinti munkáltatói jogkörgyakorlótól- megküldi azt a munkáltatói jogkör gyakorlójának.</w:t>
      </w:r>
    </w:p>
    <w:p w14:paraId="711BECA1" w14:textId="77777777" w:rsidR="00893D5B" w:rsidRPr="000250FA" w:rsidRDefault="00893D5B" w:rsidP="00893D5B">
      <w:pPr>
        <w:pStyle w:val="Normlstilus1norml"/>
        <w:tabs>
          <w:tab w:val="left" w:pos="9781"/>
        </w:tabs>
        <w:ind w:right="-144"/>
        <w:rPr>
          <w:bCs/>
          <w:color w:val="auto"/>
          <w:sz w:val="22"/>
          <w:szCs w:val="22"/>
        </w:rPr>
      </w:pPr>
    </w:p>
    <w:p w14:paraId="5751C5FC" w14:textId="77777777" w:rsidR="00893D5B" w:rsidRPr="000250FA" w:rsidRDefault="00893D5B" w:rsidP="00893D5B">
      <w:pPr>
        <w:pStyle w:val="Normlstilus1norml"/>
        <w:tabs>
          <w:tab w:val="left" w:pos="9781"/>
        </w:tabs>
        <w:ind w:right="-144"/>
        <w:rPr>
          <w:bCs/>
          <w:color w:val="auto"/>
          <w:sz w:val="22"/>
          <w:szCs w:val="22"/>
        </w:rPr>
      </w:pPr>
      <w:r w:rsidRPr="000250FA">
        <w:rPr>
          <w:bCs/>
          <w:color w:val="auto"/>
          <w:sz w:val="22"/>
          <w:szCs w:val="22"/>
        </w:rPr>
        <w:t xml:space="preserve"> (8) A kereset-kiegészítés megállapítására vonatkozó iratmintát a HR Kézikönyv tartalmazza</w:t>
      </w:r>
    </w:p>
    <w:p w14:paraId="77254B28" w14:textId="77777777" w:rsidR="00893D5B" w:rsidRPr="000250FA" w:rsidRDefault="00893D5B" w:rsidP="00893D5B">
      <w:pPr>
        <w:pStyle w:val="Normlstilus1norml"/>
        <w:tabs>
          <w:tab w:val="left" w:pos="9781"/>
        </w:tabs>
        <w:ind w:right="-144"/>
        <w:jc w:val="center"/>
        <w:rPr>
          <w:b/>
          <w:color w:val="auto"/>
          <w:sz w:val="22"/>
          <w:szCs w:val="22"/>
        </w:rPr>
      </w:pPr>
    </w:p>
    <w:p w14:paraId="6CC12BF9" w14:textId="77777777" w:rsidR="00893D5B" w:rsidRPr="000250FA" w:rsidRDefault="00893D5B" w:rsidP="00893D5B">
      <w:pPr>
        <w:pStyle w:val="Cmsor5"/>
        <w:rPr>
          <w:color w:val="auto"/>
          <w:sz w:val="22"/>
          <w:szCs w:val="22"/>
        </w:rPr>
      </w:pPr>
      <w:bookmarkStart w:id="299" w:name="_Toc432753640"/>
      <w:r w:rsidRPr="000250FA">
        <w:rPr>
          <w:color w:val="auto"/>
          <w:sz w:val="22"/>
          <w:szCs w:val="22"/>
        </w:rPr>
        <w:t>Illetménypótlék</w:t>
      </w:r>
      <w:bookmarkEnd w:id="299"/>
    </w:p>
    <w:p w14:paraId="49C0E5C5" w14:textId="77777777" w:rsidR="00893D5B" w:rsidRPr="000250FA" w:rsidRDefault="00893D5B" w:rsidP="00893D5B">
      <w:pPr>
        <w:pStyle w:val="Normlstilus1norml"/>
        <w:tabs>
          <w:tab w:val="left" w:pos="9781"/>
        </w:tabs>
        <w:ind w:right="-144"/>
        <w:rPr>
          <w:color w:val="auto"/>
          <w:sz w:val="22"/>
          <w:szCs w:val="22"/>
        </w:rPr>
      </w:pPr>
    </w:p>
    <w:p w14:paraId="083B8937"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138/A. §</w:t>
      </w:r>
      <w:r w:rsidRPr="000250FA">
        <w:rPr>
          <w:b/>
          <w:i/>
          <w:color w:val="auto"/>
          <w:sz w:val="22"/>
          <w:szCs w:val="22"/>
        </w:rPr>
        <w:t xml:space="preserve"> </w:t>
      </w:r>
      <w:r w:rsidRPr="000250FA">
        <w:rPr>
          <w:color w:val="auto"/>
          <w:sz w:val="22"/>
          <w:szCs w:val="22"/>
        </w:rPr>
        <w:t>(1) A Kjt.-</w:t>
      </w:r>
      <w:proofErr w:type="spellStart"/>
      <w:r w:rsidRPr="000250FA">
        <w:rPr>
          <w:color w:val="auto"/>
          <w:sz w:val="22"/>
          <w:szCs w:val="22"/>
        </w:rPr>
        <w:t>ben</w:t>
      </w:r>
      <w:proofErr w:type="spellEnd"/>
      <w:r w:rsidRPr="000250FA">
        <w:rPr>
          <w:color w:val="auto"/>
          <w:sz w:val="22"/>
          <w:szCs w:val="22"/>
        </w:rPr>
        <w:t xml:space="preserve"> megállapított feltételek mellett a közalkalmazott a Kjt. 70–75. § szerinti illetménypótlékra jogosult. A 70–75. § szerinti illetménypótlék számításának alapját (pótlékalap) a mindenkori éves költségvetési törvény állapítja meg.</w:t>
      </w:r>
    </w:p>
    <w:p w14:paraId="6F0BC3DE" w14:textId="77777777" w:rsidR="00893D5B" w:rsidRPr="000250FA" w:rsidRDefault="00893D5B" w:rsidP="00893D5B">
      <w:pPr>
        <w:pStyle w:val="Normlstilus1norml"/>
        <w:tabs>
          <w:tab w:val="left" w:pos="9781"/>
        </w:tabs>
        <w:ind w:right="-144"/>
        <w:rPr>
          <w:color w:val="auto"/>
          <w:sz w:val="22"/>
          <w:szCs w:val="22"/>
        </w:rPr>
      </w:pPr>
    </w:p>
    <w:p w14:paraId="31660107"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(2) Jogszabály, jelen szabályzat vagy Kollektív Szerződés rendelkezésén kívül pótlék nem állapítható meg.</w:t>
      </w:r>
    </w:p>
    <w:p w14:paraId="31423A3E" w14:textId="77777777" w:rsidR="00893D5B" w:rsidRPr="000250FA" w:rsidRDefault="00893D5B" w:rsidP="00893D5B">
      <w:pPr>
        <w:pStyle w:val="Normlstilus1norml"/>
        <w:tabs>
          <w:tab w:val="left" w:pos="9781"/>
        </w:tabs>
        <w:ind w:right="-144"/>
        <w:rPr>
          <w:color w:val="auto"/>
          <w:sz w:val="22"/>
          <w:szCs w:val="22"/>
        </w:rPr>
      </w:pPr>
    </w:p>
    <w:p w14:paraId="54C1280D"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(3) A pótlékot a kinevezésben rögzíteni nem lehet, arról a munkáltatói jogkör gyakorlója értesíti a közalkalmazottat, amennyiben a jogosultság feltételei fennállnak.</w:t>
      </w:r>
    </w:p>
    <w:p w14:paraId="112A5829" w14:textId="77777777" w:rsidR="00893D5B" w:rsidRPr="000250FA" w:rsidRDefault="00893D5B" w:rsidP="00893D5B">
      <w:pPr>
        <w:pStyle w:val="Normlstilus1norml"/>
        <w:tabs>
          <w:tab w:val="left" w:pos="9781"/>
        </w:tabs>
        <w:ind w:right="-144"/>
        <w:rPr>
          <w:color w:val="auto"/>
          <w:sz w:val="22"/>
          <w:szCs w:val="22"/>
        </w:rPr>
      </w:pPr>
    </w:p>
    <w:p w14:paraId="2084E3C7"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 A (2) szerinti pótlékokat a HR Kézikönyv összefoglalóan tartalmazza.</w:t>
      </w:r>
    </w:p>
    <w:p w14:paraId="25231CB1" w14:textId="77777777" w:rsidR="00893D5B" w:rsidRPr="000250FA" w:rsidRDefault="00893D5B" w:rsidP="00893D5B">
      <w:pPr>
        <w:pStyle w:val="Normlstilus1norml"/>
        <w:tabs>
          <w:tab w:val="left" w:pos="9781"/>
        </w:tabs>
        <w:ind w:right="-144"/>
        <w:rPr>
          <w:b/>
          <w:color w:val="auto"/>
          <w:sz w:val="22"/>
          <w:szCs w:val="22"/>
        </w:rPr>
      </w:pPr>
    </w:p>
    <w:p w14:paraId="4F106C25"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138/B. §</w:t>
      </w:r>
      <w:r w:rsidRPr="000250FA">
        <w:rPr>
          <w:color w:val="auto"/>
          <w:sz w:val="22"/>
          <w:szCs w:val="22"/>
        </w:rPr>
        <w:t xml:space="preserve"> </w:t>
      </w:r>
      <w:r w:rsidRPr="000250FA">
        <w:rPr>
          <w:rStyle w:val="Lbjegyzet-hivatkozs"/>
          <w:color w:val="auto"/>
          <w:sz w:val="22"/>
          <w:szCs w:val="22"/>
        </w:rPr>
        <w:footnoteReference w:id="422"/>
      </w:r>
      <w:r w:rsidRPr="000250FA">
        <w:rPr>
          <w:color w:val="auto"/>
          <w:sz w:val="22"/>
          <w:szCs w:val="22"/>
        </w:rPr>
        <w:t xml:space="preserve"> </w:t>
      </w:r>
      <w:r w:rsidRPr="000250FA">
        <w:rPr>
          <w:rStyle w:val="Lbjegyzet-hivatkozs"/>
          <w:color w:val="auto"/>
          <w:sz w:val="22"/>
          <w:szCs w:val="22"/>
        </w:rPr>
        <w:footnoteReference w:id="423"/>
      </w:r>
    </w:p>
    <w:p w14:paraId="4411A9F9" w14:textId="77777777" w:rsidR="00893D5B" w:rsidRPr="000250FA" w:rsidRDefault="00893D5B" w:rsidP="00893D5B">
      <w:pPr>
        <w:pStyle w:val="Normlstilus1norml"/>
        <w:tabs>
          <w:tab w:val="left" w:pos="9781"/>
        </w:tabs>
        <w:ind w:right="-144"/>
        <w:rPr>
          <w:strike/>
          <w:color w:val="auto"/>
          <w:sz w:val="22"/>
          <w:szCs w:val="22"/>
        </w:rPr>
      </w:pPr>
    </w:p>
    <w:p w14:paraId="74B289D3" w14:textId="77777777" w:rsidR="00893D5B" w:rsidRPr="000250FA" w:rsidRDefault="00893D5B" w:rsidP="00893D5B">
      <w:pPr>
        <w:pStyle w:val="Normlstilus1norml"/>
        <w:tabs>
          <w:tab w:val="left" w:pos="9781"/>
        </w:tabs>
        <w:ind w:right="-144"/>
        <w:rPr>
          <w:color w:val="auto"/>
          <w:sz w:val="22"/>
          <w:szCs w:val="22"/>
        </w:rPr>
      </w:pPr>
      <w:r w:rsidRPr="000250FA">
        <w:rPr>
          <w:b/>
          <w:color w:val="auto"/>
          <w:sz w:val="22"/>
          <w:szCs w:val="22"/>
        </w:rPr>
        <w:t>138/C. §</w:t>
      </w:r>
      <w:r w:rsidRPr="000250FA">
        <w:rPr>
          <w:color w:val="auto"/>
          <w:sz w:val="22"/>
          <w:szCs w:val="22"/>
        </w:rPr>
        <w:t xml:space="preserve"> </w:t>
      </w:r>
      <w:proofErr w:type="gramStart"/>
      <w:r w:rsidRPr="000250FA">
        <w:rPr>
          <w:color w:val="auto"/>
          <w:sz w:val="22"/>
          <w:szCs w:val="22"/>
        </w:rPr>
        <w:t>A</w:t>
      </w:r>
      <w:proofErr w:type="gramEnd"/>
      <w:r w:rsidRPr="000250FA">
        <w:rPr>
          <w:color w:val="auto"/>
          <w:sz w:val="22"/>
          <w:szCs w:val="22"/>
        </w:rPr>
        <w:t xml:space="preserve"> magasabb vezetők és vezetők vezetői </w:t>
      </w:r>
      <w:proofErr w:type="spellStart"/>
      <w:r w:rsidRPr="000250FA">
        <w:rPr>
          <w:color w:val="auto"/>
          <w:sz w:val="22"/>
          <w:szCs w:val="22"/>
        </w:rPr>
        <w:t>pótlékára</w:t>
      </w:r>
      <w:proofErr w:type="spellEnd"/>
      <w:r w:rsidRPr="000250FA">
        <w:rPr>
          <w:color w:val="auto"/>
          <w:sz w:val="22"/>
          <w:szCs w:val="22"/>
        </w:rPr>
        <w:t xml:space="preserve"> vonatkozó külön rendelkezéseket a 140.-147. § tartalmazza. A jogszabályi határok között megállapítható vezetői pótlékokat a Kollektív Szerződés – a 97§-</w:t>
      </w:r>
      <w:proofErr w:type="spellStart"/>
      <w:r w:rsidRPr="000250FA">
        <w:rPr>
          <w:color w:val="auto"/>
          <w:sz w:val="22"/>
          <w:szCs w:val="22"/>
        </w:rPr>
        <w:t>ban</w:t>
      </w:r>
      <w:proofErr w:type="spellEnd"/>
      <w:r w:rsidRPr="000250FA">
        <w:rPr>
          <w:color w:val="auto"/>
          <w:sz w:val="22"/>
          <w:szCs w:val="22"/>
        </w:rPr>
        <w:t xml:space="preserve"> meghatározott vezetői megbízások </w:t>
      </w:r>
      <w:proofErr w:type="gramStart"/>
      <w:r w:rsidRPr="000250FA">
        <w:rPr>
          <w:color w:val="auto"/>
          <w:sz w:val="22"/>
          <w:szCs w:val="22"/>
        </w:rPr>
        <w:t>konkrét</w:t>
      </w:r>
      <w:proofErr w:type="gramEnd"/>
      <w:r w:rsidRPr="000250FA">
        <w:rPr>
          <w:color w:val="auto"/>
          <w:sz w:val="22"/>
          <w:szCs w:val="22"/>
        </w:rPr>
        <w:t xml:space="preserve"> megnevezésével - meghatározhatja.</w:t>
      </w:r>
    </w:p>
    <w:p w14:paraId="005E51BA" w14:textId="77777777" w:rsidR="00893D5B" w:rsidRPr="000250FA" w:rsidRDefault="00893D5B" w:rsidP="00893D5B">
      <w:pPr>
        <w:pStyle w:val="Normlstilus1norml"/>
        <w:tabs>
          <w:tab w:val="left" w:pos="9781"/>
        </w:tabs>
        <w:ind w:right="-144"/>
        <w:jc w:val="center"/>
        <w:rPr>
          <w:b/>
          <w:bCs/>
          <w:color w:val="auto"/>
          <w:sz w:val="22"/>
          <w:szCs w:val="22"/>
        </w:rPr>
      </w:pPr>
    </w:p>
    <w:p w14:paraId="3D71F99A" w14:textId="77777777" w:rsidR="00893D5B" w:rsidRPr="000250FA" w:rsidRDefault="00893D5B" w:rsidP="00893D5B">
      <w:pPr>
        <w:pStyle w:val="Cmsor5"/>
        <w:rPr>
          <w:color w:val="auto"/>
          <w:sz w:val="22"/>
          <w:szCs w:val="22"/>
        </w:rPr>
      </w:pPr>
      <w:bookmarkStart w:id="300" w:name="_Toc432753641"/>
      <w:r w:rsidRPr="000250FA">
        <w:rPr>
          <w:color w:val="auto"/>
          <w:sz w:val="22"/>
          <w:szCs w:val="22"/>
        </w:rPr>
        <w:t>Jutalom</w:t>
      </w:r>
      <w:bookmarkEnd w:id="300"/>
    </w:p>
    <w:p w14:paraId="58816927" w14:textId="77777777" w:rsidR="00893D5B" w:rsidRPr="000250FA" w:rsidRDefault="00893D5B" w:rsidP="00893D5B">
      <w:pPr>
        <w:pStyle w:val="Normlstilus1norml"/>
        <w:tabs>
          <w:tab w:val="left" w:pos="9781"/>
        </w:tabs>
        <w:ind w:right="-144"/>
        <w:rPr>
          <w:color w:val="auto"/>
          <w:sz w:val="22"/>
          <w:szCs w:val="22"/>
        </w:rPr>
      </w:pPr>
    </w:p>
    <w:p w14:paraId="77ABEE15" w14:textId="77777777" w:rsidR="00893D5B" w:rsidRPr="000250FA" w:rsidRDefault="00893D5B" w:rsidP="00893D5B">
      <w:pPr>
        <w:pStyle w:val="Normlstilus1norml"/>
        <w:tabs>
          <w:tab w:val="left" w:pos="9781"/>
        </w:tabs>
        <w:ind w:right="-144"/>
        <w:rPr>
          <w:color w:val="auto"/>
          <w:sz w:val="22"/>
          <w:szCs w:val="22"/>
        </w:rPr>
      </w:pPr>
      <w:r w:rsidRPr="000250FA">
        <w:rPr>
          <w:b/>
          <w:bCs/>
          <w:color w:val="auto"/>
          <w:sz w:val="22"/>
          <w:szCs w:val="22"/>
        </w:rPr>
        <w:t>139. §</w:t>
      </w:r>
      <w:r w:rsidRPr="000250FA">
        <w:rPr>
          <w:color w:val="auto"/>
          <w:sz w:val="22"/>
          <w:szCs w:val="22"/>
        </w:rPr>
        <w:t>A kiemelkedő, illetőleg tartósan jó munkát végző közalkalmazottat a munkáltatói jogkör gyakorlója jutalomban részesítheti. A jutalom összege naptári évenként nem haladhatja meg a kifizetés esedékessége időpontjában a közalkalmazott kinevezés szerinti havi illetménye tizenkétszeresének harminc százalékát.</w:t>
      </w:r>
    </w:p>
    <w:p w14:paraId="19D99192" w14:textId="0B96F437" w:rsidR="00893D5B" w:rsidRDefault="00893D5B" w:rsidP="00893D5B">
      <w:pPr>
        <w:pStyle w:val="Normlstilus1norml"/>
        <w:tabs>
          <w:tab w:val="left" w:pos="9781"/>
        </w:tabs>
        <w:ind w:right="-144"/>
        <w:rPr>
          <w:b/>
          <w:bCs/>
          <w:color w:val="auto"/>
          <w:sz w:val="22"/>
          <w:szCs w:val="22"/>
        </w:rPr>
      </w:pPr>
    </w:p>
    <w:p w14:paraId="392386FF" w14:textId="4C6617DF" w:rsidR="006E5CBC" w:rsidRDefault="006E5CBC" w:rsidP="00893D5B">
      <w:pPr>
        <w:pStyle w:val="Normlstilus1norml"/>
        <w:tabs>
          <w:tab w:val="left" w:pos="9781"/>
        </w:tabs>
        <w:ind w:right="-144"/>
        <w:rPr>
          <w:b/>
          <w:bCs/>
          <w:color w:val="auto"/>
          <w:sz w:val="22"/>
          <w:szCs w:val="22"/>
        </w:rPr>
      </w:pPr>
    </w:p>
    <w:p w14:paraId="03AEA7F2" w14:textId="76D9876B" w:rsidR="006E5CBC" w:rsidRDefault="006E5CBC" w:rsidP="00893D5B">
      <w:pPr>
        <w:pStyle w:val="Normlstilus1norml"/>
        <w:tabs>
          <w:tab w:val="left" w:pos="9781"/>
        </w:tabs>
        <w:ind w:right="-144"/>
        <w:rPr>
          <w:b/>
          <w:bCs/>
          <w:color w:val="auto"/>
          <w:sz w:val="22"/>
          <w:szCs w:val="22"/>
        </w:rPr>
      </w:pPr>
    </w:p>
    <w:p w14:paraId="122D113B" w14:textId="77777777" w:rsidR="006E5CBC" w:rsidRPr="000250FA" w:rsidRDefault="006E5CBC" w:rsidP="00893D5B">
      <w:pPr>
        <w:pStyle w:val="Normlstilus1norml"/>
        <w:tabs>
          <w:tab w:val="left" w:pos="9781"/>
        </w:tabs>
        <w:ind w:right="-144"/>
        <w:rPr>
          <w:b/>
          <w:bCs/>
          <w:color w:val="auto"/>
          <w:sz w:val="22"/>
          <w:szCs w:val="22"/>
        </w:rPr>
      </w:pPr>
    </w:p>
    <w:p w14:paraId="4AB23DEB" w14:textId="77777777" w:rsidR="00893D5B" w:rsidRPr="000250FA" w:rsidRDefault="00893D5B" w:rsidP="00893D5B">
      <w:pPr>
        <w:pStyle w:val="Cmsor5"/>
        <w:rPr>
          <w:color w:val="auto"/>
          <w:sz w:val="22"/>
          <w:szCs w:val="22"/>
        </w:rPr>
      </w:pPr>
      <w:bookmarkStart w:id="301" w:name="_Toc432753642"/>
      <w:r w:rsidRPr="000250FA">
        <w:rPr>
          <w:color w:val="auto"/>
          <w:sz w:val="22"/>
          <w:szCs w:val="22"/>
        </w:rPr>
        <w:lastRenderedPageBreak/>
        <w:t>A magasabb vezetők és vezető díjazására vonatkozó szabályok</w:t>
      </w:r>
      <w:bookmarkEnd w:id="301"/>
    </w:p>
    <w:p w14:paraId="32FE3CD5" w14:textId="77777777" w:rsidR="00893D5B" w:rsidRPr="000250FA" w:rsidRDefault="00893D5B" w:rsidP="00893D5B">
      <w:pPr>
        <w:pStyle w:val="Normlstilus1norml"/>
        <w:tabs>
          <w:tab w:val="left" w:pos="9781"/>
        </w:tabs>
        <w:ind w:right="-144"/>
        <w:jc w:val="center"/>
        <w:rPr>
          <w:b/>
          <w:bCs/>
          <w:color w:val="auto"/>
          <w:sz w:val="22"/>
          <w:szCs w:val="22"/>
        </w:rPr>
      </w:pPr>
      <w:r w:rsidRPr="000250FA">
        <w:rPr>
          <w:b/>
          <w:bCs/>
          <w:color w:val="auto"/>
          <w:sz w:val="22"/>
          <w:szCs w:val="22"/>
        </w:rPr>
        <w:t>Vezetői illetménykiegészítés</w:t>
      </w:r>
    </w:p>
    <w:p w14:paraId="5E7096C3" w14:textId="77777777" w:rsidR="00893D5B" w:rsidRPr="000250FA" w:rsidRDefault="00893D5B" w:rsidP="00893D5B">
      <w:pPr>
        <w:pStyle w:val="Normlstilus1norml"/>
        <w:tabs>
          <w:tab w:val="left" w:pos="9781"/>
        </w:tabs>
        <w:ind w:right="-144"/>
        <w:rPr>
          <w:color w:val="auto"/>
          <w:sz w:val="22"/>
          <w:szCs w:val="22"/>
        </w:rPr>
      </w:pPr>
    </w:p>
    <w:p w14:paraId="20549973" w14:textId="77777777" w:rsidR="00893D5B" w:rsidRPr="000250FA" w:rsidRDefault="00893D5B" w:rsidP="00893D5B">
      <w:pPr>
        <w:tabs>
          <w:tab w:val="left" w:pos="9781"/>
        </w:tabs>
        <w:ind w:right="-144"/>
        <w:jc w:val="both"/>
        <w:rPr>
          <w:b/>
          <w:i/>
          <w:sz w:val="22"/>
          <w:szCs w:val="22"/>
        </w:rPr>
      </w:pPr>
      <w:r w:rsidRPr="000250FA">
        <w:rPr>
          <w:b/>
          <w:sz w:val="22"/>
          <w:szCs w:val="22"/>
        </w:rPr>
        <w:t>140. §</w:t>
      </w:r>
      <w:r w:rsidRPr="000250FA">
        <w:rPr>
          <w:sz w:val="22"/>
          <w:szCs w:val="22"/>
        </w:rPr>
        <w:t xml:space="preserve"> (1) A szabályzat 97. § meghatározott magasabb vezetők és vezetők vezetői illetménykiegészítésben részesülnek.</w:t>
      </w:r>
    </w:p>
    <w:p w14:paraId="688F85C0" w14:textId="77777777" w:rsidR="00893D5B" w:rsidRPr="000250FA" w:rsidRDefault="00893D5B" w:rsidP="00893D5B">
      <w:pPr>
        <w:rPr>
          <w:b/>
          <w:sz w:val="22"/>
          <w:szCs w:val="22"/>
        </w:rPr>
      </w:pPr>
    </w:p>
    <w:p w14:paraId="650B00B2" w14:textId="77777777" w:rsidR="00893D5B" w:rsidRPr="000250FA" w:rsidRDefault="00893D5B" w:rsidP="00893D5B">
      <w:pPr>
        <w:jc w:val="both"/>
        <w:rPr>
          <w:bCs/>
          <w:sz w:val="22"/>
          <w:szCs w:val="22"/>
        </w:rPr>
      </w:pPr>
      <w:r w:rsidRPr="000250FA">
        <w:rPr>
          <w:bCs/>
          <w:sz w:val="22"/>
          <w:szCs w:val="22"/>
        </w:rPr>
        <w:t>(2)</w:t>
      </w:r>
      <w:r w:rsidRPr="000250FA">
        <w:rPr>
          <w:rStyle w:val="Lbjegyzet-hivatkozs"/>
          <w:bCs/>
          <w:sz w:val="22"/>
          <w:szCs w:val="22"/>
        </w:rPr>
        <w:footnoteReference w:id="424"/>
      </w:r>
      <w:r w:rsidRPr="000250FA">
        <w:rPr>
          <w:bCs/>
          <w:sz w:val="22"/>
          <w:szCs w:val="22"/>
        </w:rPr>
        <w:t xml:space="preserve"> </w:t>
      </w:r>
      <w:r w:rsidRPr="000250FA">
        <w:rPr>
          <w:rStyle w:val="Lbjegyzet-hivatkozs"/>
          <w:bCs/>
          <w:sz w:val="22"/>
          <w:szCs w:val="22"/>
        </w:rPr>
        <w:footnoteReference w:id="425"/>
      </w:r>
      <w:r w:rsidRPr="000250FA">
        <w:rPr>
          <w:bCs/>
          <w:sz w:val="22"/>
          <w:szCs w:val="22"/>
        </w:rPr>
        <w:t xml:space="preserve"> A rektor illetménykiegészítésének feltételeit és mértékét a Szenátus javaslata alapján az oktatásért felelős miniszter</w:t>
      </w:r>
      <w:r w:rsidRPr="000250FA" w:rsidDel="00642350">
        <w:rPr>
          <w:bCs/>
          <w:i/>
          <w:sz w:val="22"/>
          <w:szCs w:val="22"/>
        </w:rPr>
        <w:t xml:space="preserve"> </w:t>
      </w:r>
      <w:r w:rsidRPr="000250FA">
        <w:rPr>
          <w:bCs/>
          <w:sz w:val="22"/>
          <w:szCs w:val="22"/>
        </w:rPr>
        <w:t>határozza meg.</w:t>
      </w:r>
    </w:p>
    <w:p w14:paraId="7226A6B8" w14:textId="77777777" w:rsidR="00893D5B" w:rsidRPr="000250FA" w:rsidRDefault="00893D5B" w:rsidP="00893D5B">
      <w:pPr>
        <w:tabs>
          <w:tab w:val="left" w:pos="9781"/>
        </w:tabs>
        <w:ind w:right="-144"/>
        <w:jc w:val="both"/>
        <w:rPr>
          <w:sz w:val="22"/>
          <w:szCs w:val="22"/>
        </w:rPr>
      </w:pPr>
    </w:p>
    <w:p w14:paraId="4FD6DCED" w14:textId="77777777" w:rsidR="00893D5B" w:rsidRPr="000250FA" w:rsidRDefault="00893D5B" w:rsidP="00893D5B">
      <w:pPr>
        <w:tabs>
          <w:tab w:val="left" w:pos="9781"/>
        </w:tabs>
        <w:ind w:right="-144"/>
        <w:jc w:val="both"/>
        <w:rPr>
          <w:sz w:val="22"/>
          <w:szCs w:val="22"/>
        </w:rPr>
      </w:pPr>
      <w:r w:rsidRPr="000250FA">
        <w:rPr>
          <w:b/>
          <w:sz w:val="22"/>
          <w:szCs w:val="22"/>
        </w:rPr>
        <w:t>141. §</w:t>
      </w:r>
      <w:r w:rsidRPr="000250FA">
        <w:rPr>
          <w:sz w:val="22"/>
          <w:szCs w:val="22"/>
        </w:rPr>
        <w:t xml:space="preserve"> (1)</w:t>
      </w:r>
      <w:r w:rsidRPr="000250FA">
        <w:rPr>
          <w:rStyle w:val="Lbjegyzet-hivatkozs"/>
          <w:sz w:val="22"/>
          <w:szCs w:val="22"/>
        </w:rPr>
        <w:footnoteReference w:id="426"/>
      </w:r>
      <w:r w:rsidRPr="000250FA">
        <w:rPr>
          <w:rStyle w:val="Lbjegyzet-hivatkozs"/>
          <w:sz w:val="22"/>
          <w:szCs w:val="22"/>
        </w:rPr>
        <w:footnoteReference w:id="427"/>
      </w:r>
      <w:r w:rsidRPr="000250FA">
        <w:rPr>
          <w:sz w:val="22"/>
          <w:szCs w:val="22"/>
        </w:rPr>
        <w:t xml:space="preserve"> A vezetői illetménykiegészítés mértékét a 142. § (1) és (2) bekezdésében foglalt magasabb vezetői és vezetői megbízások esetében az egyetemi tanári munkakör 1. fizetési fokozatára mindenkor meghatározott </w:t>
      </w:r>
      <w:proofErr w:type="gramStart"/>
      <w:r w:rsidRPr="000250FA">
        <w:rPr>
          <w:sz w:val="22"/>
          <w:szCs w:val="22"/>
        </w:rPr>
        <w:t>garantált</w:t>
      </w:r>
      <w:proofErr w:type="gramEnd"/>
      <w:r w:rsidRPr="000250FA">
        <w:rPr>
          <w:sz w:val="22"/>
          <w:szCs w:val="22"/>
        </w:rPr>
        <w:t xml:space="preserve"> illetmény figyelembevételével, annak meghatározott arányában (százalékában), egyéb esetben előre meghatározott (fix) összegben ezer forintra kerekítve kell megállapítani. </w:t>
      </w:r>
    </w:p>
    <w:p w14:paraId="00E64226" w14:textId="77777777" w:rsidR="00893D5B" w:rsidRPr="000250FA" w:rsidRDefault="00893D5B" w:rsidP="00893D5B">
      <w:pPr>
        <w:tabs>
          <w:tab w:val="left" w:pos="9781"/>
        </w:tabs>
        <w:ind w:right="-144"/>
        <w:jc w:val="both"/>
        <w:rPr>
          <w:sz w:val="22"/>
          <w:szCs w:val="22"/>
        </w:rPr>
      </w:pPr>
    </w:p>
    <w:p w14:paraId="1C845B50" w14:textId="77777777" w:rsidR="00893D5B" w:rsidRPr="000250FA" w:rsidRDefault="00893D5B" w:rsidP="00893D5B">
      <w:pPr>
        <w:tabs>
          <w:tab w:val="left" w:pos="9781"/>
        </w:tabs>
        <w:ind w:right="-144"/>
        <w:jc w:val="both"/>
        <w:rPr>
          <w:sz w:val="22"/>
          <w:szCs w:val="22"/>
        </w:rPr>
      </w:pPr>
      <w:r w:rsidRPr="000250FA">
        <w:rPr>
          <w:sz w:val="22"/>
          <w:szCs w:val="22"/>
        </w:rPr>
        <w:t>(2) A 97. § (1) és (2) bekezdésben felsorolt vezetői tevékenységet, valamint a tevékenységet ideiglenes megbízás alapján ellátó személyek a megbízás időtartamára a 135. §-</w:t>
      </w:r>
      <w:proofErr w:type="spellStart"/>
      <w:r w:rsidRPr="000250FA">
        <w:rPr>
          <w:sz w:val="22"/>
          <w:szCs w:val="22"/>
        </w:rPr>
        <w:t>ban</w:t>
      </w:r>
      <w:proofErr w:type="spellEnd"/>
      <w:r w:rsidRPr="000250FA">
        <w:rPr>
          <w:sz w:val="22"/>
          <w:szCs w:val="22"/>
        </w:rPr>
        <w:t xml:space="preserve"> említett vezetői illetménykiegészítésre jogosultak. A távollévő vezetőt helyettesítő személy a munkáltatói jogkör gyakorlójának eseti döntése alapján részesülhet vezetői illetménykiegészítésben, feltéve, hogy a távollét időtartamára a vezető vezetői illetménykiegészítésben nem részesül.</w:t>
      </w:r>
    </w:p>
    <w:p w14:paraId="1CAFC5B0" w14:textId="77777777" w:rsidR="00893D5B" w:rsidRPr="000250FA" w:rsidRDefault="00893D5B" w:rsidP="00893D5B">
      <w:pPr>
        <w:tabs>
          <w:tab w:val="left" w:pos="9781"/>
        </w:tabs>
        <w:ind w:right="-144"/>
        <w:jc w:val="both"/>
        <w:rPr>
          <w:sz w:val="22"/>
          <w:szCs w:val="22"/>
        </w:rPr>
      </w:pPr>
    </w:p>
    <w:p w14:paraId="1E3FA3B4" w14:textId="77777777" w:rsidR="00893D5B" w:rsidRPr="000250FA" w:rsidRDefault="00893D5B" w:rsidP="00893D5B">
      <w:pPr>
        <w:tabs>
          <w:tab w:val="left" w:pos="9781"/>
        </w:tabs>
        <w:ind w:right="-144"/>
        <w:jc w:val="both"/>
        <w:rPr>
          <w:sz w:val="22"/>
          <w:szCs w:val="22"/>
        </w:rPr>
      </w:pPr>
      <w:r w:rsidRPr="000250FA">
        <w:rPr>
          <w:b/>
          <w:bCs/>
          <w:sz w:val="22"/>
          <w:szCs w:val="22"/>
        </w:rPr>
        <w:t xml:space="preserve">142. § </w:t>
      </w:r>
      <w:r w:rsidRPr="000250FA">
        <w:rPr>
          <w:sz w:val="22"/>
          <w:szCs w:val="22"/>
        </w:rPr>
        <w:t>(1)</w:t>
      </w:r>
      <w:r w:rsidRPr="000250FA">
        <w:rPr>
          <w:rStyle w:val="Lbjegyzet-hivatkozs"/>
          <w:sz w:val="22"/>
          <w:szCs w:val="22"/>
        </w:rPr>
        <w:footnoteReference w:id="428"/>
      </w:r>
      <w:r w:rsidRPr="000250FA">
        <w:rPr>
          <w:sz w:val="22"/>
          <w:szCs w:val="22"/>
        </w:rPr>
        <w:t xml:space="preserve"> </w:t>
      </w:r>
      <w:r w:rsidRPr="000250FA">
        <w:rPr>
          <w:rStyle w:val="Lbjegyzet-hivatkozs"/>
          <w:sz w:val="22"/>
          <w:szCs w:val="22"/>
        </w:rPr>
        <w:footnoteReference w:id="429"/>
      </w:r>
      <w:r w:rsidRPr="000250FA">
        <w:rPr>
          <w:sz w:val="22"/>
          <w:szCs w:val="22"/>
        </w:rPr>
        <w:t xml:space="preserve"> </w:t>
      </w:r>
      <w:r w:rsidRPr="000250FA">
        <w:rPr>
          <w:rStyle w:val="Lbjegyzet-hivatkozs"/>
          <w:sz w:val="22"/>
          <w:szCs w:val="22"/>
        </w:rPr>
        <w:footnoteReference w:id="430"/>
      </w:r>
      <w:r w:rsidRPr="000250FA">
        <w:rPr>
          <w:sz w:val="22"/>
          <w:szCs w:val="22"/>
        </w:rPr>
        <w:t>Az egyes magasabb vezetői megbízások esetében a vezetői illetménykiegészítés mértékét a rektor határozza meg azzal, hogy legalább az alábbi, a 141.§ (1) bekezdésében meghatározott arányszámot kell alkalmazni:</w:t>
      </w:r>
    </w:p>
    <w:p w14:paraId="0A77F969" w14:textId="77777777" w:rsidR="00893D5B" w:rsidRPr="000250FA" w:rsidRDefault="00893D5B" w:rsidP="00893D5B">
      <w:pPr>
        <w:tabs>
          <w:tab w:val="left" w:pos="9781"/>
        </w:tabs>
        <w:ind w:right="-144"/>
        <w:jc w:val="both"/>
        <w:rPr>
          <w:sz w:val="22"/>
          <w:szCs w:val="22"/>
        </w:rPr>
      </w:pPr>
    </w:p>
    <w:tbl>
      <w:tblPr>
        <w:tblW w:w="92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11"/>
        <w:gridCol w:w="1122"/>
      </w:tblGrid>
      <w:tr w:rsidR="00893D5B" w:rsidRPr="000250FA" w14:paraId="60B83144" w14:textId="77777777" w:rsidTr="00026782">
        <w:tc>
          <w:tcPr>
            <w:tcW w:w="8111" w:type="dxa"/>
            <w:tcBorders>
              <w:top w:val="single" w:sz="6" w:space="0" w:color="auto"/>
              <w:left w:val="single" w:sz="6" w:space="0" w:color="auto"/>
              <w:bottom w:val="single" w:sz="6" w:space="0" w:color="auto"/>
              <w:right w:val="single" w:sz="6" w:space="0" w:color="auto"/>
            </w:tcBorders>
          </w:tcPr>
          <w:p w14:paraId="37A7F824" w14:textId="77777777" w:rsidR="00893D5B" w:rsidRPr="000250FA" w:rsidRDefault="00893D5B" w:rsidP="00026782">
            <w:pPr>
              <w:tabs>
                <w:tab w:val="left" w:pos="9781"/>
              </w:tabs>
              <w:ind w:right="-144"/>
              <w:jc w:val="both"/>
              <w:rPr>
                <w:b/>
                <w:sz w:val="22"/>
                <w:szCs w:val="22"/>
              </w:rPr>
            </w:pPr>
            <w:r w:rsidRPr="000250FA">
              <w:rPr>
                <w:b/>
                <w:sz w:val="22"/>
                <w:szCs w:val="22"/>
              </w:rPr>
              <w:t>Magasabb vezetői megbízások</w:t>
            </w:r>
          </w:p>
        </w:tc>
        <w:tc>
          <w:tcPr>
            <w:tcW w:w="1122" w:type="dxa"/>
            <w:tcBorders>
              <w:top w:val="single" w:sz="6" w:space="0" w:color="auto"/>
              <w:left w:val="single" w:sz="6" w:space="0" w:color="auto"/>
              <w:bottom w:val="single" w:sz="6" w:space="0" w:color="auto"/>
              <w:right w:val="single" w:sz="6" w:space="0" w:color="auto"/>
            </w:tcBorders>
          </w:tcPr>
          <w:p w14:paraId="41E747BF" w14:textId="77777777" w:rsidR="00893D5B" w:rsidRPr="000250FA" w:rsidRDefault="00893D5B" w:rsidP="00026782">
            <w:pPr>
              <w:tabs>
                <w:tab w:val="left" w:pos="9781"/>
              </w:tabs>
              <w:ind w:right="-144"/>
              <w:jc w:val="both"/>
              <w:rPr>
                <w:b/>
                <w:sz w:val="22"/>
                <w:szCs w:val="22"/>
              </w:rPr>
            </w:pPr>
            <w:r w:rsidRPr="000250FA">
              <w:rPr>
                <w:b/>
                <w:sz w:val="22"/>
                <w:szCs w:val="22"/>
              </w:rPr>
              <w:t>%</w:t>
            </w:r>
          </w:p>
        </w:tc>
      </w:tr>
      <w:tr w:rsidR="00893D5B" w:rsidRPr="000250FA" w14:paraId="60769D6E" w14:textId="77777777" w:rsidTr="00026782">
        <w:tc>
          <w:tcPr>
            <w:tcW w:w="8111" w:type="dxa"/>
            <w:tcBorders>
              <w:top w:val="single" w:sz="6" w:space="0" w:color="auto"/>
              <w:left w:val="single" w:sz="6" w:space="0" w:color="auto"/>
              <w:bottom w:val="single" w:sz="6" w:space="0" w:color="auto"/>
              <w:right w:val="single" w:sz="6" w:space="0" w:color="auto"/>
            </w:tcBorders>
          </w:tcPr>
          <w:p w14:paraId="1546F777" w14:textId="77777777" w:rsidR="00893D5B" w:rsidRPr="000250FA" w:rsidRDefault="00893D5B" w:rsidP="00026782">
            <w:pPr>
              <w:tabs>
                <w:tab w:val="left" w:pos="9781"/>
              </w:tabs>
              <w:ind w:right="-144"/>
              <w:jc w:val="both"/>
              <w:rPr>
                <w:sz w:val="22"/>
                <w:szCs w:val="22"/>
              </w:rPr>
            </w:pPr>
            <w:r w:rsidRPr="000250FA">
              <w:rPr>
                <w:sz w:val="22"/>
                <w:szCs w:val="22"/>
              </w:rPr>
              <w:t>általános rektorhelyettes</w:t>
            </w:r>
          </w:p>
        </w:tc>
        <w:tc>
          <w:tcPr>
            <w:tcW w:w="1122" w:type="dxa"/>
            <w:tcBorders>
              <w:top w:val="single" w:sz="6" w:space="0" w:color="auto"/>
              <w:left w:val="single" w:sz="6" w:space="0" w:color="auto"/>
              <w:bottom w:val="single" w:sz="6" w:space="0" w:color="auto"/>
              <w:right w:val="single" w:sz="6" w:space="0" w:color="auto"/>
            </w:tcBorders>
          </w:tcPr>
          <w:p w14:paraId="5E904A13" w14:textId="77777777" w:rsidR="00893D5B" w:rsidRPr="000250FA" w:rsidRDefault="00893D5B" w:rsidP="00026782">
            <w:pPr>
              <w:tabs>
                <w:tab w:val="left" w:pos="9781"/>
              </w:tabs>
              <w:ind w:right="-144"/>
              <w:jc w:val="both"/>
              <w:rPr>
                <w:sz w:val="22"/>
                <w:szCs w:val="22"/>
              </w:rPr>
            </w:pPr>
            <w:r w:rsidRPr="000250FA">
              <w:rPr>
                <w:sz w:val="22"/>
                <w:szCs w:val="22"/>
              </w:rPr>
              <w:t>168</w:t>
            </w:r>
          </w:p>
        </w:tc>
      </w:tr>
      <w:tr w:rsidR="00893D5B" w:rsidRPr="000250FA" w14:paraId="5BE0EAD5" w14:textId="77777777" w:rsidTr="00026782">
        <w:tc>
          <w:tcPr>
            <w:tcW w:w="8111" w:type="dxa"/>
            <w:tcBorders>
              <w:top w:val="single" w:sz="6" w:space="0" w:color="auto"/>
              <w:left w:val="single" w:sz="6" w:space="0" w:color="auto"/>
              <w:bottom w:val="single" w:sz="6" w:space="0" w:color="auto"/>
              <w:right w:val="single" w:sz="6" w:space="0" w:color="auto"/>
            </w:tcBorders>
          </w:tcPr>
          <w:p w14:paraId="41827FB2" w14:textId="77777777" w:rsidR="00893D5B" w:rsidRPr="000250FA" w:rsidRDefault="00893D5B" w:rsidP="00026782">
            <w:pPr>
              <w:tabs>
                <w:tab w:val="left" w:pos="9781"/>
              </w:tabs>
              <w:ind w:right="-144"/>
              <w:jc w:val="both"/>
              <w:rPr>
                <w:sz w:val="22"/>
                <w:szCs w:val="22"/>
              </w:rPr>
            </w:pPr>
            <w:r w:rsidRPr="000250FA">
              <w:rPr>
                <w:sz w:val="22"/>
                <w:szCs w:val="22"/>
              </w:rPr>
              <w:t>rektorhelyettesek</w:t>
            </w:r>
          </w:p>
        </w:tc>
        <w:tc>
          <w:tcPr>
            <w:tcW w:w="1122" w:type="dxa"/>
            <w:tcBorders>
              <w:top w:val="single" w:sz="6" w:space="0" w:color="auto"/>
              <w:left w:val="single" w:sz="6" w:space="0" w:color="auto"/>
              <w:bottom w:val="single" w:sz="6" w:space="0" w:color="auto"/>
              <w:right w:val="single" w:sz="6" w:space="0" w:color="auto"/>
            </w:tcBorders>
          </w:tcPr>
          <w:p w14:paraId="4669975F" w14:textId="77777777" w:rsidR="00893D5B" w:rsidRPr="000250FA" w:rsidRDefault="00893D5B" w:rsidP="00026782">
            <w:pPr>
              <w:tabs>
                <w:tab w:val="left" w:pos="9781"/>
              </w:tabs>
              <w:ind w:right="-144"/>
              <w:jc w:val="both"/>
              <w:rPr>
                <w:sz w:val="22"/>
                <w:szCs w:val="22"/>
              </w:rPr>
            </w:pPr>
            <w:r w:rsidRPr="000250FA">
              <w:rPr>
                <w:sz w:val="22"/>
                <w:szCs w:val="22"/>
              </w:rPr>
              <w:t>147</w:t>
            </w:r>
          </w:p>
        </w:tc>
      </w:tr>
      <w:tr w:rsidR="00893D5B" w:rsidRPr="000250FA" w14:paraId="645F00B7" w14:textId="77777777" w:rsidTr="00026782">
        <w:tc>
          <w:tcPr>
            <w:tcW w:w="8111" w:type="dxa"/>
            <w:tcBorders>
              <w:top w:val="single" w:sz="6" w:space="0" w:color="auto"/>
              <w:left w:val="single" w:sz="6" w:space="0" w:color="auto"/>
              <w:bottom w:val="single" w:sz="6" w:space="0" w:color="auto"/>
              <w:right w:val="single" w:sz="6" w:space="0" w:color="auto"/>
            </w:tcBorders>
          </w:tcPr>
          <w:p w14:paraId="5E9DC69E" w14:textId="77777777" w:rsidR="00893D5B" w:rsidRPr="000250FA" w:rsidRDefault="00893D5B" w:rsidP="00026782">
            <w:pPr>
              <w:tabs>
                <w:tab w:val="left" w:pos="9781"/>
              </w:tabs>
              <w:ind w:right="-144"/>
              <w:jc w:val="both"/>
              <w:rPr>
                <w:sz w:val="22"/>
                <w:szCs w:val="22"/>
              </w:rPr>
            </w:pPr>
            <w:r w:rsidRPr="000250FA">
              <w:rPr>
                <w:sz w:val="22"/>
                <w:szCs w:val="22"/>
              </w:rPr>
              <w:t>dékán</w:t>
            </w:r>
          </w:p>
        </w:tc>
        <w:tc>
          <w:tcPr>
            <w:tcW w:w="1122" w:type="dxa"/>
            <w:tcBorders>
              <w:top w:val="single" w:sz="6" w:space="0" w:color="auto"/>
              <w:left w:val="single" w:sz="6" w:space="0" w:color="auto"/>
              <w:bottom w:val="single" w:sz="6" w:space="0" w:color="auto"/>
              <w:right w:val="single" w:sz="6" w:space="0" w:color="auto"/>
            </w:tcBorders>
          </w:tcPr>
          <w:p w14:paraId="65D9820C" w14:textId="77777777" w:rsidR="00893D5B" w:rsidRPr="000250FA" w:rsidRDefault="00893D5B" w:rsidP="00026782">
            <w:pPr>
              <w:tabs>
                <w:tab w:val="left" w:pos="9781"/>
              </w:tabs>
              <w:ind w:right="-144"/>
              <w:jc w:val="both"/>
              <w:rPr>
                <w:sz w:val="22"/>
                <w:szCs w:val="22"/>
              </w:rPr>
            </w:pPr>
            <w:r w:rsidRPr="000250FA">
              <w:rPr>
                <w:sz w:val="22"/>
                <w:szCs w:val="22"/>
              </w:rPr>
              <w:t>147</w:t>
            </w:r>
          </w:p>
        </w:tc>
      </w:tr>
      <w:tr w:rsidR="00893D5B" w:rsidRPr="000250FA" w14:paraId="30986C99" w14:textId="77777777" w:rsidTr="00026782">
        <w:tc>
          <w:tcPr>
            <w:tcW w:w="8111" w:type="dxa"/>
            <w:tcBorders>
              <w:top w:val="single" w:sz="6" w:space="0" w:color="auto"/>
              <w:left w:val="single" w:sz="6" w:space="0" w:color="auto"/>
              <w:bottom w:val="single" w:sz="6" w:space="0" w:color="auto"/>
              <w:right w:val="single" w:sz="6" w:space="0" w:color="auto"/>
            </w:tcBorders>
          </w:tcPr>
          <w:p w14:paraId="2BAB5E13" w14:textId="77777777" w:rsidR="00893D5B" w:rsidRPr="000250FA" w:rsidRDefault="00893D5B" w:rsidP="00026782">
            <w:pPr>
              <w:tabs>
                <w:tab w:val="left" w:pos="9781"/>
              </w:tabs>
              <w:ind w:right="-144"/>
              <w:jc w:val="both"/>
              <w:rPr>
                <w:strike/>
                <w:sz w:val="22"/>
                <w:szCs w:val="22"/>
              </w:rPr>
            </w:pPr>
            <w:r w:rsidRPr="000250FA">
              <w:rPr>
                <w:sz w:val="22"/>
                <w:szCs w:val="22"/>
              </w:rPr>
              <w:t>Klinikai Központ elnöke</w:t>
            </w:r>
          </w:p>
        </w:tc>
        <w:tc>
          <w:tcPr>
            <w:tcW w:w="1122" w:type="dxa"/>
            <w:tcBorders>
              <w:top w:val="single" w:sz="6" w:space="0" w:color="auto"/>
              <w:left w:val="single" w:sz="6" w:space="0" w:color="auto"/>
              <w:bottom w:val="single" w:sz="6" w:space="0" w:color="auto"/>
              <w:right w:val="single" w:sz="6" w:space="0" w:color="auto"/>
            </w:tcBorders>
          </w:tcPr>
          <w:p w14:paraId="6844C076" w14:textId="77777777" w:rsidR="00893D5B" w:rsidRPr="000250FA" w:rsidRDefault="00893D5B" w:rsidP="00026782">
            <w:pPr>
              <w:tabs>
                <w:tab w:val="left" w:pos="9781"/>
              </w:tabs>
              <w:ind w:right="-144"/>
              <w:jc w:val="both"/>
              <w:rPr>
                <w:sz w:val="22"/>
                <w:szCs w:val="22"/>
              </w:rPr>
            </w:pPr>
            <w:r w:rsidRPr="000250FA">
              <w:rPr>
                <w:sz w:val="22"/>
                <w:szCs w:val="22"/>
              </w:rPr>
              <w:t>147</w:t>
            </w:r>
          </w:p>
        </w:tc>
      </w:tr>
      <w:tr w:rsidR="00893D5B" w:rsidRPr="000250FA" w14:paraId="56ED2042" w14:textId="77777777" w:rsidTr="00026782">
        <w:tc>
          <w:tcPr>
            <w:tcW w:w="8111" w:type="dxa"/>
            <w:tcBorders>
              <w:top w:val="single" w:sz="6" w:space="0" w:color="auto"/>
              <w:left w:val="single" w:sz="6" w:space="0" w:color="auto"/>
              <w:bottom w:val="single" w:sz="6" w:space="0" w:color="auto"/>
              <w:right w:val="single" w:sz="6" w:space="0" w:color="auto"/>
            </w:tcBorders>
          </w:tcPr>
          <w:p w14:paraId="628AFB7A" w14:textId="77777777" w:rsidR="00893D5B" w:rsidRPr="000250FA" w:rsidRDefault="00893D5B" w:rsidP="00026782">
            <w:pPr>
              <w:tabs>
                <w:tab w:val="left" w:pos="9781"/>
              </w:tabs>
              <w:ind w:right="-144"/>
              <w:jc w:val="both"/>
              <w:rPr>
                <w:sz w:val="22"/>
                <w:szCs w:val="22"/>
              </w:rPr>
            </w:pPr>
            <w:r w:rsidRPr="000250FA">
              <w:rPr>
                <w:sz w:val="22"/>
                <w:szCs w:val="22"/>
              </w:rPr>
              <w:t>Egyetemi Könyvtár főigazgatója</w:t>
            </w:r>
          </w:p>
        </w:tc>
        <w:tc>
          <w:tcPr>
            <w:tcW w:w="1122" w:type="dxa"/>
            <w:tcBorders>
              <w:top w:val="single" w:sz="6" w:space="0" w:color="auto"/>
              <w:left w:val="single" w:sz="6" w:space="0" w:color="auto"/>
              <w:bottom w:val="single" w:sz="6" w:space="0" w:color="auto"/>
              <w:right w:val="single" w:sz="6" w:space="0" w:color="auto"/>
            </w:tcBorders>
          </w:tcPr>
          <w:p w14:paraId="08DE659E" w14:textId="77777777" w:rsidR="00893D5B" w:rsidRPr="000250FA" w:rsidRDefault="00893D5B" w:rsidP="00026782">
            <w:pPr>
              <w:tabs>
                <w:tab w:val="left" w:pos="9781"/>
              </w:tabs>
              <w:ind w:right="-144"/>
              <w:jc w:val="both"/>
              <w:rPr>
                <w:sz w:val="22"/>
                <w:szCs w:val="22"/>
              </w:rPr>
            </w:pPr>
            <w:r w:rsidRPr="000250FA">
              <w:rPr>
                <w:sz w:val="22"/>
                <w:szCs w:val="22"/>
              </w:rPr>
              <w:t>147</w:t>
            </w:r>
          </w:p>
        </w:tc>
      </w:tr>
      <w:tr w:rsidR="00893D5B" w:rsidRPr="000250FA" w14:paraId="73A1BBE7" w14:textId="77777777" w:rsidTr="00026782">
        <w:tc>
          <w:tcPr>
            <w:tcW w:w="8111" w:type="dxa"/>
            <w:tcBorders>
              <w:top w:val="single" w:sz="6" w:space="0" w:color="auto"/>
              <w:left w:val="single" w:sz="6" w:space="0" w:color="auto"/>
              <w:bottom w:val="single" w:sz="6" w:space="0" w:color="auto"/>
              <w:right w:val="single" w:sz="6" w:space="0" w:color="auto"/>
            </w:tcBorders>
          </w:tcPr>
          <w:p w14:paraId="61FB7737" w14:textId="77777777" w:rsidR="00893D5B" w:rsidRPr="000250FA" w:rsidRDefault="00893D5B" w:rsidP="00026782">
            <w:pPr>
              <w:tabs>
                <w:tab w:val="left" w:pos="9781"/>
              </w:tabs>
              <w:ind w:right="-144"/>
              <w:jc w:val="both"/>
              <w:rPr>
                <w:sz w:val="22"/>
                <w:szCs w:val="22"/>
              </w:rPr>
            </w:pPr>
            <w:r w:rsidRPr="000250FA">
              <w:rPr>
                <w:sz w:val="22"/>
                <w:szCs w:val="22"/>
              </w:rPr>
              <w:t>Egyetemi Könyvtár főigazgató-helyettes</w:t>
            </w:r>
          </w:p>
        </w:tc>
        <w:tc>
          <w:tcPr>
            <w:tcW w:w="1122" w:type="dxa"/>
            <w:tcBorders>
              <w:top w:val="single" w:sz="6" w:space="0" w:color="auto"/>
              <w:left w:val="single" w:sz="6" w:space="0" w:color="auto"/>
              <w:bottom w:val="single" w:sz="6" w:space="0" w:color="auto"/>
              <w:right w:val="single" w:sz="6" w:space="0" w:color="auto"/>
            </w:tcBorders>
          </w:tcPr>
          <w:p w14:paraId="071960C3" w14:textId="77777777" w:rsidR="00893D5B" w:rsidRPr="000250FA" w:rsidRDefault="00893D5B" w:rsidP="00026782">
            <w:pPr>
              <w:tabs>
                <w:tab w:val="left" w:pos="9781"/>
              </w:tabs>
              <w:ind w:right="-144"/>
              <w:jc w:val="both"/>
              <w:rPr>
                <w:sz w:val="22"/>
                <w:szCs w:val="22"/>
              </w:rPr>
            </w:pPr>
            <w:r w:rsidRPr="000250FA">
              <w:rPr>
                <w:sz w:val="22"/>
                <w:szCs w:val="22"/>
              </w:rPr>
              <w:t>42</w:t>
            </w:r>
          </w:p>
        </w:tc>
      </w:tr>
      <w:tr w:rsidR="00893D5B" w:rsidRPr="000250FA" w14:paraId="6072C4A5" w14:textId="77777777" w:rsidTr="00026782">
        <w:tc>
          <w:tcPr>
            <w:tcW w:w="8111" w:type="dxa"/>
            <w:tcBorders>
              <w:top w:val="single" w:sz="6" w:space="0" w:color="auto"/>
              <w:left w:val="single" w:sz="6" w:space="0" w:color="auto"/>
              <w:bottom w:val="single" w:sz="6" w:space="0" w:color="auto"/>
              <w:right w:val="single" w:sz="6" w:space="0" w:color="auto"/>
            </w:tcBorders>
          </w:tcPr>
          <w:p w14:paraId="1EB28D6C" w14:textId="77777777" w:rsidR="00893D5B" w:rsidRPr="000250FA" w:rsidRDefault="00893D5B" w:rsidP="00026782">
            <w:pPr>
              <w:tabs>
                <w:tab w:val="left" w:pos="9781"/>
              </w:tabs>
              <w:ind w:right="-144"/>
              <w:jc w:val="both"/>
              <w:rPr>
                <w:sz w:val="22"/>
                <w:szCs w:val="22"/>
              </w:rPr>
            </w:pPr>
            <w:r w:rsidRPr="000250FA">
              <w:rPr>
                <w:sz w:val="22"/>
                <w:szCs w:val="22"/>
              </w:rPr>
              <w:t>Levéltár igazgatója</w:t>
            </w:r>
          </w:p>
        </w:tc>
        <w:tc>
          <w:tcPr>
            <w:tcW w:w="1122" w:type="dxa"/>
            <w:tcBorders>
              <w:top w:val="single" w:sz="6" w:space="0" w:color="auto"/>
              <w:left w:val="single" w:sz="6" w:space="0" w:color="auto"/>
              <w:bottom w:val="single" w:sz="6" w:space="0" w:color="auto"/>
              <w:right w:val="single" w:sz="6" w:space="0" w:color="auto"/>
            </w:tcBorders>
          </w:tcPr>
          <w:p w14:paraId="42E82F7E" w14:textId="77777777" w:rsidR="00893D5B" w:rsidRPr="000250FA" w:rsidRDefault="00893D5B" w:rsidP="00026782">
            <w:pPr>
              <w:tabs>
                <w:tab w:val="left" w:pos="9781"/>
              </w:tabs>
              <w:ind w:right="-144"/>
              <w:jc w:val="both"/>
              <w:rPr>
                <w:sz w:val="22"/>
                <w:szCs w:val="22"/>
              </w:rPr>
            </w:pPr>
            <w:r w:rsidRPr="000250FA">
              <w:rPr>
                <w:sz w:val="22"/>
                <w:szCs w:val="22"/>
              </w:rPr>
              <w:t>42</w:t>
            </w:r>
          </w:p>
        </w:tc>
      </w:tr>
    </w:tbl>
    <w:p w14:paraId="2DEEDFE9" w14:textId="77777777" w:rsidR="00893D5B" w:rsidRPr="000250FA" w:rsidRDefault="00893D5B" w:rsidP="00893D5B">
      <w:pPr>
        <w:tabs>
          <w:tab w:val="left" w:pos="9781"/>
        </w:tabs>
        <w:ind w:right="-144"/>
        <w:jc w:val="both"/>
        <w:rPr>
          <w:sz w:val="22"/>
          <w:szCs w:val="22"/>
        </w:rPr>
      </w:pPr>
    </w:p>
    <w:p w14:paraId="4010ABAF" w14:textId="77777777" w:rsidR="00893D5B" w:rsidRPr="000250FA" w:rsidRDefault="00893D5B" w:rsidP="00893D5B">
      <w:pPr>
        <w:tabs>
          <w:tab w:val="left" w:pos="9781"/>
        </w:tabs>
        <w:ind w:right="-144"/>
        <w:jc w:val="both"/>
        <w:rPr>
          <w:sz w:val="22"/>
          <w:szCs w:val="22"/>
        </w:rPr>
      </w:pPr>
      <w:r w:rsidRPr="000250FA">
        <w:rPr>
          <w:rStyle w:val="Lbjegyzet-hivatkozs"/>
          <w:sz w:val="22"/>
          <w:szCs w:val="22"/>
        </w:rPr>
        <w:footnoteReference w:id="431"/>
      </w:r>
    </w:p>
    <w:p w14:paraId="5A9741B3" w14:textId="77777777" w:rsidR="00893D5B" w:rsidRPr="000250FA" w:rsidRDefault="00893D5B" w:rsidP="00893D5B">
      <w:pPr>
        <w:tabs>
          <w:tab w:val="left" w:pos="9781"/>
        </w:tabs>
        <w:ind w:right="-144"/>
        <w:jc w:val="both"/>
        <w:rPr>
          <w:sz w:val="22"/>
          <w:szCs w:val="22"/>
        </w:rPr>
      </w:pPr>
      <w:r w:rsidRPr="000250FA">
        <w:rPr>
          <w:sz w:val="22"/>
          <w:szCs w:val="22"/>
        </w:rPr>
        <w:t>(2) A dékánhelyettes(</w:t>
      </w:r>
      <w:proofErr w:type="spellStart"/>
      <w:r w:rsidRPr="000250FA">
        <w:rPr>
          <w:sz w:val="22"/>
          <w:szCs w:val="22"/>
        </w:rPr>
        <w:t>ek</w:t>
      </w:r>
      <w:proofErr w:type="spellEnd"/>
      <w:r w:rsidRPr="000250FA">
        <w:rPr>
          <w:sz w:val="22"/>
          <w:szCs w:val="22"/>
        </w:rPr>
        <w:t xml:space="preserve">) vezetői illetménykiegészítésének mértéke a dékán javaslatára, a Kari Tanács döntése alapján legalább az egyetemi tanári munkakör 1. fizetési fokozatára mindenkor meghatározott </w:t>
      </w:r>
      <w:proofErr w:type="gramStart"/>
      <w:r w:rsidRPr="000250FA">
        <w:rPr>
          <w:sz w:val="22"/>
          <w:szCs w:val="22"/>
        </w:rPr>
        <w:t>garantált</w:t>
      </w:r>
      <w:proofErr w:type="gramEnd"/>
      <w:r w:rsidRPr="000250FA">
        <w:rPr>
          <w:sz w:val="22"/>
          <w:szCs w:val="22"/>
        </w:rPr>
        <w:t xml:space="preserve"> illetmény 42%-a.</w:t>
      </w:r>
    </w:p>
    <w:p w14:paraId="77C043CB" w14:textId="77777777" w:rsidR="00893D5B" w:rsidRPr="000250FA" w:rsidRDefault="00893D5B" w:rsidP="00893D5B">
      <w:pPr>
        <w:tabs>
          <w:tab w:val="left" w:pos="9781"/>
        </w:tabs>
        <w:ind w:right="-144"/>
        <w:jc w:val="both"/>
        <w:rPr>
          <w:sz w:val="22"/>
          <w:szCs w:val="22"/>
        </w:rPr>
      </w:pPr>
    </w:p>
    <w:p w14:paraId="25F5C5CC" w14:textId="77777777" w:rsidR="00893D5B" w:rsidRPr="000250FA" w:rsidRDefault="00893D5B" w:rsidP="00893D5B">
      <w:pPr>
        <w:tabs>
          <w:tab w:val="left" w:pos="9781"/>
        </w:tabs>
        <w:ind w:right="-144"/>
        <w:jc w:val="both"/>
        <w:rPr>
          <w:sz w:val="22"/>
          <w:szCs w:val="22"/>
        </w:rPr>
      </w:pPr>
      <w:r w:rsidRPr="000250FA">
        <w:rPr>
          <w:sz w:val="22"/>
          <w:szCs w:val="22"/>
        </w:rPr>
        <w:t xml:space="preserve">(3) </w:t>
      </w:r>
    </w:p>
    <w:p w14:paraId="60B1F11C" w14:textId="77777777" w:rsidR="00893D5B" w:rsidRPr="000250FA" w:rsidRDefault="00893D5B" w:rsidP="00893D5B">
      <w:pPr>
        <w:tabs>
          <w:tab w:val="left" w:pos="9781"/>
        </w:tabs>
        <w:ind w:right="-144"/>
        <w:jc w:val="both"/>
        <w:rPr>
          <w:sz w:val="22"/>
          <w:szCs w:val="22"/>
        </w:rPr>
      </w:pPr>
    </w:p>
    <w:p w14:paraId="257B9C62" w14:textId="77777777" w:rsidR="00893D5B" w:rsidRPr="000250FA" w:rsidRDefault="00893D5B" w:rsidP="00893D5B">
      <w:pPr>
        <w:tabs>
          <w:tab w:val="left" w:pos="9781"/>
        </w:tabs>
        <w:ind w:right="-144"/>
        <w:jc w:val="both"/>
        <w:rPr>
          <w:sz w:val="22"/>
          <w:szCs w:val="22"/>
        </w:rPr>
      </w:pPr>
      <w:r w:rsidRPr="000250FA">
        <w:rPr>
          <w:sz w:val="22"/>
          <w:szCs w:val="22"/>
        </w:rPr>
        <w:t>(4)</w:t>
      </w:r>
      <w:r w:rsidRPr="000250FA">
        <w:rPr>
          <w:b/>
          <w:sz w:val="22"/>
          <w:szCs w:val="22"/>
          <w:vertAlign w:val="superscript"/>
        </w:rPr>
        <w:footnoteReference w:id="432"/>
      </w:r>
      <w:r w:rsidRPr="000250FA">
        <w:rPr>
          <w:sz w:val="22"/>
          <w:szCs w:val="22"/>
        </w:rPr>
        <w:t xml:space="preserve"> </w:t>
      </w:r>
      <w:r w:rsidRPr="000250FA">
        <w:rPr>
          <w:rStyle w:val="Lbjegyzet-hivatkozs"/>
          <w:sz w:val="22"/>
          <w:szCs w:val="22"/>
        </w:rPr>
        <w:footnoteReference w:id="433"/>
      </w:r>
      <w:r w:rsidRPr="000250FA">
        <w:rPr>
          <w:sz w:val="22"/>
          <w:szCs w:val="22"/>
        </w:rPr>
        <w:t>A szabályzat 97. § (1) és (2)</w:t>
      </w:r>
      <w:r w:rsidRPr="000250FA">
        <w:rPr>
          <w:b/>
          <w:i/>
          <w:sz w:val="22"/>
          <w:szCs w:val="22"/>
        </w:rPr>
        <w:t xml:space="preserve"> </w:t>
      </w:r>
      <w:r w:rsidRPr="000250FA">
        <w:rPr>
          <w:sz w:val="22"/>
          <w:szCs w:val="22"/>
        </w:rPr>
        <w:t>bekezdésében meghatározott szervezetek vezetőinek illetménykiegészítését a képzett hallgatók létszámára</w:t>
      </w:r>
      <w:r w:rsidRPr="000250FA">
        <w:rPr>
          <w:b/>
          <w:i/>
          <w:sz w:val="22"/>
          <w:szCs w:val="22"/>
        </w:rPr>
        <w:t xml:space="preserve"> </w:t>
      </w:r>
      <w:r w:rsidRPr="000250FA">
        <w:rPr>
          <w:sz w:val="22"/>
          <w:szCs w:val="22"/>
        </w:rPr>
        <w:t>és/vagy tényleges munkafeladataikra</w:t>
      </w:r>
      <w:r w:rsidRPr="000250FA">
        <w:rPr>
          <w:b/>
          <w:i/>
          <w:sz w:val="22"/>
          <w:szCs w:val="22"/>
        </w:rPr>
        <w:t xml:space="preserve"> </w:t>
      </w:r>
      <w:r w:rsidRPr="000250FA">
        <w:rPr>
          <w:sz w:val="22"/>
          <w:szCs w:val="22"/>
        </w:rPr>
        <w:t>és/vagy a szervezeti egységben foglalkoztatottak számára tekintettel a munkáltatói jogkör gyakorlója állapítja meg.</w:t>
      </w:r>
    </w:p>
    <w:p w14:paraId="122B33F2" w14:textId="77777777" w:rsidR="00893D5B" w:rsidRPr="000250FA" w:rsidRDefault="00893D5B" w:rsidP="00893D5B">
      <w:pPr>
        <w:tabs>
          <w:tab w:val="left" w:pos="9781"/>
        </w:tabs>
        <w:ind w:right="-144"/>
        <w:jc w:val="both"/>
        <w:rPr>
          <w:sz w:val="22"/>
          <w:szCs w:val="22"/>
        </w:rPr>
      </w:pPr>
    </w:p>
    <w:p w14:paraId="1E748450" w14:textId="77777777" w:rsidR="00893D5B" w:rsidRPr="000250FA" w:rsidRDefault="00893D5B" w:rsidP="00893D5B">
      <w:pPr>
        <w:pStyle w:val="Listaszerbekezds"/>
        <w:ind w:left="0"/>
        <w:jc w:val="both"/>
      </w:pPr>
      <w:r w:rsidRPr="000250FA">
        <w:lastRenderedPageBreak/>
        <w:t>(</w:t>
      </w:r>
      <w:r w:rsidRPr="000250FA">
        <w:rPr>
          <w:rFonts w:ascii="Times New Roman" w:hAnsi="Times New Roman"/>
        </w:rPr>
        <w:t xml:space="preserve">5) </w:t>
      </w:r>
      <w:r w:rsidRPr="000250FA">
        <w:rPr>
          <w:rStyle w:val="Lbjegyzet-hivatkozs"/>
          <w:rFonts w:ascii="Times New Roman" w:hAnsi="Times New Roman"/>
        </w:rPr>
        <w:footnoteReference w:id="434"/>
      </w:r>
      <w:r w:rsidRPr="000250FA">
        <w:rPr>
          <w:rFonts w:ascii="Times New Roman" w:hAnsi="Times New Roman"/>
        </w:rPr>
        <w:t xml:space="preserve"> </w:t>
      </w:r>
      <w:r w:rsidRPr="000250FA">
        <w:rPr>
          <w:rStyle w:val="Lbjegyzet-hivatkozs"/>
          <w:rFonts w:ascii="Times New Roman" w:hAnsi="Times New Roman"/>
        </w:rPr>
        <w:footnoteReference w:id="435"/>
      </w:r>
      <w:r w:rsidRPr="000250FA">
        <w:rPr>
          <w:rFonts w:ascii="Times New Roman" w:hAnsi="Times New Roman"/>
        </w:rPr>
        <w:t>A kancellár az (1) bekezdésben meghatározott magasabb vezetők közül azoknak, akik a Gazdálkodási Szabályzat 11.§-a rendelkezései szerint gazdálkodási jogkörrel és felelősséggel rendelkeznek, a magasabb vezetői illetménykiegészítés megállapításához és folyósításához adott egyetértését megvonhatja, ha a magasabb vezető a Gazdálkodási Szabályzat 11.§-</w:t>
      </w:r>
      <w:proofErr w:type="spellStart"/>
      <w:r w:rsidRPr="000250FA">
        <w:rPr>
          <w:rFonts w:ascii="Times New Roman" w:hAnsi="Times New Roman"/>
        </w:rPr>
        <w:t>ában</w:t>
      </w:r>
      <w:proofErr w:type="spellEnd"/>
      <w:r w:rsidRPr="000250FA">
        <w:rPr>
          <w:rFonts w:ascii="Times New Roman" w:hAnsi="Times New Roman"/>
        </w:rPr>
        <w:t xml:space="preserve"> foglalt szabályokat neki felróható okból megszegi, és ennek következményeként a pozitív egyenlegű gazdálkodás követelményeinek az általa vezetett gazdálkodó egység nem tud megfelelni.</w:t>
      </w:r>
    </w:p>
    <w:p w14:paraId="7704A9C8" w14:textId="77777777" w:rsidR="00893D5B" w:rsidRPr="000250FA" w:rsidRDefault="00893D5B" w:rsidP="00893D5B">
      <w:pPr>
        <w:tabs>
          <w:tab w:val="left" w:pos="9781"/>
        </w:tabs>
        <w:ind w:right="-144"/>
        <w:jc w:val="both"/>
        <w:rPr>
          <w:b/>
          <w:bCs/>
          <w:sz w:val="22"/>
          <w:szCs w:val="22"/>
        </w:rPr>
      </w:pPr>
    </w:p>
    <w:p w14:paraId="08F24AC1" w14:textId="77777777" w:rsidR="00893D5B" w:rsidRPr="000250FA" w:rsidRDefault="00893D5B" w:rsidP="00893D5B">
      <w:pPr>
        <w:tabs>
          <w:tab w:val="left" w:pos="9781"/>
        </w:tabs>
        <w:ind w:right="-144"/>
        <w:jc w:val="both"/>
        <w:rPr>
          <w:strike/>
          <w:sz w:val="22"/>
          <w:szCs w:val="22"/>
        </w:rPr>
      </w:pPr>
      <w:r w:rsidRPr="000250FA">
        <w:rPr>
          <w:b/>
          <w:bCs/>
          <w:sz w:val="22"/>
          <w:szCs w:val="22"/>
        </w:rPr>
        <w:t>143. §</w:t>
      </w:r>
      <w:r w:rsidRPr="000250FA">
        <w:rPr>
          <w:rStyle w:val="Lbjegyzet-hivatkozs"/>
          <w:b/>
          <w:bCs/>
          <w:sz w:val="22"/>
          <w:szCs w:val="22"/>
        </w:rPr>
        <w:footnoteReference w:id="436"/>
      </w:r>
    </w:p>
    <w:p w14:paraId="522A9392" w14:textId="77777777" w:rsidR="00893D5B" w:rsidRPr="000250FA" w:rsidRDefault="00893D5B" w:rsidP="00893D5B">
      <w:pPr>
        <w:tabs>
          <w:tab w:val="left" w:pos="9781"/>
        </w:tabs>
        <w:ind w:right="-144"/>
        <w:jc w:val="both"/>
        <w:rPr>
          <w:sz w:val="22"/>
          <w:szCs w:val="22"/>
        </w:rPr>
      </w:pPr>
    </w:p>
    <w:p w14:paraId="466C307D" w14:textId="77777777" w:rsidR="00893D5B" w:rsidRPr="000250FA" w:rsidRDefault="00893D5B" w:rsidP="00893D5B">
      <w:pPr>
        <w:tabs>
          <w:tab w:val="left" w:pos="9781"/>
        </w:tabs>
        <w:ind w:right="-144"/>
        <w:jc w:val="both"/>
        <w:rPr>
          <w:sz w:val="22"/>
          <w:szCs w:val="22"/>
        </w:rPr>
      </w:pPr>
      <w:r w:rsidRPr="000250FA">
        <w:rPr>
          <w:b/>
          <w:bCs/>
          <w:sz w:val="22"/>
          <w:szCs w:val="22"/>
        </w:rPr>
        <w:t xml:space="preserve">144. § </w:t>
      </w:r>
      <w:r w:rsidRPr="000250FA">
        <w:rPr>
          <w:bCs/>
          <w:sz w:val="22"/>
          <w:szCs w:val="22"/>
        </w:rPr>
        <w:t>A</w:t>
      </w:r>
      <w:r w:rsidRPr="000250FA">
        <w:rPr>
          <w:sz w:val="22"/>
          <w:szCs w:val="22"/>
        </w:rPr>
        <w:t xml:space="preserve"> vezetői illetménykiegészítés nem érinti a jogszabály, illetve közalkalmazotti jogviszonyra vonatkozó szabály alapján járó pótlékra való jogosultságot. </w:t>
      </w:r>
    </w:p>
    <w:p w14:paraId="3F8D0D31" w14:textId="77777777" w:rsidR="00893D5B" w:rsidRPr="000250FA" w:rsidRDefault="00893D5B" w:rsidP="00893D5B">
      <w:pPr>
        <w:pStyle w:val="BodyText21"/>
        <w:widowControl/>
        <w:tabs>
          <w:tab w:val="left" w:pos="9781"/>
        </w:tabs>
        <w:ind w:right="-144"/>
        <w:rPr>
          <w:sz w:val="22"/>
          <w:szCs w:val="22"/>
        </w:rPr>
      </w:pPr>
    </w:p>
    <w:p w14:paraId="213FEC37" w14:textId="77777777" w:rsidR="00893D5B" w:rsidRPr="000250FA" w:rsidRDefault="00893D5B" w:rsidP="00893D5B">
      <w:pPr>
        <w:tabs>
          <w:tab w:val="left" w:pos="9781"/>
        </w:tabs>
        <w:ind w:right="-144"/>
        <w:jc w:val="both"/>
        <w:rPr>
          <w:sz w:val="22"/>
          <w:szCs w:val="22"/>
        </w:rPr>
      </w:pPr>
      <w:r w:rsidRPr="000250FA">
        <w:rPr>
          <w:b/>
          <w:bCs/>
          <w:sz w:val="22"/>
          <w:szCs w:val="22"/>
        </w:rPr>
        <w:t xml:space="preserve">145. § </w:t>
      </w:r>
      <w:r w:rsidRPr="000250FA">
        <w:rPr>
          <w:sz w:val="22"/>
          <w:szCs w:val="22"/>
        </w:rPr>
        <w:t>(1)</w:t>
      </w:r>
      <w:r w:rsidRPr="000250FA">
        <w:rPr>
          <w:b/>
          <w:sz w:val="22"/>
          <w:szCs w:val="22"/>
          <w:vertAlign w:val="superscript"/>
        </w:rPr>
        <w:t xml:space="preserve"> </w:t>
      </w:r>
      <w:r w:rsidRPr="000250FA">
        <w:rPr>
          <w:b/>
          <w:sz w:val="22"/>
          <w:szCs w:val="22"/>
          <w:vertAlign w:val="superscript"/>
        </w:rPr>
        <w:footnoteReference w:id="437"/>
      </w:r>
      <w:r w:rsidRPr="000250FA">
        <w:rPr>
          <w:b/>
          <w:sz w:val="22"/>
          <w:szCs w:val="22"/>
          <w:vertAlign w:val="superscript"/>
        </w:rPr>
        <w:t xml:space="preserve"> </w:t>
      </w:r>
      <w:r w:rsidRPr="000250FA">
        <w:rPr>
          <w:rStyle w:val="Lbjegyzet-hivatkozs"/>
          <w:b/>
          <w:sz w:val="22"/>
          <w:szCs w:val="22"/>
        </w:rPr>
        <w:footnoteReference w:id="438"/>
      </w:r>
      <w:r w:rsidRPr="000250FA">
        <w:rPr>
          <w:b/>
          <w:bCs/>
          <w:sz w:val="22"/>
          <w:szCs w:val="22"/>
        </w:rPr>
        <w:t xml:space="preserve"> </w:t>
      </w:r>
      <w:r w:rsidRPr="000250FA">
        <w:rPr>
          <w:sz w:val="22"/>
          <w:szCs w:val="22"/>
        </w:rPr>
        <w:t>A rektor</w:t>
      </w:r>
      <w:r w:rsidRPr="000250FA">
        <w:rPr>
          <w:b/>
          <w:i/>
          <w:sz w:val="22"/>
          <w:szCs w:val="22"/>
        </w:rPr>
        <w:t xml:space="preserve"> </w:t>
      </w:r>
      <w:r w:rsidRPr="000250FA">
        <w:rPr>
          <w:sz w:val="22"/>
          <w:szCs w:val="22"/>
        </w:rPr>
        <w:t>és a rektorhelyettesek vezetői illetménykiegészítésének forrása a központi (rektori) gazdálkodási keret.</w:t>
      </w:r>
    </w:p>
    <w:p w14:paraId="2C55C489" w14:textId="77777777" w:rsidR="00893D5B" w:rsidRPr="000250FA" w:rsidRDefault="00893D5B" w:rsidP="00893D5B">
      <w:pPr>
        <w:pStyle w:val="BodyText21"/>
        <w:widowControl/>
        <w:tabs>
          <w:tab w:val="left" w:pos="9781"/>
        </w:tabs>
        <w:ind w:right="-144"/>
        <w:rPr>
          <w:sz w:val="22"/>
          <w:szCs w:val="22"/>
        </w:rPr>
      </w:pPr>
    </w:p>
    <w:p w14:paraId="71618B57" w14:textId="77777777" w:rsidR="00893D5B" w:rsidRPr="000250FA" w:rsidRDefault="00893D5B" w:rsidP="00893D5B">
      <w:pPr>
        <w:tabs>
          <w:tab w:val="left" w:pos="9781"/>
        </w:tabs>
        <w:ind w:right="-144"/>
        <w:jc w:val="both"/>
        <w:rPr>
          <w:sz w:val="22"/>
          <w:szCs w:val="22"/>
        </w:rPr>
      </w:pPr>
      <w:r w:rsidRPr="000250FA">
        <w:rPr>
          <w:sz w:val="22"/>
          <w:szCs w:val="22"/>
        </w:rPr>
        <w:t>(2)</w:t>
      </w:r>
    </w:p>
    <w:p w14:paraId="462B8510" w14:textId="77777777" w:rsidR="00893D5B" w:rsidRPr="000250FA" w:rsidRDefault="00893D5B" w:rsidP="00893D5B">
      <w:pPr>
        <w:tabs>
          <w:tab w:val="left" w:pos="9781"/>
        </w:tabs>
        <w:ind w:right="-144"/>
        <w:jc w:val="both"/>
        <w:rPr>
          <w:strike/>
          <w:sz w:val="22"/>
          <w:szCs w:val="22"/>
        </w:rPr>
      </w:pPr>
      <w:r w:rsidRPr="000250FA">
        <w:rPr>
          <w:sz w:val="22"/>
          <w:szCs w:val="22"/>
        </w:rPr>
        <w:t>(3)</w:t>
      </w:r>
    </w:p>
    <w:p w14:paraId="0E9C856A" w14:textId="77777777" w:rsidR="00893D5B" w:rsidRPr="000250FA" w:rsidRDefault="00893D5B" w:rsidP="00893D5B">
      <w:pPr>
        <w:numPr>
          <w:ilvl w:val="12"/>
          <w:numId w:val="0"/>
        </w:numPr>
        <w:tabs>
          <w:tab w:val="left" w:pos="9781"/>
        </w:tabs>
        <w:ind w:left="283" w:right="-144"/>
        <w:jc w:val="both"/>
        <w:rPr>
          <w:sz w:val="22"/>
          <w:szCs w:val="22"/>
        </w:rPr>
      </w:pPr>
    </w:p>
    <w:p w14:paraId="25B6FBBE" w14:textId="77777777" w:rsidR="00893D5B" w:rsidRPr="000250FA" w:rsidRDefault="00893D5B" w:rsidP="00893D5B">
      <w:pPr>
        <w:tabs>
          <w:tab w:val="left" w:pos="9781"/>
        </w:tabs>
        <w:ind w:right="-144"/>
        <w:jc w:val="both"/>
        <w:rPr>
          <w:sz w:val="22"/>
          <w:szCs w:val="22"/>
        </w:rPr>
      </w:pPr>
      <w:r w:rsidRPr="000250FA">
        <w:rPr>
          <w:sz w:val="22"/>
          <w:szCs w:val="22"/>
        </w:rPr>
        <w:t>(4) Az (1) bekezdésben nem említett vezetők vezetői illetménykiegészítésének forrása az adott szervezeti egység decentralizált költségvetési kerete.</w:t>
      </w:r>
    </w:p>
    <w:p w14:paraId="77E45F64" w14:textId="77777777" w:rsidR="00893D5B" w:rsidRPr="000250FA" w:rsidRDefault="00893D5B" w:rsidP="00893D5B">
      <w:pPr>
        <w:tabs>
          <w:tab w:val="left" w:pos="9781"/>
        </w:tabs>
        <w:ind w:right="-144"/>
        <w:jc w:val="both"/>
        <w:rPr>
          <w:sz w:val="22"/>
          <w:szCs w:val="22"/>
        </w:rPr>
      </w:pPr>
    </w:p>
    <w:p w14:paraId="0F2C8873" w14:textId="77777777" w:rsidR="00893D5B" w:rsidRPr="000250FA" w:rsidRDefault="00893D5B" w:rsidP="00893D5B">
      <w:pPr>
        <w:tabs>
          <w:tab w:val="left" w:pos="9781"/>
        </w:tabs>
        <w:ind w:right="-144"/>
        <w:jc w:val="center"/>
        <w:rPr>
          <w:b/>
          <w:sz w:val="22"/>
          <w:szCs w:val="22"/>
        </w:rPr>
      </w:pPr>
      <w:r w:rsidRPr="000250FA">
        <w:rPr>
          <w:b/>
          <w:sz w:val="22"/>
          <w:szCs w:val="22"/>
        </w:rPr>
        <w:t>Vezetői pótlék</w:t>
      </w:r>
    </w:p>
    <w:p w14:paraId="3A7B66D7" w14:textId="77777777" w:rsidR="00893D5B" w:rsidRPr="000250FA" w:rsidRDefault="00893D5B" w:rsidP="00893D5B">
      <w:pPr>
        <w:pStyle w:val="Normlstilus1norml"/>
        <w:tabs>
          <w:tab w:val="left" w:pos="9781"/>
        </w:tabs>
        <w:ind w:right="-144"/>
        <w:rPr>
          <w:color w:val="auto"/>
          <w:sz w:val="22"/>
          <w:szCs w:val="22"/>
        </w:rPr>
      </w:pPr>
    </w:p>
    <w:p w14:paraId="2B250F63" w14:textId="77777777" w:rsidR="00893D5B" w:rsidRPr="000250FA" w:rsidRDefault="00893D5B" w:rsidP="00893D5B">
      <w:pPr>
        <w:pStyle w:val="Normlstilus1norml"/>
        <w:tabs>
          <w:tab w:val="left" w:pos="9781"/>
        </w:tabs>
        <w:ind w:right="-144"/>
        <w:rPr>
          <w:b/>
          <w:i/>
          <w:color w:val="auto"/>
          <w:sz w:val="22"/>
          <w:szCs w:val="22"/>
        </w:rPr>
      </w:pPr>
      <w:r w:rsidRPr="000250FA">
        <w:rPr>
          <w:b/>
          <w:bCs/>
          <w:color w:val="auto"/>
          <w:sz w:val="22"/>
          <w:szCs w:val="22"/>
        </w:rPr>
        <w:t>146. §</w:t>
      </w:r>
      <w:r w:rsidRPr="000250FA">
        <w:rPr>
          <w:color w:val="auto"/>
          <w:sz w:val="22"/>
          <w:szCs w:val="22"/>
        </w:rPr>
        <w:t xml:space="preserve"> A magasabb vezető, valamint a vezető beosztású közalkalmazottat vezetői pótlék illeti meg.</w:t>
      </w:r>
      <w:r w:rsidRPr="000250FA">
        <w:rPr>
          <w:b/>
          <w:i/>
          <w:color w:val="auto"/>
          <w:sz w:val="22"/>
          <w:szCs w:val="22"/>
        </w:rPr>
        <w:t xml:space="preserve"> </w:t>
      </w:r>
    </w:p>
    <w:p w14:paraId="47CC152B" w14:textId="77777777" w:rsidR="00893D5B" w:rsidRPr="000250FA" w:rsidRDefault="00893D5B" w:rsidP="00893D5B">
      <w:pPr>
        <w:rPr>
          <w:sz w:val="22"/>
          <w:szCs w:val="22"/>
        </w:rPr>
      </w:pPr>
    </w:p>
    <w:p w14:paraId="7B54E20B" w14:textId="77777777" w:rsidR="00893D5B" w:rsidRPr="000250FA" w:rsidRDefault="00893D5B" w:rsidP="00893D5B">
      <w:pPr>
        <w:tabs>
          <w:tab w:val="left" w:pos="9781"/>
        </w:tabs>
        <w:ind w:right="-144"/>
        <w:jc w:val="both"/>
        <w:rPr>
          <w:bCs/>
          <w:sz w:val="22"/>
          <w:szCs w:val="22"/>
        </w:rPr>
      </w:pPr>
      <w:r w:rsidRPr="000250FA">
        <w:rPr>
          <w:b/>
          <w:sz w:val="22"/>
          <w:szCs w:val="22"/>
        </w:rPr>
        <w:t>147. §</w:t>
      </w:r>
      <w:r w:rsidRPr="000250FA">
        <w:rPr>
          <w:b/>
          <w:sz w:val="22"/>
          <w:szCs w:val="22"/>
          <w:vertAlign w:val="superscript"/>
        </w:rPr>
        <w:footnoteReference w:id="439"/>
      </w:r>
      <w:r w:rsidRPr="000250FA">
        <w:rPr>
          <w:rStyle w:val="Lbjegyzet-hivatkozs"/>
          <w:sz w:val="22"/>
          <w:szCs w:val="22"/>
        </w:rPr>
        <w:footnoteReference w:id="440"/>
      </w:r>
      <w:r w:rsidRPr="000250FA">
        <w:rPr>
          <w:sz w:val="22"/>
          <w:szCs w:val="22"/>
        </w:rPr>
        <w:t xml:space="preserve"> (1) A jelen szabályzat 97. § (1) bekezdésben felsorolt magasabb vezetők közül a rektor, a rektorhelyettes, a kancellár, dékán, a Klinikai Központ elnöke, a könyvtár főigazgató vezetői </w:t>
      </w:r>
      <w:proofErr w:type="spellStart"/>
      <w:r w:rsidRPr="000250FA">
        <w:rPr>
          <w:sz w:val="22"/>
          <w:szCs w:val="22"/>
        </w:rPr>
        <w:t>pótlékának</w:t>
      </w:r>
      <w:proofErr w:type="spellEnd"/>
      <w:r w:rsidRPr="000250FA">
        <w:rPr>
          <w:sz w:val="22"/>
          <w:szCs w:val="22"/>
        </w:rPr>
        <w:t xml:space="preserve"> mértéke a pótlékalap 300%-</w:t>
      </w:r>
      <w:proofErr w:type="gramStart"/>
      <w:r w:rsidRPr="000250FA">
        <w:rPr>
          <w:sz w:val="22"/>
          <w:szCs w:val="22"/>
        </w:rPr>
        <w:t>a.</w:t>
      </w:r>
      <w:proofErr w:type="gramEnd"/>
    </w:p>
    <w:p w14:paraId="0270AE85" w14:textId="77777777" w:rsidR="00893D5B" w:rsidRPr="000250FA" w:rsidRDefault="00893D5B" w:rsidP="00893D5B">
      <w:pPr>
        <w:jc w:val="both"/>
        <w:rPr>
          <w:bCs/>
          <w:sz w:val="22"/>
          <w:szCs w:val="22"/>
        </w:rPr>
      </w:pPr>
    </w:p>
    <w:p w14:paraId="37E3D4CC" w14:textId="77777777" w:rsidR="00893D5B" w:rsidRPr="000250FA" w:rsidRDefault="00893D5B" w:rsidP="00893D5B">
      <w:pPr>
        <w:jc w:val="both"/>
        <w:rPr>
          <w:b/>
          <w:bCs/>
          <w:sz w:val="22"/>
          <w:szCs w:val="22"/>
        </w:rPr>
      </w:pPr>
      <w:r w:rsidRPr="000250FA">
        <w:rPr>
          <w:bCs/>
          <w:sz w:val="22"/>
          <w:szCs w:val="22"/>
        </w:rPr>
        <w:t>(2)</w:t>
      </w:r>
      <w:r w:rsidRPr="000250FA">
        <w:rPr>
          <w:bCs/>
          <w:sz w:val="22"/>
          <w:szCs w:val="22"/>
          <w:vertAlign w:val="superscript"/>
        </w:rPr>
        <w:footnoteReference w:id="441"/>
      </w:r>
      <w:r w:rsidRPr="000250FA">
        <w:rPr>
          <w:bCs/>
          <w:sz w:val="22"/>
          <w:szCs w:val="22"/>
        </w:rPr>
        <w:t xml:space="preserve">A 97. § (2) bekezdésében meghatározott vezetők közül a dékánhelyettes, valamint a Tanárképző Központ Főigazgató vezetői </w:t>
      </w:r>
      <w:proofErr w:type="spellStart"/>
      <w:r w:rsidRPr="000250FA">
        <w:rPr>
          <w:bCs/>
          <w:sz w:val="22"/>
          <w:szCs w:val="22"/>
        </w:rPr>
        <w:t>pótlékának</w:t>
      </w:r>
      <w:proofErr w:type="spellEnd"/>
      <w:r w:rsidRPr="000250FA">
        <w:rPr>
          <w:bCs/>
          <w:sz w:val="22"/>
          <w:szCs w:val="22"/>
        </w:rPr>
        <w:t xml:space="preserve"> mértéke a pótlékalap 250%-</w:t>
      </w:r>
      <w:proofErr w:type="gramStart"/>
      <w:r w:rsidRPr="000250FA">
        <w:rPr>
          <w:bCs/>
          <w:sz w:val="22"/>
          <w:szCs w:val="22"/>
        </w:rPr>
        <w:t>a</w:t>
      </w:r>
      <w:proofErr w:type="gramEnd"/>
      <w:r w:rsidRPr="000250FA">
        <w:rPr>
          <w:bCs/>
          <w:sz w:val="22"/>
          <w:szCs w:val="22"/>
        </w:rPr>
        <w:t xml:space="preserve">, a többi vezető vezetői </w:t>
      </w:r>
      <w:proofErr w:type="spellStart"/>
      <w:r w:rsidRPr="000250FA">
        <w:rPr>
          <w:bCs/>
          <w:sz w:val="22"/>
          <w:szCs w:val="22"/>
        </w:rPr>
        <w:t>pótlékának</w:t>
      </w:r>
      <w:proofErr w:type="spellEnd"/>
      <w:r w:rsidRPr="000250FA">
        <w:rPr>
          <w:bCs/>
          <w:sz w:val="22"/>
          <w:szCs w:val="22"/>
        </w:rPr>
        <w:t xml:space="preserve"> mértéke a pótlékalap 200%-a, míg a szervezeti egység vezető-helyettes vezetői </w:t>
      </w:r>
      <w:proofErr w:type="spellStart"/>
      <w:r w:rsidRPr="000250FA">
        <w:rPr>
          <w:bCs/>
          <w:sz w:val="22"/>
          <w:szCs w:val="22"/>
        </w:rPr>
        <w:t>pótlékának</w:t>
      </w:r>
      <w:proofErr w:type="spellEnd"/>
      <w:r w:rsidRPr="000250FA">
        <w:rPr>
          <w:bCs/>
          <w:sz w:val="22"/>
          <w:szCs w:val="22"/>
        </w:rPr>
        <w:t xml:space="preserve"> mértéke a pótlékalap 150%-a.</w:t>
      </w:r>
    </w:p>
    <w:p w14:paraId="3A675D98" w14:textId="77777777" w:rsidR="00893D5B" w:rsidRPr="000250FA" w:rsidRDefault="00893D5B" w:rsidP="00893D5B">
      <w:pPr>
        <w:rPr>
          <w:sz w:val="22"/>
          <w:szCs w:val="22"/>
        </w:rPr>
      </w:pPr>
    </w:p>
    <w:tbl>
      <w:tblPr>
        <w:tblW w:w="5000" w:type="pct"/>
        <w:tblCellMar>
          <w:left w:w="70" w:type="dxa"/>
          <w:right w:w="70" w:type="dxa"/>
        </w:tblCellMar>
        <w:tblLook w:val="04A0" w:firstRow="1" w:lastRow="0" w:firstColumn="1" w:lastColumn="0" w:noHBand="0" w:noVBand="1"/>
      </w:tblPr>
      <w:tblGrid>
        <w:gridCol w:w="7351"/>
        <w:gridCol w:w="1711"/>
      </w:tblGrid>
      <w:tr w:rsidR="00893D5B" w:rsidRPr="000250FA" w14:paraId="09597E1B" w14:textId="77777777" w:rsidTr="00026782">
        <w:trPr>
          <w:trHeight w:val="900"/>
        </w:trPr>
        <w:tc>
          <w:tcPr>
            <w:tcW w:w="40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E65A3" w14:textId="77777777" w:rsidR="00893D5B" w:rsidRPr="000250FA" w:rsidRDefault="00893D5B" w:rsidP="00026782">
            <w:pPr>
              <w:tabs>
                <w:tab w:val="left" w:pos="9781"/>
              </w:tabs>
              <w:ind w:right="-144"/>
              <w:jc w:val="center"/>
              <w:rPr>
                <w:bCs/>
                <w:iCs/>
                <w:sz w:val="22"/>
                <w:szCs w:val="22"/>
              </w:rPr>
            </w:pPr>
            <w:r w:rsidRPr="000250FA">
              <w:rPr>
                <w:bCs/>
                <w:iCs/>
                <w:sz w:val="22"/>
                <w:szCs w:val="22"/>
              </w:rPr>
              <w:t>Magasabb vezetői megbízások</w:t>
            </w:r>
          </w:p>
        </w:tc>
        <w:tc>
          <w:tcPr>
            <w:tcW w:w="944" w:type="pct"/>
            <w:tcBorders>
              <w:top w:val="single" w:sz="4" w:space="0" w:color="auto"/>
              <w:left w:val="nil"/>
              <w:bottom w:val="single" w:sz="4" w:space="0" w:color="auto"/>
              <w:right w:val="single" w:sz="4" w:space="0" w:color="auto"/>
            </w:tcBorders>
            <w:shd w:val="clear" w:color="auto" w:fill="auto"/>
            <w:vAlign w:val="bottom"/>
          </w:tcPr>
          <w:p w14:paraId="4E0DFAC0" w14:textId="77777777" w:rsidR="00893D5B" w:rsidRPr="000250FA" w:rsidRDefault="00893D5B" w:rsidP="00026782">
            <w:pPr>
              <w:tabs>
                <w:tab w:val="left" w:pos="9781"/>
              </w:tabs>
              <w:ind w:right="-144"/>
              <w:rPr>
                <w:bCs/>
                <w:iCs/>
                <w:sz w:val="22"/>
                <w:szCs w:val="22"/>
              </w:rPr>
            </w:pPr>
            <w:r w:rsidRPr="000250FA">
              <w:rPr>
                <w:bCs/>
                <w:iCs/>
                <w:sz w:val="22"/>
                <w:szCs w:val="22"/>
              </w:rPr>
              <w:t>Pótlék mértéke a pótlékalap %-</w:t>
            </w:r>
            <w:proofErr w:type="spellStart"/>
            <w:r w:rsidRPr="000250FA">
              <w:rPr>
                <w:bCs/>
                <w:iCs/>
                <w:sz w:val="22"/>
                <w:szCs w:val="22"/>
              </w:rPr>
              <w:t>ában</w:t>
            </w:r>
            <w:proofErr w:type="spellEnd"/>
          </w:p>
        </w:tc>
      </w:tr>
      <w:tr w:rsidR="00893D5B" w:rsidRPr="000250FA" w14:paraId="3FE7BD69"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494789EE" w14:textId="77777777" w:rsidR="00893D5B" w:rsidRPr="000250FA" w:rsidRDefault="00893D5B" w:rsidP="00026782">
            <w:pPr>
              <w:tabs>
                <w:tab w:val="left" w:pos="9781"/>
              </w:tabs>
              <w:ind w:right="-144"/>
              <w:rPr>
                <w:bCs/>
                <w:iCs/>
                <w:sz w:val="22"/>
                <w:szCs w:val="22"/>
              </w:rPr>
            </w:pPr>
            <w:r w:rsidRPr="000250FA">
              <w:rPr>
                <w:bCs/>
                <w:iCs/>
                <w:sz w:val="22"/>
                <w:szCs w:val="22"/>
              </w:rPr>
              <w:t>a) rektor,</w:t>
            </w:r>
          </w:p>
        </w:tc>
        <w:tc>
          <w:tcPr>
            <w:tcW w:w="944" w:type="pct"/>
            <w:tcBorders>
              <w:top w:val="nil"/>
              <w:left w:val="nil"/>
              <w:bottom w:val="single" w:sz="4" w:space="0" w:color="auto"/>
              <w:right w:val="single" w:sz="4" w:space="0" w:color="auto"/>
            </w:tcBorders>
            <w:shd w:val="clear" w:color="auto" w:fill="auto"/>
            <w:noWrap/>
            <w:vAlign w:val="bottom"/>
          </w:tcPr>
          <w:p w14:paraId="58834B2C"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63D629C9"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385A4A99" w14:textId="77777777" w:rsidR="00893D5B" w:rsidRPr="000250FA" w:rsidRDefault="00893D5B" w:rsidP="00026782">
            <w:pPr>
              <w:tabs>
                <w:tab w:val="left" w:pos="9781"/>
              </w:tabs>
              <w:ind w:right="-144"/>
              <w:rPr>
                <w:bCs/>
                <w:iCs/>
                <w:sz w:val="22"/>
                <w:szCs w:val="22"/>
              </w:rPr>
            </w:pPr>
            <w:r w:rsidRPr="000250FA">
              <w:rPr>
                <w:bCs/>
                <w:iCs/>
                <w:sz w:val="22"/>
                <w:szCs w:val="22"/>
              </w:rPr>
              <w:t>b) rektorhelyettes,</w:t>
            </w:r>
          </w:p>
        </w:tc>
        <w:tc>
          <w:tcPr>
            <w:tcW w:w="944" w:type="pct"/>
            <w:tcBorders>
              <w:top w:val="nil"/>
              <w:left w:val="nil"/>
              <w:bottom w:val="single" w:sz="4" w:space="0" w:color="auto"/>
              <w:right w:val="single" w:sz="4" w:space="0" w:color="auto"/>
            </w:tcBorders>
            <w:shd w:val="clear" w:color="auto" w:fill="auto"/>
            <w:noWrap/>
            <w:vAlign w:val="bottom"/>
          </w:tcPr>
          <w:p w14:paraId="7AECA72C"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705BD6CC"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2A0DE5F4" w14:textId="77777777" w:rsidR="00893D5B" w:rsidRPr="000250FA" w:rsidRDefault="00893D5B" w:rsidP="00026782">
            <w:pPr>
              <w:tabs>
                <w:tab w:val="left" w:pos="9781"/>
              </w:tabs>
              <w:ind w:right="-144"/>
              <w:rPr>
                <w:bCs/>
                <w:iCs/>
                <w:sz w:val="22"/>
                <w:szCs w:val="22"/>
              </w:rPr>
            </w:pPr>
            <w:r w:rsidRPr="000250FA">
              <w:rPr>
                <w:bCs/>
                <w:iCs/>
                <w:sz w:val="22"/>
                <w:szCs w:val="22"/>
              </w:rPr>
              <w:t>c) dékán,</w:t>
            </w:r>
          </w:p>
        </w:tc>
        <w:tc>
          <w:tcPr>
            <w:tcW w:w="944" w:type="pct"/>
            <w:tcBorders>
              <w:top w:val="nil"/>
              <w:left w:val="nil"/>
              <w:bottom w:val="single" w:sz="4" w:space="0" w:color="auto"/>
              <w:right w:val="single" w:sz="4" w:space="0" w:color="auto"/>
            </w:tcBorders>
            <w:shd w:val="clear" w:color="auto" w:fill="auto"/>
            <w:noWrap/>
            <w:vAlign w:val="bottom"/>
          </w:tcPr>
          <w:p w14:paraId="723B84A0"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1C156D56" w14:textId="77777777" w:rsidTr="00026782">
        <w:trPr>
          <w:trHeight w:val="315"/>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0E4C46E0" w14:textId="77777777" w:rsidR="00893D5B" w:rsidRPr="000250FA" w:rsidRDefault="00893D5B" w:rsidP="00026782">
            <w:pPr>
              <w:tabs>
                <w:tab w:val="left" w:pos="9781"/>
              </w:tabs>
              <w:ind w:right="-144"/>
              <w:rPr>
                <w:bCs/>
                <w:iCs/>
                <w:strike/>
                <w:sz w:val="22"/>
                <w:szCs w:val="22"/>
              </w:rPr>
            </w:pPr>
            <w:r w:rsidRPr="000250FA">
              <w:rPr>
                <w:bCs/>
                <w:iCs/>
                <w:sz w:val="22"/>
                <w:szCs w:val="22"/>
              </w:rPr>
              <w:t>d) kancellár</w:t>
            </w:r>
          </w:p>
        </w:tc>
        <w:tc>
          <w:tcPr>
            <w:tcW w:w="944" w:type="pct"/>
            <w:tcBorders>
              <w:top w:val="nil"/>
              <w:left w:val="nil"/>
              <w:bottom w:val="single" w:sz="4" w:space="0" w:color="auto"/>
              <w:right w:val="single" w:sz="4" w:space="0" w:color="auto"/>
            </w:tcBorders>
            <w:shd w:val="clear" w:color="auto" w:fill="auto"/>
            <w:noWrap/>
            <w:vAlign w:val="bottom"/>
          </w:tcPr>
          <w:p w14:paraId="1F47AF1B"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6FA8F85F"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7D103D80" w14:textId="77777777" w:rsidR="00893D5B" w:rsidRPr="000250FA" w:rsidRDefault="00893D5B" w:rsidP="00026782">
            <w:pPr>
              <w:tabs>
                <w:tab w:val="left" w:pos="9781"/>
              </w:tabs>
              <w:ind w:right="-144"/>
              <w:jc w:val="both"/>
              <w:rPr>
                <w:b/>
                <w:bCs/>
                <w:i/>
                <w:iCs/>
                <w:sz w:val="22"/>
                <w:szCs w:val="22"/>
              </w:rPr>
            </w:pPr>
            <w:r w:rsidRPr="000250FA">
              <w:rPr>
                <w:bCs/>
                <w:iCs/>
                <w:sz w:val="22"/>
                <w:szCs w:val="22"/>
              </w:rPr>
              <w:t>e) Klinikai Központ elnöke</w:t>
            </w:r>
          </w:p>
        </w:tc>
        <w:tc>
          <w:tcPr>
            <w:tcW w:w="944" w:type="pct"/>
            <w:tcBorders>
              <w:top w:val="nil"/>
              <w:left w:val="nil"/>
              <w:bottom w:val="single" w:sz="4" w:space="0" w:color="auto"/>
              <w:right w:val="single" w:sz="4" w:space="0" w:color="auto"/>
            </w:tcBorders>
            <w:shd w:val="clear" w:color="auto" w:fill="auto"/>
            <w:noWrap/>
            <w:vAlign w:val="bottom"/>
          </w:tcPr>
          <w:p w14:paraId="73145FB8"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2DD5434D"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404D4F52" w14:textId="77777777" w:rsidR="00893D5B" w:rsidRPr="000250FA" w:rsidRDefault="00893D5B" w:rsidP="00026782">
            <w:pPr>
              <w:tabs>
                <w:tab w:val="left" w:pos="9781"/>
              </w:tabs>
              <w:ind w:right="-144"/>
              <w:jc w:val="both"/>
              <w:rPr>
                <w:b/>
                <w:bCs/>
                <w:i/>
                <w:iCs/>
                <w:sz w:val="22"/>
                <w:szCs w:val="22"/>
              </w:rPr>
            </w:pPr>
            <w:r w:rsidRPr="000250FA">
              <w:rPr>
                <w:bCs/>
                <w:iCs/>
                <w:sz w:val="22"/>
                <w:szCs w:val="22"/>
              </w:rPr>
              <w:lastRenderedPageBreak/>
              <w:t>f) orvosigazgató</w:t>
            </w:r>
            <w:r w:rsidRPr="000250FA">
              <w:rPr>
                <w:rStyle w:val="Lbjegyzet-hivatkozs"/>
                <w:bCs/>
                <w:iCs/>
                <w:sz w:val="22"/>
                <w:szCs w:val="22"/>
              </w:rPr>
              <w:footnoteReference w:id="442"/>
            </w:r>
            <w:r w:rsidRPr="000250FA">
              <w:rPr>
                <w:bCs/>
                <w:iCs/>
                <w:sz w:val="22"/>
                <w:szCs w:val="22"/>
              </w:rPr>
              <w:t xml:space="preserve"> </w:t>
            </w:r>
            <w:r w:rsidRPr="000250FA">
              <w:rPr>
                <w:rStyle w:val="Lbjegyzet-hivatkozs"/>
                <w:bCs/>
                <w:iCs/>
                <w:sz w:val="22"/>
                <w:szCs w:val="22"/>
              </w:rPr>
              <w:footnoteReference w:id="443"/>
            </w:r>
          </w:p>
        </w:tc>
        <w:tc>
          <w:tcPr>
            <w:tcW w:w="944" w:type="pct"/>
            <w:tcBorders>
              <w:top w:val="nil"/>
              <w:left w:val="nil"/>
              <w:bottom w:val="single" w:sz="4" w:space="0" w:color="auto"/>
              <w:right w:val="single" w:sz="4" w:space="0" w:color="auto"/>
            </w:tcBorders>
            <w:shd w:val="clear" w:color="auto" w:fill="auto"/>
            <w:noWrap/>
            <w:vAlign w:val="bottom"/>
          </w:tcPr>
          <w:p w14:paraId="70E8CB89" w14:textId="77777777" w:rsidR="00893D5B" w:rsidRPr="000250FA" w:rsidRDefault="00893D5B" w:rsidP="00026782">
            <w:pPr>
              <w:tabs>
                <w:tab w:val="left" w:pos="9781"/>
              </w:tabs>
              <w:ind w:right="848"/>
              <w:jc w:val="right"/>
              <w:rPr>
                <w:bCs/>
                <w:iCs/>
                <w:sz w:val="22"/>
                <w:szCs w:val="22"/>
              </w:rPr>
            </w:pPr>
            <w:r w:rsidRPr="000250FA">
              <w:rPr>
                <w:bCs/>
                <w:iCs/>
                <w:sz w:val="22"/>
                <w:szCs w:val="22"/>
              </w:rPr>
              <w:t xml:space="preserve">250 </w:t>
            </w:r>
          </w:p>
        </w:tc>
      </w:tr>
      <w:tr w:rsidR="00893D5B" w:rsidRPr="000250FA" w14:paraId="40F6A04F"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6983B69D" w14:textId="77777777" w:rsidR="00893D5B" w:rsidRPr="000250FA" w:rsidRDefault="00893D5B" w:rsidP="00026782">
            <w:pPr>
              <w:tabs>
                <w:tab w:val="left" w:pos="9781"/>
              </w:tabs>
              <w:ind w:right="-144"/>
              <w:jc w:val="both"/>
              <w:rPr>
                <w:bCs/>
                <w:iCs/>
                <w:sz w:val="22"/>
                <w:szCs w:val="22"/>
              </w:rPr>
            </w:pPr>
            <w:r w:rsidRPr="000250FA">
              <w:rPr>
                <w:bCs/>
                <w:iCs/>
                <w:sz w:val="22"/>
                <w:szCs w:val="22"/>
              </w:rPr>
              <w:t>g) ápolási igazgató,</w:t>
            </w:r>
          </w:p>
        </w:tc>
        <w:tc>
          <w:tcPr>
            <w:tcW w:w="944" w:type="pct"/>
            <w:tcBorders>
              <w:top w:val="nil"/>
              <w:left w:val="nil"/>
              <w:bottom w:val="single" w:sz="4" w:space="0" w:color="auto"/>
              <w:right w:val="single" w:sz="4" w:space="0" w:color="auto"/>
            </w:tcBorders>
            <w:shd w:val="clear" w:color="auto" w:fill="auto"/>
            <w:noWrap/>
            <w:vAlign w:val="bottom"/>
          </w:tcPr>
          <w:p w14:paraId="7D019679" w14:textId="77777777" w:rsidR="00893D5B" w:rsidRPr="000250FA" w:rsidRDefault="00893D5B" w:rsidP="00026782">
            <w:pPr>
              <w:tabs>
                <w:tab w:val="left" w:pos="9781"/>
              </w:tabs>
              <w:ind w:right="848"/>
              <w:jc w:val="right"/>
              <w:rPr>
                <w:bCs/>
                <w:iCs/>
                <w:sz w:val="22"/>
                <w:szCs w:val="22"/>
              </w:rPr>
            </w:pPr>
            <w:r w:rsidRPr="000250FA">
              <w:rPr>
                <w:bCs/>
                <w:iCs/>
                <w:sz w:val="22"/>
                <w:szCs w:val="22"/>
              </w:rPr>
              <w:t>200</w:t>
            </w:r>
          </w:p>
        </w:tc>
      </w:tr>
      <w:tr w:rsidR="00893D5B" w:rsidRPr="000250FA" w14:paraId="2AC86EB3"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5070D662" w14:textId="77777777" w:rsidR="00893D5B" w:rsidRPr="000250FA" w:rsidRDefault="00893D5B" w:rsidP="00026782">
            <w:pPr>
              <w:tabs>
                <w:tab w:val="left" w:pos="9781"/>
              </w:tabs>
              <w:ind w:right="-144"/>
              <w:jc w:val="both"/>
              <w:rPr>
                <w:bCs/>
                <w:iCs/>
                <w:sz w:val="22"/>
                <w:szCs w:val="22"/>
              </w:rPr>
            </w:pPr>
            <w:r w:rsidRPr="000250FA">
              <w:rPr>
                <w:bCs/>
                <w:iCs/>
                <w:sz w:val="22"/>
                <w:szCs w:val="22"/>
              </w:rPr>
              <w:t xml:space="preserve">h) Egyetemi könyvtár főigazgató, </w:t>
            </w:r>
          </w:p>
        </w:tc>
        <w:tc>
          <w:tcPr>
            <w:tcW w:w="944" w:type="pct"/>
            <w:tcBorders>
              <w:top w:val="nil"/>
              <w:left w:val="nil"/>
              <w:bottom w:val="single" w:sz="4" w:space="0" w:color="auto"/>
              <w:right w:val="single" w:sz="4" w:space="0" w:color="auto"/>
            </w:tcBorders>
            <w:shd w:val="clear" w:color="auto" w:fill="auto"/>
            <w:noWrap/>
            <w:vAlign w:val="bottom"/>
          </w:tcPr>
          <w:p w14:paraId="13DD45B8" w14:textId="77777777" w:rsidR="00893D5B" w:rsidRPr="000250FA" w:rsidRDefault="00893D5B" w:rsidP="00026782">
            <w:pPr>
              <w:tabs>
                <w:tab w:val="left" w:pos="9781"/>
              </w:tabs>
              <w:ind w:right="848"/>
              <w:jc w:val="right"/>
              <w:rPr>
                <w:bCs/>
                <w:iCs/>
                <w:sz w:val="22"/>
                <w:szCs w:val="22"/>
              </w:rPr>
            </w:pPr>
            <w:r w:rsidRPr="000250FA">
              <w:rPr>
                <w:bCs/>
                <w:iCs/>
                <w:sz w:val="22"/>
                <w:szCs w:val="22"/>
              </w:rPr>
              <w:t>300</w:t>
            </w:r>
          </w:p>
        </w:tc>
      </w:tr>
      <w:tr w:rsidR="00893D5B" w:rsidRPr="000250FA" w14:paraId="05E6BF78"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664B8E1C" w14:textId="77777777" w:rsidR="00893D5B" w:rsidRPr="000250FA" w:rsidRDefault="00893D5B" w:rsidP="00026782">
            <w:pPr>
              <w:tabs>
                <w:tab w:val="left" w:pos="9781"/>
              </w:tabs>
              <w:ind w:right="-144"/>
              <w:jc w:val="both"/>
              <w:rPr>
                <w:bCs/>
                <w:iCs/>
                <w:sz w:val="22"/>
                <w:szCs w:val="22"/>
              </w:rPr>
            </w:pPr>
            <w:r w:rsidRPr="000250FA">
              <w:rPr>
                <w:bCs/>
                <w:iCs/>
                <w:sz w:val="22"/>
                <w:szCs w:val="22"/>
              </w:rPr>
              <w:t>i) Egyetemi könyvtár főigazgató-helyettes,</w:t>
            </w:r>
          </w:p>
        </w:tc>
        <w:tc>
          <w:tcPr>
            <w:tcW w:w="944" w:type="pct"/>
            <w:tcBorders>
              <w:top w:val="nil"/>
              <w:left w:val="nil"/>
              <w:bottom w:val="single" w:sz="4" w:space="0" w:color="auto"/>
              <w:right w:val="single" w:sz="4" w:space="0" w:color="auto"/>
            </w:tcBorders>
            <w:shd w:val="clear" w:color="auto" w:fill="auto"/>
            <w:noWrap/>
            <w:vAlign w:val="bottom"/>
          </w:tcPr>
          <w:p w14:paraId="7B97B424" w14:textId="77777777" w:rsidR="00893D5B" w:rsidRPr="000250FA" w:rsidRDefault="00893D5B" w:rsidP="00026782">
            <w:pPr>
              <w:tabs>
                <w:tab w:val="left" w:pos="9781"/>
              </w:tabs>
              <w:ind w:right="848"/>
              <w:jc w:val="right"/>
              <w:rPr>
                <w:bCs/>
                <w:iCs/>
                <w:sz w:val="22"/>
                <w:szCs w:val="22"/>
              </w:rPr>
            </w:pPr>
            <w:r w:rsidRPr="000250FA">
              <w:rPr>
                <w:bCs/>
                <w:iCs/>
                <w:sz w:val="22"/>
                <w:szCs w:val="22"/>
              </w:rPr>
              <w:t>275</w:t>
            </w:r>
          </w:p>
        </w:tc>
      </w:tr>
      <w:tr w:rsidR="00893D5B" w:rsidRPr="000250FA" w14:paraId="573A5F72"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004C11C6" w14:textId="77777777" w:rsidR="00893D5B" w:rsidRPr="000250FA" w:rsidRDefault="00893D5B" w:rsidP="00026782">
            <w:pPr>
              <w:tabs>
                <w:tab w:val="left" w:pos="9781"/>
              </w:tabs>
              <w:ind w:right="-144"/>
              <w:jc w:val="both"/>
              <w:rPr>
                <w:bCs/>
                <w:iCs/>
                <w:sz w:val="22"/>
                <w:szCs w:val="22"/>
              </w:rPr>
            </w:pPr>
            <w:r w:rsidRPr="000250FA">
              <w:rPr>
                <w:bCs/>
                <w:iCs/>
                <w:sz w:val="22"/>
                <w:szCs w:val="22"/>
              </w:rPr>
              <w:t>j) kari könyvtár vezetője,</w:t>
            </w:r>
          </w:p>
        </w:tc>
        <w:tc>
          <w:tcPr>
            <w:tcW w:w="944" w:type="pct"/>
            <w:tcBorders>
              <w:top w:val="nil"/>
              <w:left w:val="nil"/>
              <w:bottom w:val="single" w:sz="4" w:space="0" w:color="auto"/>
              <w:right w:val="single" w:sz="4" w:space="0" w:color="auto"/>
            </w:tcBorders>
            <w:shd w:val="clear" w:color="auto" w:fill="auto"/>
            <w:noWrap/>
            <w:vAlign w:val="bottom"/>
          </w:tcPr>
          <w:p w14:paraId="01528EBB" w14:textId="77777777" w:rsidR="00893D5B" w:rsidRPr="000250FA" w:rsidRDefault="00893D5B" w:rsidP="00026782">
            <w:pPr>
              <w:tabs>
                <w:tab w:val="left" w:pos="9781"/>
              </w:tabs>
              <w:ind w:right="848"/>
              <w:jc w:val="right"/>
              <w:rPr>
                <w:bCs/>
                <w:iCs/>
                <w:sz w:val="22"/>
                <w:szCs w:val="22"/>
              </w:rPr>
            </w:pPr>
            <w:r w:rsidRPr="000250FA">
              <w:rPr>
                <w:bCs/>
                <w:iCs/>
                <w:sz w:val="22"/>
                <w:szCs w:val="22"/>
              </w:rPr>
              <w:t>200</w:t>
            </w:r>
          </w:p>
        </w:tc>
      </w:tr>
      <w:tr w:rsidR="00893D5B" w:rsidRPr="000250FA" w14:paraId="5B8C216D" w14:textId="77777777" w:rsidTr="00026782">
        <w:trPr>
          <w:trHeight w:val="300"/>
        </w:trPr>
        <w:tc>
          <w:tcPr>
            <w:tcW w:w="4056" w:type="pct"/>
            <w:tcBorders>
              <w:top w:val="nil"/>
              <w:left w:val="single" w:sz="4" w:space="0" w:color="auto"/>
              <w:bottom w:val="single" w:sz="4" w:space="0" w:color="auto"/>
              <w:right w:val="single" w:sz="4" w:space="0" w:color="auto"/>
            </w:tcBorders>
            <w:shd w:val="clear" w:color="auto" w:fill="auto"/>
            <w:noWrap/>
            <w:vAlign w:val="bottom"/>
          </w:tcPr>
          <w:p w14:paraId="756C7383" w14:textId="77777777" w:rsidR="00893D5B" w:rsidRPr="000250FA" w:rsidRDefault="00893D5B" w:rsidP="00026782">
            <w:pPr>
              <w:tabs>
                <w:tab w:val="left" w:pos="9781"/>
              </w:tabs>
              <w:ind w:right="-144"/>
              <w:jc w:val="both"/>
              <w:rPr>
                <w:bCs/>
                <w:iCs/>
                <w:sz w:val="22"/>
                <w:szCs w:val="22"/>
              </w:rPr>
            </w:pPr>
            <w:r w:rsidRPr="000250FA">
              <w:rPr>
                <w:bCs/>
                <w:iCs/>
                <w:sz w:val="22"/>
                <w:szCs w:val="22"/>
              </w:rPr>
              <w:t>k) Egyetemi Levéltár igazgatója,</w:t>
            </w:r>
          </w:p>
        </w:tc>
        <w:tc>
          <w:tcPr>
            <w:tcW w:w="944" w:type="pct"/>
            <w:tcBorders>
              <w:top w:val="nil"/>
              <w:left w:val="nil"/>
              <w:bottom w:val="single" w:sz="4" w:space="0" w:color="auto"/>
              <w:right w:val="single" w:sz="4" w:space="0" w:color="auto"/>
            </w:tcBorders>
            <w:shd w:val="clear" w:color="auto" w:fill="auto"/>
            <w:noWrap/>
            <w:vAlign w:val="bottom"/>
          </w:tcPr>
          <w:p w14:paraId="5C98589B" w14:textId="77777777" w:rsidR="00893D5B" w:rsidRPr="000250FA" w:rsidRDefault="00893D5B" w:rsidP="00026782">
            <w:pPr>
              <w:tabs>
                <w:tab w:val="left" w:pos="9781"/>
              </w:tabs>
              <w:ind w:right="848"/>
              <w:jc w:val="right"/>
              <w:rPr>
                <w:bCs/>
                <w:iCs/>
                <w:sz w:val="22"/>
                <w:szCs w:val="22"/>
              </w:rPr>
            </w:pPr>
            <w:r w:rsidRPr="000250FA">
              <w:rPr>
                <w:bCs/>
                <w:iCs/>
                <w:sz w:val="22"/>
                <w:szCs w:val="22"/>
              </w:rPr>
              <w:t>200</w:t>
            </w:r>
          </w:p>
        </w:tc>
      </w:tr>
    </w:tbl>
    <w:p w14:paraId="29EB3AC0" w14:textId="77777777" w:rsidR="00893D5B" w:rsidRPr="000250FA" w:rsidRDefault="00893D5B" w:rsidP="00893D5B">
      <w:pPr>
        <w:rPr>
          <w:sz w:val="22"/>
          <w:szCs w:val="22"/>
        </w:rPr>
      </w:pPr>
    </w:p>
    <w:p w14:paraId="40399DA9" w14:textId="77777777" w:rsidR="00893D5B" w:rsidRPr="000250FA" w:rsidRDefault="00893D5B" w:rsidP="00893D5B">
      <w:pPr>
        <w:rPr>
          <w:sz w:val="22"/>
          <w:szCs w:val="22"/>
        </w:rPr>
      </w:pPr>
    </w:p>
    <w:tbl>
      <w:tblPr>
        <w:tblW w:w="5000" w:type="pct"/>
        <w:tblLayout w:type="fixed"/>
        <w:tblCellMar>
          <w:left w:w="70" w:type="dxa"/>
          <w:right w:w="70" w:type="dxa"/>
        </w:tblCellMar>
        <w:tblLook w:val="04A0" w:firstRow="1" w:lastRow="0" w:firstColumn="1" w:lastColumn="0" w:noHBand="0" w:noVBand="1"/>
      </w:tblPr>
      <w:tblGrid>
        <w:gridCol w:w="7322"/>
        <w:gridCol w:w="1740"/>
      </w:tblGrid>
      <w:tr w:rsidR="00893D5B" w:rsidRPr="000250FA" w14:paraId="303555B1" w14:textId="77777777" w:rsidTr="00026782">
        <w:trPr>
          <w:trHeight w:val="900"/>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6221ED" w14:textId="77777777" w:rsidR="00893D5B" w:rsidRPr="000250FA" w:rsidRDefault="00893D5B" w:rsidP="00026782">
            <w:pPr>
              <w:tabs>
                <w:tab w:val="left" w:pos="9781"/>
              </w:tabs>
              <w:ind w:right="-144"/>
              <w:jc w:val="center"/>
              <w:rPr>
                <w:bCs/>
                <w:iCs/>
                <w:sz w:val="22"/>
                <w:szCs w:val="22"/>
              </w:rPr>
            </w:pPr>
            <w:r w:rsidRPr="000250FA">
              <w:rPr>
                <w:bCs/>
                <w:iCs/>
                <w:sz w:val="22"/>
                <w:szCs w:val="22"/>
              </w:rPr>
              <w:t>Vezetői megbízások</w:t>
            </w:r>
          </w:p>
        </w:tc>
        <w:tc>
          <w:tcPr>
            <w:tcW w:w="960" w:type="pct"/>
            <w:tcBorders>
              <w:top w:val="single" w:sz="4" w:space="0" w:color="auto"/>
              <w:left w:val="nil"/>
              <w:bottom w:val="single" w:sz="4" w:space="0" w:color="auto"/>
              <w:right w:val="single" w:sz="4" w:space="0" w:color="auto"/>
            </w:tcBorders>
            <w:shd w:val="clear" w:color="auto" w:fill="auto"/>
            <w:vAlign w:val="bottom"/>
          </w:tcPr>
          <w:p w14:paraId="38BC7084" w14:textId="77777777" w:rsidR="00893D5B" w:rsidRPr="000250FA" w:rsidRDefault="00893D5B" w:rsidP="00026782">
            <w:pPr>
              <w:tabs>
                <w:tab w:val="left" w:pos="9781"/>
              </w:tabs>
              <w:ind w:right="-144"/>
              <w:rPr>
                <w:bCs/>
                <w:iCs/>
                <w:sz w:val="22"/>
                <w:szCs w:val="22"/>
              </w:rPr>
            </w:pPr>
            <w:r w:rsidRPr="000250FA">
              <w:rPr>
                <w:bCs/>
                <w:iCs/>
                <w:sz w:val="22"/>
                <w:szCs w:val="22"/>
              </w:rPr>
              <w:t>Pótlék mértéke a pótlékalap %-</w:t>
            </w:r>
            <w:proofErr w:type="spellStart"/>
            <w:r w:rsidRPr="000250FA">
              <w:rPr>
                <w:bCs/>
                <w:iCs/>
                <w:sz w:val="22"/>
                <w:szCs w:val="22"/>
              </w:rPr>
              <w:t>ában</w:t>
            </w:r>
            <w:proofErr w:type="spellEnd"/>
          </w:p>
        </w:tc>
      </w:tr>
      <w:tr w:rsidR="00893D5B" w:rsidRPr="000250FA" w14:paraId="08EFB71D" w14:textId="77777777" w:rsidTr="00026782">
        <w:trPr>
          <w:trHeight w:val="300"/>
        </w:trPr>
        <w:tc>
          <w:tcPr>
            <w:tcW w:w="4040" w:type="pct"/>
            <w:tcBorders>
              <w:top w:val="nil"/>
              <w:left w:val="single" w:sz="4" w:space="0" w:color="auto"/>
              <w:bottom w:val="single" w:sz="4" w:space="0" w:color="auto"/>
              <w:right w:val="single" w:sz="4" w:space="0" w:color="auto"/>
            </w:tcBorders>
            <w:shd w:val="clear" w:color="auto" w:fill="auto"/>
            <w:noWrap/>
            <w:vAlign w:val="bottom"/>
          </w:tcPr>
          <w:p w14:paraId="092523B2" w14:textId="77777777" w:rsidR="00893D5B" w:rsidRPr="000250FA" w:rsidRDefault="00893D5B" w:rsidP="00026782">
            <w:pPr>
              <w:tabs>
                <w:tab w:val="left" w:pos="9781"/>
              </w:tabs>
              <w:ind w:right="-144"/>
              <w:rPr>
                <w:bCs/>
                <w:iCs/>
                <w:sz w:val="22"/>
                <w:szCs w:val="22"/>
              </w:rPr>
            </w:pPr>
            <w:r w:rsidRPr="000250FA">
              <w:rPr>
                <w:bCs/>
                <w:iCs/>
                <w:sz w:val="22"/>
                <w:szCs w:val="22"/>
              </w:rPr>
              <w:t>a) dékánhelyettes,</w:t>
            </w:r>
          </w:p>
        </w:tc>
        <w:tc>
          <w:tcPr>
            <w:tcW w:w="960" w:type="pct"/>
            <w:tcBorders>
              <w:top w:val="nil"/>
              <w:left w:val="nil"/>
              <w:bottom w:val="single" w:sz="4" w:space="0" w:color="auto"/>
              <w:right w:val="single" w:sz="4" w:space="0" w:color="auto"/>
            </w:tcBorders>
            <w:shd w:val="clear" w:color="auto" w:fill="auto"/>
            <w:noWrap/>
            <w:vAlign w:val="bottom"/>
          </w:tcPr>
          <w:p w14:paraId="70D72693" w14:textId="77777777" w:rsidR="00893D5B" w:rsidRPr="000250FA" w:rsidRDefault="00893D5B" w:rsidP="00026782">
            <w:pPr>
              <w:tabs>
                <w:tab w:val="left" w:pos="9781"/>
              </w:tabs>
              <w:ind w:right="917"/>
              <w:jc w:val="right"/>
              <w:rPr>
                <w:bCs/>
                <w:iCs/>
                <w:sz w:val="22"/>
                <w:szCs w:val="22"/>
              </w:rPr>
            </w:pPr>
            <w:r w:rsidRPr="000250FA">
              <w:rPr>
                <w:bCs/>
                <w:iCs/>
                <w:sz w:val="22"/>
                <w:szCs w:val="22"/>
              </w:rPr>
              <w:t>250</w:t>
            </w:r>
          </w:p>
        </w:tc>
      </w:tr>
      <w:tr w:rsidR="00893D5B" w:rsidRPr="000250FA" w14:paraId="762AFD40" w14:textId="77777777" w:rsidTr="00026782">
        <w:trPr>
          <w:trHeight w:val="300"/>
        </w:trPr>
        <w:tc>
          <w:tcPr>
            <w:tcW w:w="4040" w:type="pct"/>
            <w:tcBorders>
              <w:top w:val="nil"/>
              <w:left w:val="single" w:sz="4" w:space="0" w:color="auto"/>
              <w:bottom w:val="single" w:sz="4" w:space="0" w:color="auto"/>
              <w:right w:val="single" w:sz="4" w:space="0" w:color="auto"/>
            </w:tcBorders>
            <w:shd w:val="clear" w:color="auto" w:fill="auto"/>
            <w:noWrap/>
            <w:vAlign w:val="bottom"/>
          </w:tcPr>
          <w:p w14:paraId="6F50819D" w14:textId="77777777" w:rsidR="00893D5B" w:rsidRPr="000250FA" w:rsidRDefault="00893D5B" w:rsidP="00026782">
            <w:pPr>
              <w:tabs>
                <w:tab w:val="left" w:pos="9781"/>
              </w:tabs>
              <w:ind w:right="-144"/>
              <w:jc w:val="both"/>
              <w:rPr>
                <w:bCs/>
                <w:iCs/>
                <w:sz w:val="22"/>
                <w:szCs w:val="22"/>
              </w:rPr>
            </w:pPr>
            <w:r w:rsidRPr="000250FA">
              <w:rPr>
                <w:bCs/>
                <w:iCs/>
                <w:sz w:val="22"/>
                <w:szCs w:val="22"/>
              </w:rPr>
              <w:t>b) Tanárképző Központ főigazgatója</w:t>
            </w:r>
            <w:r w:rsidRPr="000250FA">
              <w:rPr>
                <w:rStyle w:val="Lbjegyzet-hivatkozs"/>
                <w:bCs/>
                <w:iCs/>
                <w:sz w:val="22"/>
                <w:szCs w:val="22"/>
              </w:rPr>
              <w:footnoteReference w:id="444"/>
            </w:r>
          </w:p>
        </w:tc>
        <w:tc>
          <w:tcPr>
            <w:tcW w:w="960" w:type="pct"/>
            <w:tcBorders>
              <w:top w:val="nil"/>
              <w:left w:val="nil"/>
              <w:bottom w:val="single" w:sz="4" w:space="0" w:color="auto"/>
              <w:right w:val="single" w:sz="4" w:space="0" w:color="auto"/>
            </w:tcBorders>
            <w:shd w:val="clear" w:color="auto" w:fill="auto"/>
            <w:noWrap/>
            <w:vAlign w:val="bottom"/>
          </w:tcPr>
          <w:p w14:paraId="7E895912" w14:textId="77777777" w:rsidR="00893D5B" w:rsidRPr="000250FA" w:rsidRDefault="00893D5B" w:rsidP="00026782">
            <w:pPr>
              <w:tabs>
                <w:tab w:val="left" w:pos="9781"/>
              </w:tabs>
              <w:ind w:right="917"/>
              <w:jc w:val="right"/>
              <w:rPr>
                <w:bCs/>
                <w:iCs/>
                <w:sz w:val="22"/>
                <w:szCs w:val="22"/>
              </w:rPr>
            </w:pPr>
            <w:r w:rsidRPr="000250FA">
              <w:rPr>
                <w:bCs/>
                <w:iCs/>
                <w:sz w:val="22"/>
                <w:szCs w:val="22"/>
              </w:rPr>
              <w:t>250</w:t>
            </w:r>
          </w:p>
        </w:tc>
      </w:tr>
      <w:tr w:rsidR="00893D5B" w:rsidRPr="000250FA" w14:paraId="2D383FB0" w14:textId="77777777" w:rsidTr="00026782">
        <w:trPr>
          <w:trHeight w:val="300"/>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267E0" w14:textId="77777777" w:rsidR="00893D5B" w:rsidRPr="000250FA" w:rsidRDefault="00893D5B" w:rsidP="00026782">
            <w:pPr>
              <w:tabs>
                <w:tab w:val="left" w:pos="9781"/>
              </w:tabs>
              <w:ind w:right="-144"/>
              <w:jc w:val="both"/>
              <w:rPr>
                <w:bCs/>
                <w:iCs/>
                <w:sz w:val="22"/>
                <w:szCs w:val="22"/>
              </w:rPr>
            </w:pPr>
            <w:r w:rsidRPr="000250FA">
              <w:rPr>
                <w:bCs/>
                <w:iCs/>
                <w:sz w:val="22"/>
                <w:szCs w:val="22"/>
              </w:rPr>
              <w:t xml:space="preserve">c) </w:t>
            </w:r>
            <w:proofErr w:type="gramStart"/>
            <w:r w:rsidRPr="000250FA">
              <w:rPr>
                <w:bCs/>
                <w:sz w:val="22"/>
                <w:szCs w:val="22"/>
              </w:rPr>
              <w:t>A</w:t>
            </w:r>
            <w:proofErr w:type="gramEnd"/>
            <w:r w:rsidRPr="000250FA">
              <w:rPr>
                <w:bCs/>
                <w:sz w:val="22"/>
                <w:szCs w:val="22"/>
              </w:rPr>
              <w:t xml:space="preserve"> 97. § (2) bekezdésében meghatározott vezetők (kivéve dékánhelyettes, </w:t>
            </w:r>
            <w:r w:rsidRPr="000250FA">
              <w:rPr>
                <w:bCs/>
                <w:iCs/>
                <w:sz w:val="22"/>
                <w:szCs w:val="22"/>
              </w:rPr>
              <w:t>Tanárképző Központ főigazgatója)</w:t>
            </w:r>
          </w:p>
        </w:tc>
        <w:tc>
          <w:tcPr>
            <w:tcW w:w="960" w:type="pct"/>
            <w:tcBorders>
              <w:top w:val="single" w:sz="4" w:space="0" w:color="auto"/>
              <w:left w:val="nil"/>
              <w:bottom w:val="single" w:sz="4" w:space="0" w:color="auto"/>
              <w:right w:val="single" w:sz="4" w:space="0" w:color="auto"/>
            </w:tcBorders>
            <w:shd w:val="clear" w:color="auto" w:fill="auto"/>
            <w:noWrap/>
            <w:vAlign w:val="bottom"/>
          </w:tcPr>
          <w:p w14:paraId="1097DE4F" w14:textId="77777777" w:rsidR="00893D5B" w:rsidRPr="000250FA" w:rsidRDefault="00893D5B" w:rsidP="00026782">
            <w:pPr>
              <w:tabs>
                <w:tab w:val="left" w:pos="9781"/>
              </w:tabs>
              <w:ind w:right="917"/>
              <w:jc w:val="right"/>
              <w:rPr>
                <w:bCs/>
                <w:iCs/>
                <w:sz w:val="22"/>
                <w:szCs w:val="22"/>
              </w:rPr>
            </w:pPr>
            <w:r w:rsidRPr="000250FA">
              <w:rPr>
                <w:bCs/>
                <w:iCs/>
                <w:sz w:val="22"/>
                <w:szCs w:val="22"/>
              </w:rPr>
              <w:t>200</w:t>
            </w:r>
          </w:p>
        </w:tc>
      </w:tr>
      <w:tr w:rsidR="00893D5B" w:rsidRPr="000250FA" w14:paraId="19B52E74" w14:textId="77777777" w:rsidTr="00026782">
        <w:trPr>
          <w:trHeight w:val="300"/>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0053F" w14:textId="77777777" w:rsidR="00893D5B" w:rsidRPr="000250FA" w:rsidRDefault="00893D5B" w:rsidP="00026782">
            <w:pPr>
              <w:tabs>
                <w:tab w:val="left" w:pos="9781"/>
              </w:tabs>
              <w:ind w:right="-144"/>
              <w:jc w:val="both"/>
              <w:rPr>
                <w:bCs/>
                <w:iCs/>
                <w:sz w:val="22"/>
                <w:szCs w:val="22"/>
              </w:rPr>
            </w:pPr>
            <w:r w:rsidRPr="000250FA">
              <w:rPr>
                <w:bCs/>
                <w:iCs/>
                <w:sz w:val="22"/>
                <w:szCs w:val="22"/>
              </w:rPr>
              <w:t>d)</w:t>
            </w:r>
            <w:r w:rsidRPr="000250FA">
              <w:rPr>
                <w:bCs/>
                <w:sz w:val="22"/>
                <w:szCs w:val="22"/>
              </w:rPr>
              <w:t xml:space="preserve"> </w:t>
            </w:r>
            <w:proofErr w:type="gramStart"/>
            <w:r w:rsidRPr="000250FA">
              <w:rPr>
                <w:bCs/>
                <w:sz w:val="22"/>
                <w:szCs w:val="22"/>
              </w:rPr>
              <w:t>A</w:t>
            </w:r>
            <w:proofErr w:type="gramEnd"/>
            <w:r w:rsidRPr="000250FA">
              <w:rPr>
                <w:bCs/>
                <w:sz w:val="22"/>
                <w:szCs w:val="22"/>
              </w:rPr>
              <w:t xml:space="preserve"> 97. § (2) bekezdésében meghatározott vezetők helyettesei</w:t>
            </w:r>
          </w:p>
        </w:tc>
        <w:tc>
          <w:tcPr>
            <w:tcW w:w="960" w:type="pct"/>
            <w:tcBorders>
              <w:top w:val="single" w:sz="4" w:space="0" w:color="auto"/>
              <w:left w:val="nil"/>
              <w:bottom w:val="single" w:sz="4" w:space="0" w:color="auto"/>
              <w:right w:val="single" w:sz="4" w:space="0" w:color="auto"/>
            </w:tcBorders>
            <w:shd w:val="clear" w:color="auto" w:fill="auto"/>
            <w:noWrap/>
            <w:vAlign w:val="bottom"/>
          </w:tcPr>
          <w:p w14:paraId="50063893" w14:textId="77777777" w:rsidR="00893D5B" w:rsidRPr="000250FA" w:rsidRDefault="00893D5B" w:rsidP="00026782">
            <w:pPr>
              <w:tabs>
                <w:tab w:val="left" w:pos="9781"/>
              </w:tabs>
              <w:ind w:right="917"/>
              <w:jc w:val="right"/>
              <w:rPr>
                <w:bCs/>
                <w:iCs/>
                <w:sz w:val="22"/>
                <w:szCs w:val="22"/>
              </w:rPr>
            </w:pPr>
            <w:r w:rsidRPr="000250FA">
              <w:rPr>
                <w:bCs/>
                <w:iCs/>
                <w:sz w:val="22"/>
                <w:szCs w:val="22"/>
              </w:rPr>
              <w:t>150</w:t>
            </w:r>
          </w:p>
        </w:tc>
      </w:tr>
      <w:tr w:rsidR="00893D5B" w:rsidRPr="000250FA" w14:paraId="269CAC9D" w14:textId="77777777" w:rsidTr="00026782">
        <w:trPr>
          <w:trHeight w:val="300"/>
        </w:trPr>
        <w:tc>
          <w:tcPr>
            <w:tcW w:w="4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3E3D1" w14:textId="77777777" w:rsidR="00893D5B" w:rsidRPr="000250FA" w:rsidRDefault="00893D5B" w:rsidP="00026782">
            <w:pPr>
              <w:tabs>
                <w:tab w:val="left" w:pos="9781"/>
              </w:tabs>
              <w:ind w:right="-144"/>
              <w:jc w:val="both"/>
              <w:rPr>
                <w:bCs/>
                <w:iCs/>
                <w:sz w:val="22"/>
                <w:szCs w:val="22"/>
              </w:rPr>
            </w:pPr>
            <w:r w:rsidRPr="000250FA">
              <w:rPr>
                <w:bCs/>
                <w:iCs/>
                <w:sz w:val="22"/>
                <w:szCs w:val="22"/>
              </w:rPr>
              <w:t>e) SZMSZ szerinti csoport vezetője</w:t>
            </w:r>
          </w:p>
        </w:tc>
        <w:tc>
          <w:tcPr>
            <w:tcW w:w="960" w:type="pct"/>
            <w:tcBorders>
              <w:top w:val="single" w:sz="4" w:space="0" w:color="auto"/>
              <w:left w:val="nil"/>
              <w:bottom w:val="single" w:sz="4" w:space="0" w:color="auto"/>
              <w:right w:val="single" w:sz="4" w:space="0" w:color="auto"/>
            </w:tcBorders>
            <w:shd w:val="clear" w:color="auto" w:fill="auto"/>
            <w:noWrap/>
            <w:vAlign w:val="bottom"/>
          </w:tcPr>
          <w:p w14:paraId="3407B44D" w14:textId="77777777" w:rsidR="00893D5B" w:rsidRPr="000250FA" w:rsidRDefault="00893D5B" w:rsidP="00026782">
            <w:pPr>
              <w:tabs>
                <w:tab w:val="left" w:pos="9781"/>
              </w:tabs>
              <w:ind w:right="917"/>
              <w:jc w:val="right"/>
              <w:rPr>
                <w:bCs/>
                <w:iCs/>
                <w:sz w:val="22"/>
                <w:szCs w:val="22"/>
              </w:rPr>
            </w:pPr>
            <w:r w:rsidRPr="000250FA">
              <w:rPr>
                <w:bCs/>
                <w:iCs/>
                <w:sz w:val="22"/>
                <w:szCs w:val="22"/>
              </w:rPr>
              <w:t>100</w:t>
            </w:r>
          </w:p>
        </w:tc>
      </w:tr>
    </w:tbl>
    <w:p w14:paraId="6396D72E" w14:textId="77777777" w:rsidR="00893D5B" w:rsidRPr="000250FA" w:rsidRDefault="00893D5B" w:rsidP="00893D5B">
      <w:pPr>
        <w:tabs>
          <w:tab w:val="left" w:pos="9781"/>
        </w:tabs>
        <w:autoSpaceDE w:val="0"/>
        <w:autoSpaceDN w:val="0"/>
        <w:adjustRightInd w:val="0"/>
        <w:ind w:right="-144"/>
        <w:jc w:val="both"/>
        <w:rPr>
          <w:b/>
          <w:i/>
          <w:sz w:val="22"/>
          <w:szCs w:val="22"/>
        </w:rPr>
      </w:pPr>
    </w:p>
    <w:p w14:paraId="2CC9D8E1"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sz w:val="22"/>
          <w:szCs w:val="22"/>
        </w:rPr>
        <w:t>(3)</w:t>
      </w:r>
      <w:r w:rsidRPr="000250FA">
        <w:rPr>
          <w:rStyle w:val="Lbjegyzet-hivatkozs"/>
          <w:sz w:val="22"/>
          <w:szCs w:val="22"/>
        </w:rPr>
        <w:footnoteReference w:id="445"/>
      </w:r>
      <w:r w:rsidRPr="000250FA">
        <w:rPr>
          <w:sz w:val="22"/>
          <w:szCs w:val="22"/>
        </w:rPr>
        <w:t xml:space="preserve"> A köznevelési intézmények vezetőinek vezetői </w:t>
      </w:r>
      <w:proofErr w:type="spellStart"/>
      <w:r w:rsidRPr="000250FA">
        <w:rPr>
          <w:sz w:val="22"/>
          <w:szCs w:val="22"/>
        </w:rPr>
        <w:t>pótlékát</w:t>
      </w:r>
      <w:proofErr w:type="spellEnd"/>
      <w:r w:rsidRPr="000250FA">
        <w:rPr>
          <w:sz w:val="22"/>
          <w:szCs w:val="22"/>
        </w:rPr>
        <w:t xml:space="preserve"> és vezetői keresetkiegészítését a nemzeti köznevelésről szóló 2011. évi CXC. törvény rendelkezéseinek figyelembe vételével a munkáltatói jogok gyakorlója</w:t>
      </w:r>
      <w:r w:rsidRPr="000250FA">
        <w:rPr>
          <w:b/>
          <w:i/>
          <w:sz w:val="22"/>
          <w:szCs w:val="22"/>
        </w:rPr>
        <w:t xml:space="preserve"> </w:t>
      </w:r>
      <w:r w:rsidRPr="000250FA">
        <w:rPr>
          <w:sz w:val="22"/>
          <w:szCs w:val="22"/>
        </w:rPr>
        <w:t>állapítja meg.</w:t>
      </w:r>
    </w:p>
    <w:p w14:paraId="5691E90F" w14:textId="77777777" w:rsidR="00893D5B" w:rsidRPr="000250FA" w:rsidRDefault="00893D5B" w:rsidP="00893D5B">
      <w:pPr>
        <w:tabs>
          <w:tab w:val="left" w:pos="9781"/>
        </w:tabs>
        <w:autoSpaceDE w:val="0"/>
        <w:autoSpaceDN w:val="0"/>
        <w:adjustRightInd w:val="0"/>
        <w:ind w:right="-144"/>
        <w:jc w:val="both"/>
        <w:rPr>
          <w:sz w:val="22"/>
          <w:szCs w:val="22"/>
        </w:rPr>
      </w:pPr>
    </w:p>
    <w:p w14:paraId="36A6BC91"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(4) A vezetői megbízások SZMSZ</w:t>
      </w:r>
      <w:r w:rsidRPr="000250FA">
        <w:rPr>
          <w:b/>
          <w:i/>
          <w:color w:val="auto"/>
          <w:sz w:val="22"/>
          <w:szCs w:val="22"/>
        </w:rPr>
        <w:t xml:space="preserve"> </w:t>
      </w:r>
      <w:r w:rsidRPr="000250FA">
        <w:rPr>
          <w:color w:val="auto"/>
          <w:sz w:val="22"/>
          <w:szCs w:val="22"/>
        </w:rPr>
        <w:t xml:space="preserve">szerinti </w:t>
      </w:r>
      <w:proofErr w:type="gramStart"/>
      <w:r w:rsidRPr="000250FA">
        <w:rPr>
          <w:color w:val="auto"/>
          <w:sz w:val="22"/>
          <w:szCs w:val="22"/>
        </w:rPr>
        <w:t>konkrét</w:t>
      </w:r>
      <w:proofErr w:type="gramEnd"/>
      <w:r w:rsidRPr="000250FA">
        <w:rPr>
          <w:color w:val="auto"/>
          <w:sz w:val="22"/>
          <w:szCs w:val="22"/>
        </w:rPr>
        <w:t xml:space="preserve"> elnevezését és a hozzájuk rendelt vezetői pótlék mértékét jelen § keretei között a Kollektív Szerződés meghatározhatja.</w:t>
      </w:r>
    </w:p>
    <w:p w14:paraId="359CD188" w14:textId="77777777" w:rsidR="00893D5B" w:rsidRPr="000250FA" w:rsidRDefault="00893D5B" w:rsidP="00893D5B">
      <w:pPr>
        <w:tabs>
          <w:tab w:val="left" w:pos="9781"/>
        </w:tabs>
        <w:ind w:right="-144"/>
        <w:jc w:val="both"/>
        <w:rPr>
          <w:sz w:val="22"/>
          <w:szCs w:val="22"/>
        </w:rPr>
      </w:pPr>
    </w:p>
    <w:p w14:paraId="5C1F137D" w14:textId="77777777" w:rsidR="00893D5B" w:rsidRPr="000250FA" w:rsidRDefault="00893D5B" w:rsidP="00893D5B">
      <w:pPr>
        <w:tabs>
          <w:tab w:val="left" w:pos="9781"/>
        </w:tabs>
        <w:ind w:right="-144"/>
        <w:jc w:val="both"/>
        <w:rPr>
          <w:sz w:val="22"/>
          <w:szCs w:val="22"/>
        </w:rPr>
      </w:pPr>
      <w:r w:rsidRPr="000250FA">
        <w:rPr>
          <w:sz w:val="22"/>
          <w:szCs w:val="22"/>
        </w:rPr>
        <w:t>(5) Amennyiben a magasabb vezető, illetve vezető címpótlékra is jogosult, részére a vezetői pótlék jár.</w:t>
      </w:r>
    </w:p>
    <w:p w14:paraId="2F3B8E62" w14:textId="77777777" w:rsidR="00893D5B" w:rsidRPr="000250FA" w:rsidRDefault="00893D5B" w:rsidP="00893D5B">
      <w:pPr>
        <w:tabs>
          <w:tab w:val="left" w:pos="9781"/>
        </w:tabs>
        <w:ind w:right="-144"/>
        <w:jc w:val="both"/>
        <w:rPr>
          <w:sz w:val="22"/>
          <w:szCs w:val="22"/>
        </w:rPr>
      </w:pPr>
    </w:p>
    <w:p w14:paraId="1AD215A1" w14:textId="77777777" w:rsidR="00893D5B" w:rsidRPr="000250FA" w:rsidRDefault="00893D5B" w:rsidP="00385CF2">
      <w:pPr>
        <w:tabs>
          <w:tab w:val="left" w:pos="9781"/>
        </w:tabs>
        <w:ind w:right="-144"/>
        <w:jc w:val="both"/>
        <w:rPr>
          <w:sz w:val="22"/>
          <w:szCs w:val="22"/>
        </w:rPr>
      </w:pPr>
      <w:r w:rsidRPr="000250FA">
        <w:rPr>
          <w:b/>
          <w:sz w:val="22"/>
          <w:szCs w:val="22"/>
        </w:rPr>
        <w:t>147/A. §</w:t>
      </w:r>
      <w:r w:rsidRPr="000250FA">
        <w:rPr>
          <w:b/>
          <w:i/>
          <w:sz w:val="22"/>
          <w:szCs w:val="22"/>
        </w:rPr>
        <w:t xml:space="preserve"> </w:t>
      </w:r>
      <w:r w:rsidRPr="000250FA">
        <w:rPr>
          <w:sz w:val="22"/>
          <w:szCs w:val="22"/>
        </w:rPr>
        <w:t>(1) A magasabb vezetők és vezetők részére a vezetői tevékenység ellátásával összefüggésben prémiumfeladat tűzhető ki. A prémium - ideértve a többletfeladat ellátásáért megállapított prémiumot is- mértéke napt</w:t>
      </w:r>
      <w:r w:rsidR="00385CF2">
        <w:rPr>
          <w:sz w:val="22"/>
          <w:szCs w:val="22"/>
        </w:rPr>
        <w:t>ári évenként nem haladhatja meg</w:t>
      </w:r>
    </w:p>
    <w:p w14:paraId="089474AB" w14:textId="77777777" w:rsidR="00893D5B" w:rsidRPr="000250FA" w:rsidRDefault="00893D5B" w:rsidP="00F83E93">
      <w:pPr>
        <w:numPr>
          <w:ilvl w:val="0"/>
          <w:numId w:val="130"/>
        </w:numPr>
        <w:jc w:val="both"/>
        <w:rPr>
          <w:sz w:val="22"/>
          <w:szCs w:val="22"/>
        </w:rPr>
      </w:pPr>
      <w:r w:rsidRPr="000250FA">
        <w:rPr>
          <w:sz w:val="22"/>
          <w:szCs w:val="22"/>
        </w:rPr>
        <w:t>magasabb vezető esetén az egy naptári évre számított illetményének tíz százalékát,</w:t>
      </w:r>
    </w:p>
    <w:p w14:paraId="424C79EB" w14:textId="77777777" w:rsidR="00893D5B" w:rsidRPr="000250FA" w:rsidRDefault="00893D5B" w:rsidP="00F83E93">
      <w:pPr>
        <w:numPr>
          <w:ilvl w:val="0"/>
          <w:numId w:val="130"/>
        </w:numPr>
        <w:jc w:val="both"/>
        <w:rPr>
          <w:sz w:val="22"/>
          <w:szCs w:val="22"/>
        </w:rPr>
      </w:pPr>
      <w:r w:rsidRPr="000250FA">
        <w:rPr>
          <w:sz w:val="22"/>
          <w:szCs w:val="22"/>
        </w:rPr>
        <w:t>vezető esetén az egy naptári évre számított illetményének öt százalékát.</w:t>
      </w:r>
    </w:p>
    <w:p w14:paraId="0AEE1640" w14:textId="77777777" w:rsidR="00893D5B" w:rsidRPr="000250FA" w:rsidRDefault="00893D5B" w:rsidP="00893D5B">
      <w:pPr>
        <w:tabs>
          <w:tab w:val="left" w:pos="9781"/>
        </w:tabs>
        <w:ind w:right="-144"/>
        <w:jc w:val="both"/>
        <w:rPr>
          <w:sz w:val="22"/>
          <w:szCs w:val="22"/>
        </w:rPr>
      </w:pPr>
    </w:p>
    <w:p w14:paraId="6AD83B9C" w14:textId="77777777" w:rsidR="00893D5B" w:rsidRPr="000250FA" w:rsidRDefault="00893D5B" w:rsidP="00893D5B">
      <w:pPr>
        <w:tabs>
          <w:tab w:val="left" w:pos="9781"/>
        </w:tabs>
        <w:ind w:right="-144"/>
        <w:jc w:val="both"/>
        <w:rPr>
          <w:sz w:val="22"/>
          <w:szCs w:val="22"/>
        </w:rPr>
      </w:pPr>
      <w:r w:rsidRPr="000250FA">
        <w:rPr>
          <w:sz w:val="22"/>
          <w:szCs w:val="22"/>
        </w:rPr>
        <w:t>(2) A magasabb vezető és vezető a nem vezetői tevékenysége körébe tartozó feladatok ellátásáért jutalomban részesíthető. A jutalom és a prémium együttes összege naptári évenként nem haladhatja meg a magasabb vezető, vezető tárgyévi illetményének harminc százalékát. Az egy naptári évre számított illetmény összegének meghatározásakor a vezetői pótlékot figyelembe kell venni.</w:t>
      </w:r>
    </w:p>
    <w:p w14:paraId="0473CFE1" w14:textId="77777777" w:rsidR="00893D5B" w:rsidRPr="000250FA" w:rsidRDefault="00893D5B" w:rsidP="00893D5B">
      <w:pPr>
        <w:tabs>
          <w:tab w:val="left" w:pos="9781"/>
        </w:tabs>
        <w:ind w:right="-144"/>
        <w:jc w:val="both"/>
        <w:rPr>
          <w:sz w:val="22"/>
          <w:szCs w:val="22"/>
        </w:rPr>
      </w:pPr>
    </w:p>
    <w:p w14:paraId="69FA961F" w14:textId="77777777" w:rsidR="00893D5B" w:rsidRPr="000250FA" w:rsidRDefault="00893D5B" w:rsidP="00893D5B">
      <w:pPr>
        <w:tabs>
          <w:tab w:val="left" w:pos="9781"/>
        </w:tabs>
        <w:ind w:right="-144"/>
        <w:jc w:val="both"/>
        <w:rPr>
          <w:sz w:val="22"/>
          <w:szCs w:val="22"/>
        </w:rPr>
      </w:pPr>
      <w:r w:rsidRPr="000250FA">
        <w:rPr>
          <w:sz w:val="22"/>
          <w:szCs w:val="22"/>
        </w:rPr>
        <w:t>(3) A vezetői tevékenységbe tartozó feladatok ellátásáért a magasabb vezető, vezető jutalomban és keresetkiegészítésben nem részesülhet.</w:t>
      </w:r>
    </w:p>
    <w:p w14:paraId="4D5E039E" w14:textId="77777777" w:rsidR="00893D5B" w:rsidRPr="000250FA" w:rsidRDefault="00893D5B" w:rsidP="00893D5B">
      <w:pPr>
        <w:tabs>
          <w:tab w:val="left" w:pos="9781"/>
        </w:tabs>
        <w:ind w:right="-144"/>
        <w:jc w:val="center"/>
        <w:rPr>
          <w:b/>
          <w:sz w:val="22"/>
          <w:szCs w:val="22"/>
        </w:rPr>
      </w:pPr>
    </w:p>
    <w:p w14:paraId="2ABDB4DE" w14:textId="77777777" w:rsidR="00893D5B" w:rsidRPr="000250FA" w:rsidRDefault="00893D5B" w:rsidP="00893D5B">
      <w:pPr>
        <w:pStyle w:val="Cmsor5"/>
        <w:rPr>
          <w:color w:val="auto"/>
          <w:sz w:val="22"/>
          <w:szCs w:val="22"/>
        </w:rPr>
      </w:pPr>
      <w:bookmarkStart w:id="302" w:name="_Toc432753643"/>
      <w:r w:rsidRPr="000250FA">
        <w:rPr>
          <w:color w:val="auto"/>
          <w:sz w:val="22"/>
          <w:szCs w:val="22"/>
        </w:rPr>
        <w:t>Az oktatók díjazására vonatkozó külön szabályok</w:t>
      </w:r>
      <w:bookmarkEnd w:id="302"/>
    </w:p>
    <w:p w14:paraId="4AD074C6" w14:textId="77777777" w:rsidR="00893D5B" w:rsidRPr="000250FA" w:rsidRDefault="00893D5B" w:rsidP="00893D5B">
      <w:pPr>
        <w:tabs>
          <w:tab w:val="left" w:pos="9781"/>
        </w:tabs>
        <w:ind w:right="-144"/>
        <w:jc w:val="both"/>
        <w:rPr>
          <w:sz w:val="22"/>
          <w:szCs w:val="22"/>
        </w:rPr>
      </w:pPr>
    </w:p>
    <w:p w14:paraId="3A1CBEC0" w14:textId="77777777" w:rsidR="00893D5B" w:rsidRPr="000250FA" w:rsidRDefault="00893D5B" w:rsidP="00893D5B">
      <w:pPr>
        <w:jc w:val="both"/>
        <w:rPr>
          <w:bCs/>
          <w:sz w:val="22"/>
          <w:szCs w:val="22"/>
        </w:rPr>
      </w:pPr>
      <w:r w:rsidRPr="000250FA">
        <w:rPr>
          <w:b/>
          <w:sz w:val="22"/>
          <w:szCs w:val="22"/>
        </w:rPr>
        <w:t>148. §</w:t>
      </w:r>
      <w:r w:rsidRPr="000250FA">
        <w:rPr>
          <w:sz w:val="22"/>
          <w:szCs w:val="22"/>
        </w:rPr>
        <w:t xml:space="preserve"> </w:t>
      </w:r>
      <w:r w:rsidRPr="000250FA">
        <w:rPr>
          <w:bCs/>
          <w:sz w:val="22"/>
          <w:szCs w:val="22"/>
        </w:rPr>
        <w:t>(1)</w:t>
      </w:r>
      <w:r w:rsidRPr="000250FA">
        <w:rPr>
          <w:rStyle w:val="Lbjegyzet-hivatkozs"/>
          <w:bCs/>
          <w:sz w:val="22"/>
          <w:szCs w:val="22"/>
        </w:rPr>
        <w:footnoteReference w:id="446"/>
      </w:r>
      <w:r w:rsidRPr="000250FA">
        <w:rPr>
          <w:bCs/>
          <w:sz w:val="22"/>
          <w:szCs w:val="22"/>
        </w:rPr>
        <w:t xml:space="preserve"> A felsőoktatási intézményben oktatói, illetve tudományos kutatói munkakörben foglalkoztatott munkabérét, illetve illetményét (a továbbiakban együtt: havi rendszeres járandóság) az </w:t>
      </w:r>
      <w:r w:rsidRPr="000250FA">
        <w:rPr>
          <w:bCs/>
          <w:sz w:val="22"/>
          <w:szCs w:val="22"/>
        </w:rPr>
        <w:lastRenderedPageBreak/>
        <w:t xml:space="preserve">éves költségvetésről szóló törvényben meghatározott egyetemi tanári munkakör 1. fizetési fokozatának </w:t>
      </w:r>
      <w:proofErr w:type="gramStart"/>
      <w:r w:rsidRPr="000250FA">
        <w:rPr>
          <w:bCs/>
          <w:sz w:val="22"/>
          <w:szCs w:val="22"/>
        </w:rPr>
        <w:t>garantált</w:t>
      </w:r>
      <w:proofErr w:type="gramEnd"/>
      <w:r w:rsidRPr="000250FA">
        <w:rPr>
          <w:bCs/>
          <w:sz w:val="22"/>
          <w:szCs w:val="22"/>
        </w:rPr>
        <w:t xml:space="preserve"> illetménye alapján kell megállapítani, a Kjt. 2. számú mellékletének alkalmazásával. Amennyiben az oktató egészségügyi tevékenységet végez, az illetmény megállapításánál a 2003. évi LXXXIV. törvény rendelkezéseire figyelemmel kell lenni.</w:t>
      </w:r>
    </w:p>
    <w:p w14:paraId="7BCE9806" w14:textId="77777777" w:rsidR="00893D5B" w:rsidRPr="000250FA" w:rsidRDefault="00893D5B" w:rsidP="00893D5B">
      <w:pPr>
        <w:jc w:val="both"/>
        <w:rPr>
          <w:sz w:val="22"/>
          <w:szCs w:val="22"/>
        </w:rPr>
      </w:pPr>
    </w:p>
    <w:p w14:paraId="3FAB1AF0" w14:textId="77777777" w:rsidR="00893D5B" w:rsidRPr="000250FA" w:rsidRDefault="00893D5B" w:rsidP="00893D5B">
      <w:pPr>
        <w:jc w:val="both"/>
        <w:rPr>
          <w:sz w:val="22"/>
          <w:szCs w:val="22"/>
        </w:rPr>
      </w:pPr>
      <w:r w:rsidRPr="000250FA">
        <w:rPr>
          <w:sz w:val="22"/>
          <w:szCs w:val="22"/>
        </w:rPr>
        <w:t>(2) Annál, aki az egészségügyi felsőoktatási intézmény képzési feladataiban és egészségügyi szolgáltatással összefüggő feladataiban is - munkaköri feladataként részt vesz, meg kell határozni, hogy a teljes munkaidő mekkora részét kell az oktatói, illetőleg az egészségügyi szolgáltatással összefüggő feladatokra fordítani. Ilyen foglalkoztatás esetén az egyes tevékenységekre vonatkozó foglalkoztatási és munkaidő-megosztáshoz igazodó díjazási szabályokat alkalmazni kell.</w:t>
      </w:r>
    </w:p>
    <w:p w14:paraId="22352D4D" w14:textId="77777777" w:rsidR="00893D5B" w:rsidRPr="000250FA" w:rsidRDefault="00893D5B" w:rsidP="00893D5B">
      <w:pPr>
        <w:tabs>
          <w:tab w:val="left" w:pos="9781"/>
        </w:tabs>
        <w:ind w:right="-144"/>
        <w:rPr>
          <w:b/>
          <w:sz w:val="22"/>
          <w:szCs w:val="22"/>
        </w:rPr>
      </w:pPr>
    </w:p>
    <w:p w14:paraId="6D179AB8" w14:textId="77777777" w:rsidR="00893D5B" w:rsidRPr="000250FA" w:rsidRDefault="00893D5B" w:rsidP="00893D5B">
      <w:pPr>
        <w:pStyle w:val="Cmsor1"/>
      </w:pPr>
      <w:bookmarkStart w:id="303" w:name="_Toc432753644"/>
      <w:bookmarkStart w:id="304" w:name="_Toc444603578"/>
      <w:bookmarkStart w:id="305" w:name="_Toc445200837"/>
      <w:bookmarkStart w:id="306" w:name="_Toc58569561"/>
      <w:r w:rsidRPr="000250FA">
        <w:t>KILENCEDIK RÉSZ</w:t>
      </w:r>
      <w:r w:rsidRPr="000250FA">
        <w:rPr>
          <w:rStyle w:val="Lbjegyzet-hivatkozs"/>
          <w:b w:val="0"/>
        </w:rPr>
        <w:footnoteReference w:id="447"/>
      </w:r>
      <w:bookmarkEnd w:id="303"/>
      <w:bookmarkEnd w:id="304"/>
      <w:bookmarkEnd w:id="305"/>
      <w:bookmarkEnd w:id="306"/>
    </w:p>
    <w:p w14:paraId="3D976414" w14:textId="77777777" w:rsidR="00893D5B" w:rsidRPr="000250FA" w:rsidRDefault="00893D5B" w:rsidP="00893D5B">
      <w:pPr>
        <w:tabs>
          <w:tab w:val="left" w:pos="9781"/>
        </w:tabs>
        <w:ind w:right="-144"/>
        <w:jc w:val="both"/>
        <w:rPr>
          <w:b/>
          <w:sz w:val="22"/>
          <w:szCs w:val="22"/>
        </w:rPr>
      </w:pPr>
    </w:p>
    <w:p w14:paraId="73E72802" w14:textId="77777777" w:rsidR="00893D5B" w:rsidRPr="000250FA" w:rsidRDefault="00893D5B" w:rsidP="00893D5B">
      <w:pPr>
        <w:pStyle w:val="Cmsor2"/>
      </w:pPr>
      <w:bookmarkStart w:id="307" w:name="_Toc432753645"/>
      <w:bookmarkStart w:id="308" w:name="_Toc444603579"/>
      <w:bookmarkStart w:id="309" w:name="_Toc445200838"/>
      <w:bookmarkStart w:id="310" w:name="_Toc58569562"/>
      <w:r w:rsidRPr="000250FA">
        <w:t>A habilitációs eljárás</w:t>
      </w:r>
      <w:bookmarkEnd w:id="307"/>
      <w:bookmarkEnd w:id="308"/>
      <w:bookmarkEnd w:id="309"/>
      <w:bookmarkEnd w:id="310"/>
    </w:p>
    <w:p w14:paraId="05F6BF47" w14:textId="77777777" w:rsidR="00893D5B" w:rsidRPr="000250FA" w:rsidRDefault="00893D5B" w:rsidP="00893D5B">
      <w:pPr>
        <w:widowControl w:val="0"/>
        <w:tabs>
          <w:tab w:val="left" w:pos="9781"/>
        </w:tabs>
        <w:ind w:right="-144"/>
        <w:jc w:val="both"/>
        <w:rPr>
          <w:b/>
          <w:sz w:val="22"/>
          <w:szCs w:val="22"/>
        </w:rPr>
      </w:pPr>
    </w:p>
    <w:p w14:paraId="6614C5A8" w14:textId="77777777" w:rsidR="00893D5B" w:rsidRPr="000250FA" w:rsidRDefault="00893D5B" w:rsidP="00893D5B">
      <w:pPr>
        <w:pStyle w:val="Cmsor3"/>
        <w:rPr>
          <w:lang w:val="hu-HU"/>
        </w:rPr>
      </w:pPr>
      <w:bookmarkStart w:id="311" w:name="_Toc432753646"/>
      <w:bookmarkStart w:id="312" w:name="_Toc444603580"/>
      <w:bookmarkStart w:id="313" w:name="_Toc58569563"/>
      <w:bookmarkStart w:id="314" w:name="_Toc445200839"/>
      <w:r w:rsidRPr="000250FA">
        <w:t>Általános szabályok</w:t>
      </w:r>
      <w:bookmarkEnd w:id="311"/>
      <w:bookmarkEnd w:id="312"/>
      <w:bookmarkEnd w:id="313"/>
      <w:r w:rsidRPr="000250FA">
        <w:rPr>
          <w:lang w:val="hu-HU"/>
        </w:rPr>
        <w:t xml:space="preserve"> </w:t>
      </w:r>
      <w:bookmarkEnd w:id="314"/>
    </w:p>
    <w:p w14:paraId="45EFA715" w14:textId="77777777" w:rsidR="00893D5B" w:rsidRPr="000250FA" w:rsidRDefault="00893D5B" w:rsidP="00893D5B">
      <w:pPr>
        <w:rPr>
          <w:lang w:eastAsia="x-none"/>
        </w:rPr>
      </w:pPr>
    </w:p>
    <w:p w14:paraId="15E99D6F" w14:textId="77777777" w:rsidR="00893D5B" w:rsidRPr="000250FA" w:rsidRDefault="00893D5B" w:rsidP="00893D5B">
      <w:pPr>
        <w:jc w:val="both"/>
        <w:rPr>
          <w:strike/>
          <w:sz w:val="22"/>
          <w:szCs w:val="22"/>
        </w:rPr>
      </w:pPr>
      <w:r w:rsidRPr="000250FA">
        <w:rPr>
          <w:b/>
          <w:sz w:val="22"/>
          <w:szCs w:val="22"/>
        </w:rPr>
        <w:t>149. §</w:t>
      </w:r>
      <w:r w:rsidRPr="000250FA">
        <w:rPr>
          <w:b/>
          <w:i/>
          <w:sz w:val="22"/>
          <w:szCs w:val="22"/>
        </w:rPr>
        <w:t xml:space="preserve"> </w:t>
      </w:r>
      <w:r w:rsidRPr="000250FA">
        <w:rPr>
          <w:sz w:val="22"/>
          <w:szCs w:val="22"/>
        </w:rPr>
        <w:t>(1) A habilitáció az oktatói és az előadói képesség, valamint a tudományos, művészeti (továbbiakban együtt: tudományos) teljesítmény Egyetemi megítélése. A pályázó a habilitációs szabályzatban meghatározott módon bizonyítja tudományos, szakmai eredményeit, továbbá a doktori fokozat megszerzése után folytatott oktatói, kutatói, gyakorlati, alkotói teljesítményét.</w:t>
      </w:r>
    </w:p>
    <w:p w14:paraId="3E4965C5" w14:textId="77777777" w:rsidR="00893D5B" w:rsidRPr="000250FA" w:rsidRDefault="00893D5B" w:rsidP="00893D5B">
      <w:pPr>
        <w:rPr>
          <w:strike/>
          <w:sz w:val="22"/>
          <w:szCs w:val="22"/>
        </w:rPr>
      </w:pPr>
    </w:p>
    <w:p w14:paraId="20D2041F" w14:textId="77777777" w:rsidR="00893D5B" w:rsidRPr="000250FA" w:rsidRDefault="00893D5B" w:rsidP="00893D5B">
      <w:pPr>
        <w:tabs>
          <w:tab w:val="left" w:pos="9781"/>
        </w:tabs>
        <w:ind w:right="-144"/>
        <w:jc w:val="both"/>
        <w:rPr>
          <w:sz w:val="22"/>
          <w:szCs w:val="22"/>
        </w:rPr>
      </w:pPr>
      <w:r w:rsidRPr="000250FA">
        <w:rPr>
          <w:sz w:val="22"/>
          <w:szCs w:val="22"/>
        </w:rPr>
        <w:t>(2) A tudományterületek, művészeti területek és tudományágak (továbbiakban együtt: tudományterületek, tudományágak) felsorolását, amelyekben az Egyetem doktori képzésre és doktori fokozat odaítélésére, és habilitációs eljárás lefolytatására is jogosult (akkreditált), a habilitációs szabályzat 1. számú melléklete tartalmazza.</w:t>
      </w:r>
    </w:p>
    <w:p w14:paraId="33F4CCAA" w14:textId="77777777" w:rsidR="00893D5B" w:rsidRPr="000250FA" w:rsidRDefault="00893D5B" w:rsidP="00893D5B">
      <w:pPr>
        <w:rPr>
          <w:b/>
          <w:i/>
          <w:sz w:val="22"/>
          <w:szCs w:val="22"/>
        </w:rPr>
      </w:pPr>
    </w:p>
    <w:p w14:paraId="515C6076" w14:textId="77777777" w:rsidR="00893D5B" w:rsidRPr="000250FA" w:rsidRDefault="00893D5B" w:rsidP="00893D5B">
      <w:pPr>
        <w:tabs>
          <w:tab w:val="left" w:pos="9781"/>
        </w:tabs>
        <w:ind w:right="-144"/>
        <w:jc w:val="both"/>
        <w:rPr>
          <w:sz w:val="22"/>
          <w:szCs w:val="22"/>
        </w:rPr>
      </w:pPr>
      <w:r w:rsidRPr="000250FA">
        <w:rPr>
          <w:b/>
          <w:sz w:val="22"/>
          <w:szCs w:val="22"/>
        </w:rPr>
        <w:t xml:space="preserve">150. § </w:t>
      </w:r>
      <w:r w:rsidRPr="000250FA">
        <w:rPr>
          <w:sz w:val="22"/>
          <w:szCs w:val="22"/>
        </w:rPr>
        <w:t xml:space="preserve">(1) Habilitációs ügyekben habilitációs testületek (egyetemi és kari szintű habilitációs bizottságok, illetve tanácsok) és </w:t>
      </w:r>
      <w:proofErr w:type="gramStart"/>
      <w:r w:rsidRPr="000250FA">
        <w:rPr>
          <w:sz w:val="22"/>
          <w:szCs w:val="22"/>
        </w:rPr>
        <w:t>ad hoc</w:t>
      </w:r>
      <w:proofErr w:type="gramEnd"/>
      <w:r w:rsidRPr="000250FA">
        <w:rPr>
          <w:sz w:val="22"/>
          <w:szCs w:val="22"/>
        </w:rPr>
        <w:t xml:space="preserve"> szakmai bíráló bizottságok (a továbbiakban:</w:t>
      </w:r>
      <w:r w:rsidRPr="000250FA">
        <w:rPr>
          <w:bCs/>
          <w:sz w:val="22"/>
          <w:szCs w:val="22"/>
        </w:rPr>
        <w:t xml:space="preserve"> </w:t>
      </w:r>
      <w:r w:rsidRPr="000250FA">
        <w:rPr>
          <w:sz w:val="22"/>
          <w:szCs w:val="22"/>
        </w:rPr>
        <w:t>SZBB) működnek közre.</w:t>
      </w:r>
    </w:p>
    <w:p w14:paraId="5FED6C60" w14:textId="77777777" w:rsidR="00893D5B" w:rsidRPr="000250FA" w:rsidRDefault="00893D5B" w:rsidP="00893D5B">
      <w:pPr>
        <w:tabs>
          <w:tab w:val="left" w:pos="9781"/>
        </w:tabs>
        <w:ind w:right="-144"/>
        <w:jc w:val="both"/>
        <w:rPr>
          <w:sz w:val="22"/>
          <w:szCs w:val="22"/>
        </w:rPr>
      </w:pPr>
    </w:p>
    <w:p w14:paraId="32639317" w14:textId="77777777" w:rsidR="00893D5B" w:rsidRPr="000250FA" w:rsidRDefault="00893D5B" w:rsidP="00893D5B">
      <w:pPr>
        <w:tabs>
          <w:tab w:val="left" w:pos="9781"/>
        </w:tabs>
        <w:ind w:right="-144"/>
        <w:jc w:val="both"/>
        <w:rPr>
          <w:sz w:val="22"/>
          <w:szCs w:val="22"/>
        </w:rPr>
      </w:pPr>
      <w:r w:rsidRPr="000250FA">
        <w:rPr>
          <w:sz w:val="22"/>
          <w:szCs w:val="22"/>
        </w:rPr>
        <w:t>(2) Habilitációs testület</w:t>
      </w:r>
    </w:p>
    <w:p w14:paraId="310EA8A1" w14:textId="77777777" w:rsidR="00893D5B" w:rsidRPr="000250FA" w:rsidRDefault="00893D5B" w:rsidP="00893D5B">
      <w:pPr>
        <w:tabs>
          <w:tab w:val="left" w:pos="9781"/>
        </w:tabs>
        <w:ind w:right="-144"/>
        <w:jc w:val="both"/>
        <w:rPr>
          <w:sz w:val="22"/>
          <w:szCs w:val="22"/>
        </w:rPr>
      </w:pPr>
      <w:proofErr w:type="gramStart"/>
      <w:r w:rsidRPr="000250FA">
        <w:rPr>
          <w:sz w:val="22"/>
          <w:szCs w:val="22"/>
        </w:rPr>
        <w:t>az</w:t>
      </w:r>
      <w:proofErr w:type="gramEnd"/>
      <w:r w:rsidRPr="000250FA">
        <w:rPr>
          <w:sz w:val="22"/>
          <w:szCs w:val="22"/>
        </w:rPr>
        <w:t xml:space="preserve"> Egyetemi Habilitációs és Habitusvizsgáló Bizottság (a továbbiakban: EHHB),</w:t>
      </w:r>
    </w:p>
    <w:p w14:paraId="1A680913" w14:textId="77777777" w:rsidR="00893D5B" w:rsidRPr="000250FA" w:rsidRDefault="00893D5B" w:rsidP="00893D5B">
      <w:pPr>
        <w:tabs>
          <w:tab w:val="left" w:pos="9781"/>
        </w:tabs>
        <w:ind w:right="-144"/>
        <w:jc w:val="both"/>
        <w:rPr>
          <w:sz w:val="22"/>
          <w:szCs w:val="22"/>
        </w:rPr>
      </w:pPr>
      <w:proofErr w:type="gramStart"/>
      <w:r w:rsidRPr="000250FA">
        <w:rPr>
          <w:sz w:val="22"/>
          <w:szCs w:val="22"/>
        </w:rPr>
        <w:t>a</w:t>
      </w:r>
      <w:proofErr w:type="gramEnd"/>
      <w:r w:rsidRPr="000250FA">
        <w:rPr>
          <w:sz w:val="22"/>
          <w:szCs w:val="22"/>
        </w:rPr>
        <w:t xml:space="preserve"> kari doktori és habilitációs tanács (a továbbiakban: KDHT) a kar belső habilitációs szabályzatában meghatározottak szerint.</w:t>
      </w:r>
    </w:p>
    <w:p w14:paraId="2430D68D" w14:textId="77777777" w:rsidR="00893D5B" w:rsidRPr="000250FA" w:rsidRDefault="00893D5B" w:rsidP="00893D5B">
      <w:pPr>
        <w:tabs>
          <w:tab w:val="left" w:pos="9781"/>
        </w:tabs>
        <w:ind w:right="-144"/>
        <w:jc w:val="both"/>
        <w:rPr>
          <w:sz w:val="22"/>
          <w:szCs w:val="22"/>
        </w:rPr>
      </w:pPr>
    </w:p>
    <w:p w14:paraId="00A39EFE" w14:textId="77777777" w:rsidR="00893D5B" w:rsidRPr="000250FA" w:rsidRDefault="00893D5B" w:rsidP="00893D5B">
      <w:pPr>
        <w:tabs>
          <w:tab w:val="left" w:pos="9781"/>
        </w:tabs>
        <w:ind w:right="-144"/>
        <w:jc w:val="both"/>
        <w:rPr>
          <w:sz w:val="22"/>
          <w:szCs w:val="22"/>
        </w:rPr>
      </w:pPr>
      <w:r w:rsidRPr="000250FA">
        <w:rPr>
          <w:sz w:val="22"/>
          <w:szCs w:val="22"/>
        </w:rPr>
        <w:t>(3) A karon a habilitációs testület feladatait önálló kari habilitációs bizottság, illetve tanács is elláthatja. Ebben az esetben jelen szabályzat rendelkezéseit a kari habilitációs testületre, illetve annak eljárásra kell alkalmazni. A testület összetételére, hatáskörére vonatkozó kari rendelkezéseket a kari habilitációs szabályzat tartalmazza.</w:t>
      </w:r>
    </w:p>
    <w:p w14:paraId="2017197E" w14:textId="77777777" w:rsidR="00893D5B" w:rsidRPr="000250FA" w:rsidRDefault="00893D5B" w:rsidP="00893D5B">
      <w:pPr>
        <w:tabs>
          <w:tab w:val="left" w:pos="9781"/>
        </w:tabs>
        <w:ind w:right="-144"/>
        <w:jc w:val="both"/>
        <w:rPr>
          <w:sz w:val="22"/>
          <w:szCs w:val="22"/>
        </w:rPr>
      </w:pPr>
    </w:p>
    <w:p w14:paraId="3139B87D" w14:textId="77777777" w:rsidR="00893D5B" w:rsidRPr="000250FA" w:rsidRDefault="00893D5B" w:rsidP="00893D5B">
      <w:pPr>
        <w:tabs>
          <w:tab w:val="left" w:pos="9781"/>
        </w:tabs>
        <w:ind w:right="-144"/>
        <w:jc w:val="both"/>
        <w:rPr>
          <w:sz w:val="22"/>
          <w:szCs w:val="22"/>
        </w:rPr>
      </w:pPr>
      <w:r w:rsidRPr="000250FA">
        <w:rPr>
          <w:sz w:val="22"/>
          <w:szCs w:val="22"/>
        </w:rPr>
        <w:t>(4) A habilitációs ügyekben közreműködő testületek összetételére, működésére vonatkozó részletes szabályokat a habilitációs szabályzat tartalmazza.</w:t>
      </w:r>
    </w:p>
    <w:p w14:paraId="0E675DDB" w14:textId="77777777" w:rsidR="00893D5B" w:rsidRPr="000250FA" w:rsidRDefault="00893D5B" w:rsidP="00893D5B">
      <w:pPr>
        <w:rPr>
          <w:sz w:val="22"/>
          <w:szCs w:val="22"/>
        </w:rPr>
      </w:pPr>
    </w:p>
    <w:p w14:paraId="2E884C80" w14:textId="77777777" w:rsidR="00893D5B" w:rsidRPr="000250FA" w:rsidRDefault="00893D5B" w:rsidP="00893D5B">
      <w:pPr>
        <w:jc w:val="both"/>
        <w:rPr>
          <w:sz w:val="22"/>
          <w:szCs w:val="22"/>
        </w:rPr>
      </w:pPr>
      <w:r w:rsidRPr="000250FA">
        <w:rPr>
          <w:b/>
          <w:sz w:val="22"/>
          <w:szCs w:val="22"/>
        </w:rPr>
        <w:t>151. §</w:t>
      </w:r>
      <w:r w:rsidRPr="000250FA">
        <w:rPr>
          <w:b/>
          <w:i/>
          <w:sz w:val="22"/>
          <w:szCs w:val="22"/>
        </w:rPr>
        <w:t xml:space="preserve"> </w:t>
      </w:r>
      <w:r w:rsidRPr="000250FA">
        <w:rPr>
          <w:sz w:val="22"/>
          <w:szCs w:val="22"/>
        </w:rPr>
        <w:t>A habilitációs eljárás megindítására, az eljárás formai és tartalmi kellékeire, az eljárás és a jogorvoslat rendjére, az eljárás díjára vonatkozó részletes szabályokat a habilitációs szabályzat tartalmazza.</w:t>
      </w:r>
    </w:p>
    <w:p w14:paraId="3DEB9398" w14:textId="77777777" w:rsidR="00893D5B" w:rsidRPr="000250FA" w:rsidRDefault="00893D5B" w:rsidP="00893D5B">
      <w:pPr>
        <w:rPr>
          <w:sz w:val="22"/>
          <w:szCs w:val="22"/>
        </w:rPr>
      </w:pPr>
    </w:p>
    <w:p w14:paraId="1189FC2F" w14:textId="77777777" w:rsidR="00893D5B" w:rsidRPr="000250FA" w:rsidRDefault="00893D5B" w:rsidP="00893D5B">
      <w:pPr>
        <w:tabs>
          <w:tab w:val="left" w:pos="9781"/>
        </w:tabs>
        <w:ind w:right="-144"/>
        <w:jc w:val="both"/>
        <w:rPr>
          <w:sz w:val="22"/>
          <w:szCs w:val="22"/>
        </w:rPr>
      </w:pPr>
      <w:r w:rsidRPr="000250FA">
        <w:rPr>
          <w:b/>
          <w:sz w:val="22"/>
          <w:szCs w:val="22"/>
        </w:rPr>
        <w:t>152. §</w:t>
      </w:r>
      <w:r w:rsidRPr="000250FA">
        <w:rPr>
          <w:b/>
          <w:i/>
          <w:sz w:val="22"/>
          <w:szCs w:val="22"/>
        </w:rPr>
        <w:t xml:space="preserve"> </w:t>
      </w:r>
      <w:r w:rsidRPr="000250FA">
        <w:rPr>
          <w:sz w:val="22"/>
          <w:szCs w:val="22"/>
        </w:rPr>
        <w:t>(1) A KDHT támogató javaslata alapján az EHHB az eljárás jogszerűségének megvizsgálása után odaítéli a pályázónak a „habilitált doktori” (dr. habil.) címet, és habilitációs oklevelet (</w:t>
      </w:r>
      <w:proofErr w:type="spellStart"/>
      <w:r w:rsidRPr="000250FA">
        <w:rPr>
          <w:sz w:val="22"/>
          <w:szCs w:val="22"/>
        </w:rPr>
        <w:t>decretum</w:t>
      </w:r>
      <w:proofErr w:type="spellEnd"/>
      <w:r w:rsidRPr="000250FA">
        <w:rPr>
          <w:sz w:val="22"/>
          <w:szCs w:val="22"/>
        </w:rPr>
        <w:t xml:space="preserve"> </w:t>
      </w:r>
      <w:proofErr w:type="spellStart"/>
      <w:r w:rsidRPr="000250FA">
        <w:rPr>
          <w:sz w:val="22"/>
          <w:szCs w:val="22"/>
        </w:rPr>
        <w:t>habilitationis</w:t>
      </w:r>
      <w:proofErr w:type="spellEnd"/>
      <w:r w:rsidRPr="000250FA">
        <w:rPr>
          <w:sz w:val="22"/>
          <w:szCs w:val="22"/>
        </w:rPr>
        <w:t>) ad ki. Az oklevél tartalmazza a tudományág megjelölését, amelyben a pályázó a habilitációt elnyerte. A kiadott habilitációs oklevelekről az Egyetem anyakönyvet vezet.</w:t>
      </w:r>
    </w:p>
    <w:p w14:paraId="759C5DA7" w14:textId="77777777" w:rsidR="00893D5B" w:rsidRPr="000250FA" w:rsidRDefault="00893D5B" w:rsidP="00893D5B">
      <w:pPr>
        <w:tabs>
          <w:tab w:val="left" w:pos="9781"/>
        </w:tabs>
        <w:ind w:right="-144"/>
        <w:jc w:val="both"/>
        <w:rPr>
          <w:sz w:val="22"/>
          <w:szCs w:val="22"/>
        </w:rPr>
      </w:pPr>
    </w:p>
    <w:p w14:paraId="0AC1D3EC" w14:textId="77777777" w:rsidR="00893D5B" w:rsidRPr="000250FA" w:rsidRDefault="00893D5B" w:rsidP="00893D5B">
      <w:pPr>
        <w:tabs>
          <w:tab w:val="left" w:pos="9781"/>
        </w:tabs>
        <w:ind w:right="-144"/>
        <w:jc w:val="both"/>
        <w:rPr>
          <w:sz w:val="22"/>
          <w:szCs w:val="22"/>
        </w:rPr>
      </w:pPr>
      <w:r w:rsidRPr="000250FA">
        <w:rPr>
          <w:sz w:val="22"/>
          <w:szCs w:val="22"/>
        </w:rPr>
        <w:lastRenderedPageBreak/>
        <w:t xml:space="preserve">(2) Az EHHB döntéséről értesíti a pályázót, továbbá gondoskodik az oklevél kiállításáról, a habilitációs anyakönyvbe történő bejegyzésről, és – a rektori utasításban kijelölt adatközlő útján – a felsőoktatási </w:t>
      </w:r>
      <w:proofErr w:type="gramStart"/>
      <w:r w:rsidRPr="000250FA">
        <w:rPr>
          <w:sz w:val="22"/>
          <w:szCs w:val="22"/>
        </w:rPr>
        <w:t>információs</w:t>
      </w:r>
      <w:proofErr w:type="gramEnd"/>
      <w:r w:rsidRPr="000250FA">
        <w:rPr>
          <w:sz w:val="22"/>
          <w:szCs w:val="22"/>
        </w:rPr>
        <w:t xml:space="preserve"> rendszer értesítéséről.</w:t>
      </w:r>
    </w:p>
    <w:p w14:paraId="48EBA8C6" w14:textId="77777777" w:rsidR="00893D5B" w:rsidRPr="000250FA" w:rsidRDefault="00893D5B" w:rsidP="00893D5B">
      <w:pPr>
        <w:tabs>
          <w:tab w:val="left" w:pos="9781"/>
        </w:tabs>
        <w:ind w:right="-144"/>
        <w:jc w:val="both"/>
        <w:rPr>
          <w:b/>
          <w:i/>
          <w:sz w:val="22"/>
          <w:szCs w:val="22"/>
        </w:rPr>
      </w:pPr>
    </w:p>
    <w:p w14:paraId="13B69BEF" w14:textId="77777777" w:rsidR="00893D5B" w:rsidRPr="000250FA" w:rsidRDefault="00893D5B" w:rsidP="00893D5B">
      <w:pPr>
        <w:tabs>
          <w:tab w:val="left" w:pos="9781"/>
        </w:tabs>
        <w:ind w:right="-144"/>
        <w:jc w:val="both"/>
        <w:rPr>
          <w:sz w:val="22"/>
          <w:szCs w:val="22"/>
        </w:rPr>
      </w:pPr>
      <w:r w:rsidRPr="000250FA">
        <w:rPr>
          <w:b/>
          <w:bCs/>
          <w:sz w:val="22"/>
          <w:szCs w:val="22"/>
        </w:rPr>
        <w:t>153. §</w:t>
      </w:r>
      <w:r w:rsidRPr="000250FA">
        <w:rPr>
          <w:rStyle w:val="Lbjegyzet-hivatkozs"/>
          <w:b/>
          <w:bCs/>
          <w:sz w:val="22"/>
          <w:szCs w:val="22"/>
        </w:rPr>
        <w:footnoteReference w:id="448"/>
      </w:r>
      <w:r w:rsidRPr="000250FA">
        <w:rPr>
          <w:b/>
          <w:bCs/>
          <w:i/>
          <w:sz w:val="22"/>
          <w:szCs w:val="22"/>
        </w:rPr>
        <w:t xml:space="preserve"> </w:t>
      </w:r>
      <w:r w:rsidRPr="000250FA">
        <w:rPr>
          <w:sz w:val="22"/>
          <w:szCs w:val="22"/>
        </w:rPr>
        <w:t>(1) A habilitációs oklevelet az Egyetem rektora ünnepélyes keretek között nyújtja át. A</w:t>
      </w:r>
      <w:r w:rsidRPr="000250FA">
        <w:rPr>
          <w:bCs/>
          <w:sz w:val="22"/>
          <w:szCs w:val="22"/>
        </w:rPr>
        <w:t xml:space="preserve"> </w:t>
      </w:r>
      <w:r w:rsidRPr="000250FA">
        <w:rPr>
          <w:sz w:val="22"/>
          <w:szCs w:val="22"/>
        </w:rPr>
        <w:t>habilitációs oklevél mintáját a habilitációs szabályzat 5. számú és jelen szabályzat 7. számú melléklete, a habilitációs oklevélhez tartozó adatlapot jelen szabályzat 8. melléklete tartalmazza.</w:t>
      </w:r>
    </w:p>
    <w:p w14:paraId="5F88D7CB" w14:textId="77777777" w:rsidR="00893D5B" w:rsidRPr="000250FA" w:rsidRDefault="00893D5B" w:rsidP="00893D5B">
      <w:pPr>
        <w:tabs>
          <w:tab w:val="left" w:pos="9781"/>
        </w:tabs>
        <w:ind w:right="-144"/>
        <w:jc w:val="both"/>
        <w:rPr>
          <w:sz w:val="22"/>
          <w:szCs w:val="22"/>
        </w:rPr>
      </w:pPr>
    </w:p>
    <w:p w14:paraId="1FCB7AE3" w14:textId="77777777" w:rsidR="00893D5B" w:rsidRPr="000250FA" w:rsidRDefault="00893D5B" w:rsidP="00893D5B">
      <w:pPr>
        <w:tabs>
          <w:tab w:val="left" w:pos="9781"/>
        </w:tabs>
        <w:ind w:right="-144"/>
        <w:jc w:val="both"/>
        <w:rPr>
          <w:sz w:val="22"/>
          <w:szCs w:val="22"/>
        </w:rPr>
      </w:pPr>
      <w:r w:rsidRPr="000250FA">
        <w:rPr>
          <w:sz w:val="22"/>
          <w:szCs w:val="22"/>
        </w:rPr>
        <w:t>(2)</w:t>
      </w:r>
      <w:r w:rsidRPr="000250FA">
        <w:rPr>
          <w:rStyle w:val="Lbjegyzet-hivatkozs"/>
          <w:sz w:val="22"/>
          <w:szCs w:val="22"/>
        </w:rPr>
        <w:footnoteReference w:id="449"/>
      </w:r>
      <w:r w:rsidRPr="000250FA">
        <w:rPr>
          <w:sz w:val="22"/>
          <w:szCs w:val="22"/>
        </w:rPr>
        <w:t xml:space="preserve"> Az eljárás befejezése után az eljárás nyomtatásban meg nem jelent iratanyagát a Rektori Kabinet, illetve az Egyetem Levéltára őrzi. Az iratanyag nem selejtezhető.</w:t>
      </w:r>
    </w:p>
    <w:p w14:paraId="5C361EC5" w14:textId="77777777" w:rsidR="00893D5B" w:rsidRPr="000250FA" w:rsidRDefault="00893D5B" w:rsidP="00893D5B">
      <w:pPr>
        <w:tabs>
          <w:tab w:val="left" w:pos="9781"/>
        </w:tabs>
        <w:ind w:right="-144"/>
        <w:jc w:val="both"/>
        <w:rPr>
          <w:b/>
          <w:i/>
          <w:sz w:val="22"/>
          <w:szCs w:val="22"/>
        </w:rPr>
      </w:pPr>
    </w:p>
    <w:p w14:paraId="23475046" w14:textId="77777777" w:rsidR="00893D5B" w:rsidRPr="000250FA" w:rsidRDefault="00893D5B" w:rsidP="00893D5B">
      <w:pPr>
        <w:pStyle w:val="Cmsor3"/>
      </w:pPr>
      <w:bookmarkStart w:id="315" w:name="_Toc432753647"/>
      <w:bookmarkStart w:id="316" w:name="_Toc444603581"/>
      <w:bookmarkStart w:id="317" w:name="_Toc445200840"/>
      <w:bookmarkStart w:id="318" w:name="_Toc58569564"/>
      <w:r w:rsidRPr="000250FA">
        <w:t>A habilitált doktor jogai és kötelezettségei</w:t>
      </w:r>
      <w:bookmarkEnd w:id="315"/>
      <w:bookmarkEnd w:id="316"/>
      <w:bookmarkEnd w:id="317"/>
      <w:bookmarkEnd w:id="318"/>
    </w:p>
    <w:p w14:paraId="01DF45B4" w14:textId="77777777" w:rsidR="00893D5B" w:rsidRPr="000250FA" w:rsidRDefault="00893D5B" w:rsidP="00893D5B">
      <w:pPr>
        <w:widowControl w:val="0"/>
        <w:tabs>
          <w:tab w:val="left" w:pos="9781"/>
        </w:tabs>
        <w:ind w:right="-144"/>
        <w:jc w:val="both"/>
        <w:rPr>
          <w:b/>
          <w:bCs/>
          <w:i/>
          <w:sz w:val="22"/>
          <w:szCs w:val="22"/>
        </w:rPr>
      </w:pPr>
    </w:p>
    <w:p w14:paraId="6D81CDAC" w14:textId="77777777" w:rsidR="00893D5B" w:rsidRPr="000250FA" w:rsidRDefault="00893D5B" w:rsidP="00893D5B">
      <w:pPr>
        <w:widowControl w:val="0"/>
        <w:tabs>
          <w:tab w:val="left" w:pos="9781"/>
        </w:tabs>
        <w:ind w:right="-144"/>
        <w:jc w:val="both"/>
        <w:rPr>
          <w:sz w:val="22"/>
          <w:szCs w:val="22"/>
        </w:rPr>
      </w:pPr>
      <w:r w:rsidRPr="000250FA">
        <w:rPr>
          <w:b/>
          <w:sz w:val="22"/>
          <w:szCs w:val="22"/>
        </w:rPr>
        <w:t>154. §</w:t>
      </w:r>
      <w:r w:rsidRPr="000250FA">
        <w:rPr>
          <w:b/>
          <w:i/>
          <w:sz w:val="22"/>
          <w:szCs w:val="22"/>
        </w:rPr>
        <w:t xml:space="preserve"> </w:t>
      </w:r>
      <w:r w:rsidRPr="000250FA">
        <w:rPr>
          <w:sz w:val="22"/>
          <w:szCs w:val="22"/>
        </w:rPr>
        <w:t xml:space="preserve">(1) A habilitációt szerzett személy </w:t>
      </w:r>
    </w:p>
    <w:p w14:paraId="27BC4409" w14:textId="77777777" w:rsidR="00893D5B" w:rsidRPr="000250FA" w:rsidRDefault="00893D5B" w:rsidP="00893D5B">
      <w:pPr>
        <w:widowControl w:val="0"/>
        <w:tabs>
          <w:tab w:val="left" w:pos="9781"/>
        </w:tabs>
        <w:ind w:right="-144"/>
        <w:jc w:val="both"/>
        <w:rPr>
          <w:sz w:val="22"/>
          <w:szCs w:val="22"/>
        </w:rPr>
      </w:pPr>
    </w:p>
    <w:p w14:paraId="7C8AE41C" w14:textId="77777777" w:rsidR="00893D5B" w:rsidRPr="000250FA" w:rsidRDefault="00A94F79" w:rsidP="00A94F79">
      <w:pPr>
        <w:widowControl w:val="0"/>
        <w:tabs>
          <w:tab w:val="left" w:pos="9781"/>
        </w:tabs>
        <w:ind w:left="284" w:right="-144"/>
        <w:jc w:val="both"/>
        <w:rPr>
          <w:sz w:val="22"/>
          <w:szCs w:val="22"/>
        </w:rPr>
      </w:pPr>
      <w:proofErr w:type="gramStart"/>
      <w:r>
        <w:rPr>
          <w:sz w:val="22"/>
          <w:szCs w:val="22"/>
        </w:rPr>
        <w:t>a</w:t>
      </w:r>
      <w:proofErr w:type="gramEnd"/>
      <w:r>
        <w:rPr>
          <w:sz w:val="22"/>
          <w:szCs w:val="22"/>
        </w:rPr>
        <w:t xml:space="preserve">) </w:t>
      </w:r>
      <w:r w:rsidR="00893D5B" w:rsidRPr="000250FA">
        <w:rPr>
          <w:sz w:val="22"/>
          <w:szCs w:val="22"/>
        </w:rPr>
        <w:t>használhatja a “habilitált” (“dr. habil.”) megjelölést,</w:t>
      </w:r>
    </w:p>
    <w:p w14:paraId="775DF404" w14:textId="77777777" w:rsidR="00893D5B" w:rsidRPr="000250FA" w:rsidRDefault="00A94F79" w:rsidP="00A94F79">
      <w:pPr>
        <w:widowControl w:val="0"/>
        <w:tabs>
          <w:tab w:val="left" w:pos="9781"/>
        </w:tabs>
        <w:ind w:left="284" w:right="-144"/>
        <w:jc w:val="both"/>
      </w:pPr>
      <w:r>
        <w:rPr>
          <w:sz w:val="22"/>
          <w:szCs w:val="22"/>
        </w:rPr>
        <w:t xml:space="preserve">b) </w:t>
      </w:r>
      <w:r w:rsidR="00893D5B" w:rsidRPr="000250FA">
        <w:rPr>
          <w:sz w:val="22"/>
          <w:szCs w:val="22"/>
        </w:rPr>
        <w:t>azon a tudományszakon, ahol a habilitációt lefolytatták, önálló egyetemi előadásokat hirdethet (</w:t>
      </w:r>
      <w:proofErr w:type="spellStart"/>
      <w:r w:rsidR="00893D5B" w:rsidRPr="000250FA">
        <w:rPr>
          <w:sz w:val="22"/>
          <w:szCs w:val="22"/>
        </w:rPr>
        <w:t>venia</w:t>
      </w:r>
      <w:proofErr w:type="spellEnd"/>
      <w:r w:rsidR="00893D5B" w:rsidRPr="000250FA">
        <w:rPr>
          <w:sz w:val="22"/>
          <w:szCs w:val="22"/>
        </w:rPr>
        <w:t xml:space="preserve"> legendi).</w:t>
      </w:r>
    </w:p>
    <w:p w14:paraId="6A672261" w14:textId="77777777" w:rsidR="00893D5B" w:rsidRPr="000250FA" w:rsidRDefault="00893D5B" w:rsidP="00893D5B">
      <w:pPr>
        <w:widowControl w:val="0"/>
        <w:tabs>
          <w:tab w:val="left" w:pos="9781"/>
        </w:tabs>
        <w:ind w:right="-144"/>
        <w:jc w:val="both"/>
        <w:rPr>
          <w:sz w:val="22"/>
          <w:szCs w:val="22"/>
        </w:rPr>
      </w:pPr>
    </w:p>
    <w:p w14:paraId="119ED6DB" w14:textId="77777777" w:rsidR="00893D5B" w:rsidRPr="000250FA" w:rsidRDefault="00893D5B" w:rsidP="00893D5B">
      <w:pPr>
        <w:widowControl w:val="0"/>
        <w:tabs>
          <w:tab w:val="left" w:pos="9781"/>
        </w:tabs>
        <w:ind w:right="-144"/>
        <w:jc w:val="both"/>
        <w:rPr>
          <w:sz w:val="22"/>
          <w:szCs w:val="22"/>
        </w:rPr>
      </w:pPr>
      <w:r w:rsidRPr="000250FA">
        <w:rPr>
          <w:sz w:val="22"/>
          <w:szCs w:val="22"/>
        </w:rPr>
        <w:t>(2) A habilitált doktortól elvárható:</w:t>
      </w:r>
    </w:p>
    <w:p w14:paraId="15A54D74" w14:textId="77777777" w:rsidR="00893D5B" w:rsidRPr="000250FA" w:rsidRDefault="00893D5B" w:rsidP="00893D5B">
      <w:pPr>
        <w:widowControl w:val="0"/>
        <w:tabs>
          <w:tab w:val="left" w:pos="9781"/>
        </w:tabs>
        <w:ind w:right="-144"/>
        <w:jc w:val="both"/>
        <w:rPr>
          <w:sz w:val="22"/>
          <w:szCs w:val="22"/>
        </w:rPr>
      </w:pPr>
    </w:p>
    <w:p w14:paraId="01990FF8" w14:textId="77777777" w:rsidR="00893D5B" w:rsidRPr="000250FA" w:rsidRDefault="00A94F79" w:rsidP="00A94F79">
      <w:pPr>
        <w:widowControl w:val="0"/>
        <w:tabs>
          <w:tab w:val="left" w:pos="9781"/>
        </w:tabs>
        <w:ind w:left="284" w:right="-144"/>
        <w:jc w:val="both"/>
        <w:rPr>
          <w:sz w:val="22"/>
          <w:szCs w:val="22"/>
        </w:rPr>
      </w:pPr>
      <w:proofErr w:type="gramStart"/>
      <w:r>
        <w:rPr>
          <w:sz w:val="22"/>
          <w:szCs w:val="22"/>
        </w:rPr>
        <w:t>a</w:t>
      </w:r>
      <w:proofErr w:type="gramEnd"/>
      <w:r>
        <w:rPr>
          <w:sz w:val="22"/>
          <w:szCs w:val="22"/>
        </w:rPr>
        <w:t xml:space="preserve">) </w:t>
      </w:r>
      <w:r w:rsidR="00893D5B" w:rsidRPr="000250FA">
        <w:rPr>
          <w:sz w:val="22"/>
          <w:szCs w:val="22"/>
        </w:rPr>
        <w:t>rendszeres előadástartás a nyugdíjkorhatár eléréséig,</w:t>
      </w:r>
    </w:p>
    <w:p w14:paraId="680652BE" w14:textId="77777777" w:rsidR="00893D5B" w:rsidRPr="000250FA" w:rsidRDefault="00A94F79" w:rsidP="00A94F79">
      <w:pPr>
        <w:widowControl w:val="0"/>
        <w:tabs>
          <w:tab w:val="left" w:pos="9781"/>
        </w:tabs>
        <w:ind w:left="284" w:right="-144"/>
        <w:jc w:val="both"/>
        <w:rPr>
          <w:sz w:val="22"/>
          <w:szCs w:val="22"/>
        </w:rPr>
      </w:pPr>
      <w:r>
        <w:rPr>
          <w:sz w:val="22"/>
          <w:szCs w:val="22"/>
        </w:rPr>
        <w:t xml:space="preserve">b) </w:t>
      </w:r>
      <w:r w:rsidR="00893D5B" w:rsidRPr="000250FA">
        <w:rPr>
          <w:sz w:val="22"/>
          <w:szCs w:val="22"/>
        </w:rPr>
        <w:t>felkérésre szigorlati illetve záróvizsga-bizottságokban való részvétel, továbbá közreműködés doktori (</w:t>
      </w:r>
      <w:proofErr w:type="spellStart"/>
      <w:r w:rsidR="00893D5B" w:rsidRPr="000250FA">
        <w:rPr>
          <w:sz w:val="22"/>
          <w:szCs w:val="22"/>
        </w:rPr>
        <w:t>phd</w:t>
      </w:r>
      <w:proofErr w:type="spellEnd"/>
      <w:r w:rsidR="00893D5B" w:rsidRPr="000250FA">
        <w:rPr>
          <w:sz w:val="22"/>
          <w:szCs w:val="22"/>
        </w:rPr>
        <w:t>.) és habilitációs eljárásokban,</w:t>
      </w:r>
    </w:p>
    <w:p w14:paraId="55A11EF6" w14:textId="77777777" w:rsidR="00893D5B" w:rsidRPr="000250FA" w:rsidRDefault="00A94F79" w:rsidP="00A94F79">
      <w:pPr>
        <w:widowControl w:val="0"/>
        <w:tabs>
          <w:tab w:val="left" w:pos="9781"/>
        </w:tabs>
        <w:ind w:left="284" w:right="-144"/>
        <w:jc w:val="both"/>
        <w:rPr>
          <w:sz w:val="22"/>
          <w:szCs w:val="22"/>
        </w:rPr>
      </w:pPr>
      <w:r>
        <w:rPr>
          <w:sz w:val="22"/>
          <w:szCs w:val="22"/>
        </w:rPr>
        <w:t xml:space="preserve">c) </w:t>
      </w:r>
      <w:r w:rsidR="00893D5B" w:rsidRPr="000250FA">
        <w:rPr>
          <w:sz w:val="22"/>
          <w:szCs w:val="22"/>
        </w:rPr>
        <w:t>az Egyetem hírnevének öregbítése és annak megfelelő magatartás tanúsítása.</w:t>
      </w:r>
    </w:p>
    <w:p w14:paraId="212DA3CD" w14:textId="77777777" w:rsidR="00893D5B" w:rsidRPr="000250FA" w:rsidRDefault="00893D5B" w:rsidP="00893D5B">
      <w:pPr>
        <w:tabs>
          <w:tab w:val="left" w:pos="9781"/>
        </w:tabs>
        <w:ind w:right="-144"/>
        <w:rPr>
          <w:b/>
          <w:sz w:val="22"/>
          <w:szCs w:val="22"/>
        </w:rPr>
      </w:pPr>
    </w:p>
    <w:p w14:paraId="6EF1C08B" w14:textId="77777777" w:rsidR="00893D5B" w:rsidRPr="000250FA" w:rsidRDefault="00893D5B" w:rsidP="00893D5B">
      <w:pPr>
        <w:tabs>
          <w:tab w:val="left" w:pos="9781"/>
        </w:tabs>
        <w:ind w:right="-144"/>
        <w:rPr>
          <w:b/>
          <w:sz w:val="22"/>
          <w:szCs w:val="22"/>
        </w:rPr>
      </w:pPr>
      <w:r w:rsidRPr="000250FA">
        <w:rPr>
          <w:b/>
          <w:sz w:val="22"/>
          <w:szCs w:val="22"/>
        </w:rPr>
        <w:t>155-162. §</w:t>
      </w:r>
    </w:p>
    <w:p w14:paraId="4B7482DD" w14:textId="77777777" w:rsidR="00893D5B" w:rsidRPr="000250FA" w:rsidRDefault="00893D5B" w:rsidP="00893D5B">
      <w:pPr>
        <w:pStyle w:val="Cmsor1"/>
      </w:pPr>
      <w:bookmarkStart w:id="319" w:name="_Toc432753648"/>
      <w:bookmarkStart w:id="320" w:name="_Toc444603582"/>
      <w:bookmarkStart w:id="321" w:name="_Toc445200841"/>
      <w:bookmarkStart w:id="322" w:name="_Toc58569565"/>
      <w:r w:rsidRPr="000250FA">
        <w:t>TIZEDIK RÉSZ</w:t>
      </w:r>
      <w:bookmarkEnd w:id="319"/>
      <w:bookmarkEnd w:id="320"/>
      <w:bookmarkEnd w:id="321"/>
      <w:bookmarkEnd w:id="322"/>
    </w:p>
    <w:p w14:paraId="4FCD478E" w14:textId="77777777" w:rsidR="00893D5B" w:rsidRPr="000250FA" w:rsidRDefault="00893D5B" w:rsidP="00893D5B">
      <w:pPr>
        <w:tabs>
          <w:tab w:val="left" w:pos="9781"/>
        </w:tabs>
        <w:ind w:right="-144"/>
        <w:jc w:val="both"/>
        <w:rPr>
          <w:sz w:val="22"/>
          <w:szCs w:val="22"/>
        </w:rPr>
      </w:pPr>
    </w:p>
    <w:p w14:paraId="113EE250" w14:textId="77777777" w:rsidR="00893D5B" w:rsidRPr="000250FA" w:rsidRDefault="00893D5B" w:rsidP="00893D5B">
      <w:pPr>
        <w:pStyle w:val="Cmsor2"/>
      </w:pPr>
      <w:bookmarkStart w:id="323" w:name="_Toc432753649"/>
      <w:bookmarkStart w:id="324" w:name="_Toc444603583"/>
      <w:bookmarkStart w:id="325" w:name="_Toc445200842"/>
      <w:bookmarkStart w:id="326" w:name="_Toc58569566"/>
      <w:r w:rsidRPr="000250FA">
        <w:t>Értelmező rendelkezések</w:t>
      </w:r>
      <w:bookmarkEnd w:id="323"/>
      <w:bookmarkEnd w:id="324"/>
      <w:bookmarkEnd w:id="325"/>
      <w:bookmarkEnd w:id="326"/>
    </w:p>
    <w:p w14:paraId="347CD4BB" w14:textId="77777777" w:rsidR="00893D5B" w:rsidRPr="000250FA" w:rsidRDefault="00893D5B" w:rsidP="00893D5B">
      <w:pPr>
        <w:tabs>
          <w:tab w:val="left" w:pos="9781"/>
        </w:tabs>
        <w:ind w:right="-144"/>
        <w:jc w:val="both"/>
        <w:rPr>
          <w:sz w:val="22"/>
          <w:szCs w:val="22"/>
        </w:rPr>
      </w:pPr>
    </w:p>
    <w:p w14:paraId="33F9D038" w14:textId="77777777" w:rsidR="00893D5B" w:rsidRPr="000250FA" w:rsidRDefault="00893D5B" w:rsidP="00893D5B">
      <w:pPr>
        <w:tabs>
          <w:tab w:val="left" w:pos="9781"/>
        </w:tabs>
        <w:ind w:right="-144"/>
        <w:jc w:val="both"/>
        <w:rPr>
          <w:sz w:val="22"/>
          <w:szCs w:val="22"/>
        </w:rPr>
      </w:pPr>
      <w:r w:rsidRPr="000250FA">
        <w:rPr>
          <w:b/>
          <w:sz w:val="22"/>
          <w:szCs w:val="22"/>
        </w:rPr>
        <w:t>163. §</w:t>
      </w:r>
      <w:r w:rsidRPr="000250FA">
        <w:rPr>
          <w:sz w:val="22"/>
          <w:szCs w:val="22"/>
        </w:rPr>
        <w:t xml:space="preserve"> (1) E szabályzat alkalmazásában:</w:t>
      </w:r>
    </w:p>
    <w:p w14:paraId="11B5B65C" w14:textId="77777777" w:rsidR="00893D5B" w:rsidRPr="000250FA" w:rsidRDefault="00893D5B" w:rsidP="00893D5B">
      <w:pPr>
        <w:tabs>
          <w:tab w:val="left" w:pos="9781"/>
        </w:tabs>
        <w:ind w:right="-144"/>
        <w:jc w:val="both"/>
        <w:rPr>
          <w:sz w:val="22"/>
          <w:szCs w:val="22"/>
        </w:rPr>
      </w:pPr>
    </w:p>
    <w:p w14:paraId="03219BE0" w14:textId="77777777" w:rsidR="00893D5B" w:rsidRPr="000250FA" w:rsidRDefault="00893D5B" w:rsidP="00893D5B">
      <w:pPr>
        <w:tabs>
          <w:tab w:val="left" w:pos="9781"/>
        </w:tabs>
        <w:ind w:right="-144"/>
        <w:jc w:val="both"/>
        <w:rPr>
          <w:i/>
          <w:sz w:val="22"/>
          <w:szCs w:val="22"/>
        </w:rPr>
      </w:pPr>
      <w:bookmarkStart w:id="327" w:name="pr490"/>
      <w:r w:rsidRPr="000250FA">
        <w:rPr>
          <w:i/>
          <w:sz w:val="22"/>
          <w:szCs w:val="22"/>
        </w:rPr>
        <w:t>1.</w:t>
      </w:r>
      <w:r w:rsidRPr="000250FA">
        <w:rPr>
          <w:rStyle w:val="Lbjegyzet-hivatkozs"/>
          <w:i/>
          <w:sz w:val="22"/>
          <w:szCs w:val="22"/>
        </w:rPr>
        <w:footnoteReference w:id="450"/>
      </w:r>
      <w:r w:rsidRPr="000250FA">
        <w:rPr>
          <w:i/>
          <w:sz w:val="22"/>
          <w:szCs w:val="22"/>
        </w:rPr>
        <w:t xml:space="preserve"> </w:t>
      </w:r>
      <w:r w:rsidRPr="000250FA">
        <w:rPr>
          <w:rStyle w:val="Lbjegyzet-hivatkozs"/>
          <w:i/>
          <w:sz w:val="22"/>
          <w:szCs w:val="22"/>
        </w:rPr>
        <w:footnoteReference w:id="451"/>
      </w:r>
      <w:r w:rsidRPr="000250FA">
        <w:rPr>
          <w:sz w:val="22"/>
          <w:szCs w:val="22"/>
        </w:rPr>
        <w:t>a közalkalmazott akkor minősül nyugdíjasnak:</w:t>
      </w:r>
      <w:r w:rsidRPr="000250FA">
        <w:rPr>
          <w:i/>
          <w:sz w:val="22"/>
          <w:szCs w:val="22"/>
        </w:rPr>
        <w:t xml:space="preserve"> </w:t>
      </w:r>
    </w:p>
    <w:p w14:paraId="3B65998C" w14:textId="77777777" w:rsidR="00893D5B" w:rsidRPr="000250FA" w:rsidRDefault="00893D5B" w:rsidP="00893D5B">
      <w:pPr>
        <w:tabs>
          <w:tab w:val="left" w:pos="9781"/>
        </w:tabs>
        <w:ind w:right="-144"/>
        <w:jc w:val="both"/>
        <w:rPr>
          <w:sz w:val="22"/>
          <w:szCs w:val="22"/>
        </w:rPr>
      </w:pPr>
    </w:p>
    <w:p w14:paraId="43C05A0A" w14:textId="77777777" w:rsidR="00893D5B" w:rsidRPr="000250FA" w:rsidRDefault="00893D5B" w:rsidP="00F83E93">
      <w:pPr>
        <w:numPr>
          <w:ilvl w:val="0"/>
          <w:numId w:val="131"/>
        </w:numPr>
        <w:jc w:val="both"/>
        <w:rPr>
          <w:sz w:val="22"/>
          <w:szCs w:val="22"/>
        </w:rPr>
      </w:pPr>
      <w:r w:rsidRPr="000250FA">
        <w:rPr>
          <w:sz w:val="22"/>
          <w:szCs w:val="22"/>
        </w:rPr>
        <w:t>az öregségi nyugdíjkorhatárt betöltötte és az öregségi nyugdíjhoz szükséges szolgálati idővel rendelkezik (öregségi nyugdíjra való jogosultság),</w:t>
      </w:r>
    </w:p>
    <w:p w14:paraId="454B1BBB" w14:textId="77777777" w:rsidR="00893D5B" w:rsidRPr="000250FA" w:rsidRDefault="00893D5B" w:rsidP="00F83E93">
      <w:pPr>
        <w:numPr>
          <w:ilvl w:val="0"/>
          <w:numId w:val="131"/>
        </w:numPr>
        <w:jc w:val="both"/>
        <w:rPr>
          <w:sz w:val="22"/>
          <w:szCs w:val="22"/>
        </w:rPr>
      </w:pPr>
      <w:r w:rsidRPr="000250FA">
        <w:rPr>
          <w:sz w:val="22"/>
          <w:szCs w:val="22"/>
        </w:rPr>
        <w:t>az öregségi nyugdíjkorhatár betöltése előtt öregségi nyugdíjban részesül,</w:t>
      </w:r>
    </w:p>
    <w:p w14:paraId="6D73B690" w14:textId="77777777" w:rsidR="00893D5B" w:rsidRPr="000250FA" w:rsidRDefault="00893D5B" w:rsidP="00F83E93">
      <w:pPr>
        <w:numPr>
          <w:ilvl w:val="0"/>
          <w:numId w:val="131"/>
        </w:numPr>
        <w:jc w:val="both"/>
        <w:rPr>
          <w:sz w:val="22"/>
          <w:szCs w:val="22"/>
        </w:rPr>
      </w:pPr>
      <w:r w:rsidRPr="000250FA">
        <w:rPr>
          <w:sz w:val="22"/>
          <w:szCs w:val="22"/>
        </w:rPr>
        <w:t>vagy</w:t>
      </w:r>
      <w:r w:rsidRPr="000250FA">
        <w:t xml:space="preserve"> </w:t>
      </w:r>
      <w:r w:rsidRPr="000250FA">
        <w:rPr>
          <w:sz w:val="22"/>
          <w:szCs w:val="22"/>
        </w:rPr>
        <w:t>a Magyar Alkotóművészeti Közalapítvány által folyósított ellátásokról szóló</w:t>
      </w:r>
      <w:r w:rsidRPr="000250FA">
        <w:rPr>
          <w:b/>
          <w:i/>
          <w:sz w:val="22"/>
          <w:szCs w:val="22"/>
        </w:rPr>
        <w:t xml:space="preserve"> </w:t>
      </w:r>
      <w:r w:rsidRPr="000250FA">
        <w:rPr>
          <w:sz w:val="22"/>
          <w:szCs w:val="22"/>
        </w:rPr>
        <w:t>kormányrendelet alapján folyósított öregségi, rokkantsági nyugdíjsegélyben (nyugdíjban) részesül,</w:t>
      </w:r>
    </w:p>
    <w:p w14:paraId="0B2FA628" w14:textId="77777777" w:rsidR="00893D5B" w:rsidRPr="000250FA" w:rsidRDefault="00893D5B" w:rsidP="00F83E93">
      <w:pPr>
        <w:numPr>
          <w:ilvl w:val="0"/>
          <w:numId w:val="131"/>
        </w:numPr>
        <w:jc w:val="both"/>
        <w:rPr>
          <w:sz w:val="22"/>
          <w:szCs w:val="22"/>
        </w:rPr>
      </w:pPr>
      <w:r w:rsidRPr="000250FA">
        <w:rPr>
          <w:sz w:val="22"/>
          <w:szCs w:val="22"/>
        </w:rPr>
        <w:t xml:space="preserve">egyházi jogi személytől egyházi, felekezeti nyugdíjban részesül, </w:t>
      </w:r>
    </w:p>
    <w:p w14:paraId="3E05F91D" w14:textId="77777777" w:rsidR="00893D5B" w:rsidRPr="000250FA" w:rsidRDefault="00893D5B" w:rsidP="00F83E93">
      <w:pPr>
        <w:numPr>
          <w:ilvl w:val="0"/>
          <w:numId w:val="131"/>
        </w:numPr>
        <w:jc w:val="both"/>
        <w:rPr>
          <w:sz w:val="22"/>
          <w:szCs w:val="22"/>
        </w:rPr>
      </w:pPr>
      <w:r w:rsidRPr="000250FA">
        <w:rPr>
          <w:sz w:val="22"/>
          <w:szCs w:val="22"/>
        </w:rPr>
        <w:t xml:space="preserve">öregségi, munkaképtelenségi járadékban részesül </w:t>
      </w:r>
    </w:p>
    <w:p w14:paraId="0632AA4D" w14:textId="77777777" w:rsidR="00893D5B" w:rsidRPr="000250FA" w:rsidRDefault="00893D5B" w:rsidP="00F83E93">
      <w:pPr>
        <w:numPr>
          <w:ilvl w:val="0"/>
          <w:numId w:val="131"/>
        </w:numPr>
        <w:rPr>
          <w:sz w:val="22"/>
          <w:szCs w:val="22"/>
        </w:rPr>
      </w:pPr>
      <w:bookmarkStart w:id="328" w:name="pr1602"/>
      <w:bookmarkEnd w:id="328"/>
      <w:r w:rsidRPr="000250FA">
        <w:rPr>
          <w:sz w:val="22"/>
          <w:szCs w:val="22"/>
        </w:rPr>
        <w:t>növelt összegű öregségi, munkaképtelenségi járadékban részesül, vagy</w:t>
      </w:r>
    </w:p>
    <w:p w14:paraId="60BBFA80" w14:textId="77777777" w:rsidR="00893D5B" w:rsidRPr="000250FA" w:rsidRDefault="00893D5B" w:rsidP="00F83E93">
      <w:pPr>
        <w:numPr>
          <w:ilvl w:val="0"/>
          <w:numId w:val="131"/>
        </w:numPr>
        <w:rPr>
          <w:sz w:val="22"/>
          <w:szCs w:val="22"/>
        </w:rPr>
      </w:pPr>
      <w:bookmarkStart w:id="329" w:name="pr1603"/>
      <w:bookmarkEnd w:id="329"/>
      <w:r w:rsidRPr="000250FA">
        <w:rPr>
          <w:sz w:val="22"/>
          <w:szCs w:val="22"/>
        </w:rPr>
        <w:t>rokkantsági ellátásban részesül.</w:t>
      </w:r>
    </w:p>
    <w:p w14:paraId="2685F8FD"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bookmarkStart w:id="330" w:name="pr1604"/>
      <w:bookmarkEnd w:id="330"/>
    </w:p>
    <w:p w14:paraId="7CADB861"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 xml:space="preserve">(2) </w:t>
      </w:r>
    </w:p>
    <w:p w14:paraId="2F876377"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bookmarkStart w:id="331" w:name="pr494"/>
      <w:bookmarkEnd w:id="327"/>
    </w:p>
    <w:p w14:paraId="77FF9A61"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 xml:space="preserve">(3) </w:t>
      </w:r>
    </w:p>
    <w:p w14:paraId="23D26663"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p>
    <w:p w14:paraId="59AEB436" w14:textId="77777777" w:rsidR="00893D5B" w:rsidRPr="000250FA" w:rsidRDefault="00893D5B" w:rsidP="00893D5B">
      <w:pPr>
        <w:pStyle w:val="NormlWeb"/>
        <w:tabs>
          <w:tab w:val="left" w:pos="9781"/>
        </w:tabs>
        <w:spacing w:before="0" w:beforeAutospacing="0" w:after="0" w:afterAutospacing="0"/>
        <w:ind w:right="-144"/>
        <w:jc w:val="both"/>
        <w:rPr>
          <w:sz w:val="22"/>
          <w:szCs w:val="22"/>
        </w:rPr>
      </w:pPr>
      <w:r w:rsidRPr="000250FA">
        <w:rPr>
          <w:sz w:val="22"/>
          <w:szCs w:val="22"/>
        </w:rPr>
        <w:t>(4) A közalkalmazott köteles tájékoztatni a munkáltatót, ha az (1) bekezdés hatálya alá esik.</w:t>
      </w:r>
      <w:bookmarkEnd w:id="331"/>
    </w:p>
    <w:p w14:paraId="1E446A10" w14:textId="77777777" w:rsidR="00893D5B" w:rsidRPr="000250FA" w:rsidRDefault="00893D5B" w:rsidP="00893D5B">
      <w:pPr>
        <w:tabs>
          <w:tab w:val="left" w:pos="9781"/>
        </w:tabs>
        <w:autoSpaceDE w:val="0"/>
        <w:autoSpaceDN w:val="0"/>
        <w:adjustRightInd w:val="0"/>
        <w:ind w:right="-144"/>
        <w:rPr>
          <w:sz w:val="22"/>
          <w:szCs w:val="22"/>
        </w:rPr>
      </w:pPr>
    </w:p>
    <w:p w14:paraId="41A5B79D" w14:textId="77777777" w:rsidR="00893D5B" w:rsidRPr="000250FA" w:rsidRDefault="00893D5B" w:rsidP="00893D5B">
      <w:pPr>
        <w:tabs>
          <w:tab w:val="left" w:pos="9781"/>
        </w:tabs>
        <w:autoSpaceDE w:val="0"/>
        <w:autoSpaceDN w:val="0"/>
        <w:adjustRightInd w:val="0"/>
        <w:ind w:right="-144"/>
        <w:jc w:val="both"/>
        <w:rPr>
          <w:sz w:val="22"/>
          <w:szCs w:val="22"/>
        </w:rPr>
      </w:pPr>
      <w:r w:rsidRPr="000250FA">
        <w:rPr>
          <w:i/>
          <w:sz w:val="22"/>
          <w:szCs w:val="22"/>
        </w:rPr>
        <w:t xml:space="preserve">2. </w:t>
      </w:r>
      <w:r w:rsidRPr="000250FA">
        <w:rPr>
          <w:rStyle w:val="Lbjegyzet-hivatkozs"/>
          <w:i/>
          <w:sz w:val="22"/>
          <w:szCs w:val="22"/>
        </w:rPr>
        <w:footnoteReference w:id="452"/>
      </w:r>
      <w:r w:rsidRPr="000250FA">
        <w:rPr>
          <w:i/>
          <w:sz w:val="22"/>
          <w:szCs w:val="22"/>
        </w:rPr>
        <w:t>közeli hozzátartozó:</w:t>
      </w:r>
      <w:r w:rsidRPr="000250FA">
        <w:rPr>
          <w:sz w:val="22"/>
          <w:szCs w:val="22"/>
        </w:rPr>
        <w:t xml:space="preserve"> a házastárs, az </w:t>
      </w:r>
      <w:proofErr w:type="spellStart"/>
      <w:r w:rsidRPr="000250FA">
        <w:rPr>
          <w:sz w:val="22"/>
          <w:szCs w:val="22"/>
        </w:rPr>
        <w:t>egyeneságbeli</w:t>
      </w:r>
      <w:proofErr w:type="spellEnd"/>
      <w:r w:rsidRPr="000250FA">
        <w:rPr>
          <w:sz w:val="22"/>
          <w:szCs w:val="22"/>
        </w:rPr>
        <w:t xml:space="preserve"> rokon, az örökbefogadott, a mostoha- és a nevelt gyermek, az örökbefogadó-, a mostoha- és a nevelőszülő és a testvér;</w:t>
      </w:r>
    </w:p>
    <w:p w14:paraId="0D81C6AC" w14:textId="77777777" w:rsidR="00893D5B" w:rsidRPr="000250FA" w:rsidRDefault="00893D5B" w:rsidP="00893D5B">
      <w:pPr>
        <w:tabs>
          <w:tab w:val="left" w:pos="9781"/>
        </w:tabs>
        <w:autoSpaceDE w:val="0"/>
        <w:autoSpaceDN w:val="0"/>
        <w:adjustRightInd w:val="0"/>
        <w:ind w:right="-144"/>
        <w:jc w:val="both"/>
        <w:rPr>
          <w:sz w:val="22"/>
          <w:szCs w:val="22"/>
        </w:rPr>
      </w:pPr>
    </w:p>
    <w:p w14:paraId="46AF76A5" w14:textId="77777777" w:rsidR="00893D5B" w:rsidRPr="000250FA" w:rsidRDefault="00893D5B" w:rsidP="00893D5B">
      <w:pPr>
        <w:tabs>
          <w:tab w:val="left" w:pos="9781"/>
        </w:tabs>
        <w:autoSpaceDE w:val="0"/>
        <w:autoSpaceDN w:val="0"/>
        <w:adjustRightInd w:val="0"/>
        <w:ind w:right="-144"/>
        <w:jc w:val="both"/>
        <w:rPr>
          <w:i/>
          <w:sz w:val="22"/>
          <w:szCs w:val="22"/>
        </w:rPr>
      </w:pPr>
      <w:r w:rsidRPr="000250FA">
        <w:rPr>
          <w:sz w:val="22"/>
          <w:szCs w:val="22"/>
        </w:rPr>
        <w:t>(2) E szabályzatban alkalmazott fogalmak értelmezésénél a Kjt</w:t>
      </w:r>
      <w:r w:rsidRPr="000250FA">
        <w:rPr>
          <w:b/>
          <w:i/>
          <w:sz w:val="22"/>
          <w:szCs w:val="22"/>
        </w:rPr>
        <w:t xml:space="preserve">., </w:t>
      </w:r>
      <w:r w:rsidRPr="000250FA">
        <w:rPr>
          <w:sz w:val="22"/>
          <w:szCs w:val="22"/>
        </w:rPr>
        <w:t>Mt. valamint a Ptk.</w:t>
      </w:r>
      <w:r w:rsidRPr="000250FA">
        <w:rPr>
          <w:rStyle w:val="Lbjegyzet-hivatkozs"/>
          <w:sz w:val="22"/>
          <w:szCs w:val="22"/>
        </w:rPr>
        <w:footnoteReference w:id="453"/>
      </w:r>
      <w:r w:rsidRPr="000250FA">
        <w:rPr>
          <w:sz w:val="22"/>
          <w:szCs w:val="22"/>
        </w:rPr>
        <w:t xml:space="preserve"> rendelkezéseit kell alkalmazni.</w:t>
      </w:r>
    </w:p>
    <w:p w14:paraId="546780B1" w14:textId="77777777" w:rsidR="00893D5B" w:rsidRPr="000250FA" w:rsidRDefault="00893D5B" w:rsidP="00893D5B">
      <w:pPr>
        <w:tabs>
          <w:tab w:val="left" w:pos="9781"/>
        </w:tabs>
        <w:ind w:right="-144"/>
        <w:rPr>
          <w:b/>
          <w:sz w:val="22"/>
          <w:szCs w:val="22"/>
        </w:rPr>
      </w:pPr>
    </w:p>
    <w:p w14:paraId="21C0DD98" w14:textId="77777777" w:rsidR="00893D5B" w:rsidRPr="000250FA" w:rsidRDefault="00893D5B" w:rsidP="00893D5B">
      <w:pPr>
        <w:pStyle w:val="Cmsor1"/>
      </w:pPr>
      <w:bookmarkStart w:id="332" w:name="_Toc432753650"/>
      <w:bookmarkStart w:id="333" w:name="_Toc444603584"/>
      <w:bookmarkStart w:id="334" w:name="_Toc445200843"/>
      <w:bookmarkStart w:id="335" w:name="_Toc58569567"/>
      <w:r w:rsidRPr="000250FA">
        <w:t>TIZENEGYEDIK RÉSZ</w:t>
      </w:r>
      <w:bookmarkEnd w:id="332"/>
      <w:bookmarkEnd w:id="333"/>
      <w:bookmarkEnd w:id="334"/>
      <w:bookmarkEnd w:id="335"/>
    </w:p>
    <w:p w14:paraId="7F01DB25" w14:textId="77777777" w:rsidR="00893D5B" w:rsidRPr="000250FA" w:rsidRDefault="00893D5B" w:rsidP="00893D5B">
      <w:pPr>
        <w:tabs>
          <w:tab w:val="left" w:pos="9781"/>
        </w:tabs>
        <w:ind w:right="-144"/>
        <w:jc w:val="both"/>
        <w:rPr>
          <w:sz w:val="22"/>
          <w:szCs w:val="22"/>
        </w:rPr>
      </w:pPr>
    </w:p>
    <w:p w14:paraId="05410CDC" w14:textId="77777777" w:rsidR="00893D5B" w:rsidRPr="000250FA" w:rsidRDefault="00893D5B" w:rsidP="00893D5B">
      <w:pPr>
        <w:pStyle w:val="Cmsor2"/>
      </w:pPr>
      <w:bookmarkStart w:id="336" w:name="_Toc432753651"/>
      <w:bookmarkStart w:id="337" w:name="_Toc444603585"/>
      <w:bookmarkStart w:id="338" w:name="_Toc445200844"/>
      <w:bookmarkStart w:id="339" w:name="_Toc58569568"/>
      <w:r w:rsidRPr="000250FA">
        <w:t>Záró, hatályba léptető és átmeneti rendelkezések</w:t>
      </w:r>
      <w:bookmarkEnd w:id="336"/>
      <w:bookmarkEnd w:id="337"/>
      <w:bookmarkEnd w:id="338"/>
      <w:bookmarkEnd w:id="339"/>
    </w:p>
    <w:p w14:paraId="2B97157C" w14:textId="77777777" w:rsidR="00893D5B" w:rsidRPr="000250FA" w:rsidRDefault="00893D5B" w:rsidP="00893D5B">
      <w:pPr>
        <w:tabs>
          <w:tab w:val="left" w:pos="9781"/>
        </w:tabs>
        <w:ind w:right="-144"/>
        <w:jc w:val="center"/>
        <w:rPr>
          <w:b/>
          <w:sz w:val="22"/>
          <w:szCs w:val="22"/>
        </w:rPr>
      </w:pPr>
    </w:p>
    <w:p w14:paraId="5E200D69" w14:textId="77777777" w:rsidR="00893D5B" w:rsidRPr="000250FA" w:rsidRDefault="00893D5B" w:rsidP="00893D5B">
      <w:pPr>
        <w:tabs>
          <w:tab w:val="left" w:pos="9781"/>
        </w:tabs>
        <w:ind w:right="-144"/>
        <w:jc w:val="both"/>
        <w:rPr>
          <w:sz w:val="22"/>
          <w:szCs w:val="22"/>
        </w:rPr>
      </w:pPr>
    </w:p>
    <w:p w14:paraId="0EAF6D68" w14:textId="77777777" w:rsidR="00893D5B" w:rsidRPr="000250FA" w:rsidRDefault="00893D5B" w:rsidP="00893D5B">
      <w:pPr>
        <w:tabs>
          <w:tab w:val="left" w:pos="9781"/>
        </w:tabs>
        <w:ind w:right="-144"/>
        <w:jc w:val="both"/>
        <w:rPr>
          <w:sz w:val="22"/>
          <w:szCs w:val="22"/>
        </w:rPr>
      </w:pPr>
      <w:r w:rsidRPr="000250FA">
        <w:rPr>
          <w:b/>
          <w:sz w:val="22"/>
          <w:szCs w:val="22"/>
        </w:rPr>
        <w:t>164. §</w:t>
      </w:r>
      <w:r w:rsidRPr="000250FA">
        <w:rPr>
          <w:sz w:val="22"/>
          <w:szCs w:val="22"/>
        </w:rPr>
        <w:t xml:space="preserve"> (1) E szabályzat 2007. február 1. napján lép hatályba.</w:t>
      </w:r>
    </w:p>
    <w:p w14:paraId="7B04F6B6" w14:textId="77777777" w:rsidR="00893D5B" w:rsidRPr="000250FA" w:rsidRDefault="00893D5B" w:rsidP="00893D5B">
      <w:pPr>
        <w:rPr>
          <w:b/>
          <w:sz w:val="22"/>
          <w:szCs w:val="22"/>
        </w:rPr>
      </w:pPr>
    </w:p>
    <w:p w14:paraId="08798C59" w14:textId="77777777" w:rsidR="00893D5B" w:rsidRPr="000250FA" w:rsidRDefault="00893D5B" w:rsidP="00893D5B">
      <w:pPr>
        <w:jc w:val="both"/>
        <w:rPr>
          <w:bCs/>
          <w:sz w:val="22"/>
          <w:szCs w:val="22"/>
        </w:rPr>
      </w:pPr>
      <w:r w:rsidRPr="000250FA">
        <w:rPr>
          <w:bCs/>
          <w:sz w:val="22"/>
          <w:szCs w:val="22"/>
        </w:rPr>
        <w:t xml:space="preserve">(2) E szabályzat hatálybalépése nem érinti az oktatók, illetve a kutatók foglalkoztatását, a velük kötött munkaszerződést, illetve a kiadott közalkalmazotti kinevezést, valamint a részükre kiadott főiskolai, illetve egyetemi foglalkoztatáshoz kötődő címeket. E szabályzat hatálybalépését követően az 1993. évi felsőoktatási törvény rendelkezései szerint is alkalmazható oktató, illetve tudományos kutató. Azoknak az oktatóknak és tudományos kutatóknak a besorolása és foglalkoztatása, akik a régi követelmények szerint kerültek alkalmazásra, akkor változtatható meg, ha az új követelményeket teljesítik. 2008. szeptember 1-jétől kezdődően csak a szabályzatban meghatározottak szerint lehet oktatói, illetve kutatói munkakört létesíteni. </w:t>
      </w:r>
    </w:p>
    <w:p w14:paraId="3A09D8EC" w14:textId="77777777" w:rsidR="00893D5B" w:rsidRPr="000250FA" w:rsidRDefault="00893D5B" w:rsidP="00893D5B">
      <w:pPr>
        <w:tabs>
          <w:tab w:val="left" w:pos="9781"/>
        </w:tabs>
        <w:ind w:right="-144"/>
        <w:jc w:val="both"/>
        <w:rPr>
          <w:sz w:val="22"/>
          <w:szCs w:val="22"/>
        </w:rPr>
      </w:pPr>
    </w:p>
    <w:p w14:paraId="26D39E1E" w14:textId="77777777" w:rsidR="00893D5B" w:rsidRPr="000250FA" w:rsidRDefault="00893D5B" w:rsidP="00893D5B">
      <w:pPr>
        <w:tabs>
          <w:tab w:val="left" w:pos="9781"/>
        </w:tabs>
        <w:ind w:right="-144"/>
        <w:jc w:val="both"/>
        <w:rPr>
          <w:sz w:val="22"/>
          <w:szCs w:val="22"/>
        </w:rPr>
      </w:pPr>
      <w:r w:rsidRPr="000250FA">
        <w:rPr>
          <w:sz w:val="22"/>
          <w:szCs w:val="22"/>
        </w:rPr>
        <w:t xml:space="preserve">(3) </w:t>
      </w:r>
      <w:r w:rsidRPr="000250FA">
        <w:rPr>
          <w:rStyle w:val="Lbjegyzet-hivatkozs"/>
          <w:sz w:val="22"/>
          <w:szCs w:val="22"/>
        </w:rPr>
        <w:footnoteReference w:id="454"/>
      </w:r>
      <w:r w:rsidRPr="000250FA">
        <w:rPr>
          <w:sz w:val="22"/>
          <w:szCs w:val="22"/>
        </w:rPr>
        <w:t xml:space="preserve"> </w:t>
      </w:r>
      <w:r w:rsidRPr="000250FA">
        <w:rPr>
          <w:rStyle w:val="Lbjegyzet-hivatkozs"/>
          <w:sz w:val="22"/>
          <w:szCs w:val="22"/>
        </w:rPr>
        <w:footnoteReference w:id="455"/>
      </w:r>
      <w:r w:rsidRPr="000250FA">
        <w:rPr>
          <w:sz w:val="22"/>
          <w:szCs w:val="22"/>
        </w:rPr>
        <w:t xml:space="preserve"> </w:t>
      </w:r>
      <w:r w:rsidRPr="000250FA">
        <w:rPr>
          <w:rStyle w:val="Lbjegyzet-hivatkozs"/>
          <w:sz w:val="22"/>
          <w:szCs w:val="22"/>
        </w:rPr>
        <w:footnoteReference w:id="456"/>
      </w:r>
      <w:r w:rsidRPr="000250FA">
        <w:rPr>
          <w:sz w:val="22"/>
          <w:szCs w:val="22"/>
        </w:rPr>
        <w:t xml:space="preserve"> </w:t>
      </w:r>
      <w:r w:rsidRPr="000250FA">
        <w:rPr>
          <w:rStyle w:val="Lbjegyzet-hivatkozs"/>
          <w:sz w:val="22"/>
          <w:szCs w:val="22"/>
        </w:rPr>
        <w:footnoteReference w:id="457"/>
      </w:r>
    </w:p>
    <w:p w14:paraId="1F65AA36" w14:textId="77777777" w:rsidR="00893D5B" w:rsidRPr="000250FA" w:rsidRDefault="00893D5B" w:rsidP="00893D5B">
      <w:pPr>
        <w:tabs>
          <w:tab w:val="left" w:pos="9781"/>
        </w:tabs>
        <w:ind w:right="-144"/>
        <w:jc w:val="both"/>
        <w:rPr>
          <w:sz w:val="22"/>
          <w:szCs w:val="22"/>
        </w:rPr>
      </w:pPr>
      <w:r w:rsidRPr="000250FA">
        <w:rPr>
          <w:sz w:val="22"/>
          <w:szCs w:val="22"/>
        </w:rPr>
        <w:t xml:space="preserve"> </w:t>
      </w:r>
    </w:p>
    <w:p w14:paraId="1A3F8DC5" w14:textId="77777777" w:rsidR="00893D5B" w:rsidRPr="000250FA" w:rsidRDefault="00893D5B" w:rsidP="00893D5B">
      <w:pPr>
        <w:tabs>
          <w:tab w:val="left" w:pos="9781"/>
        </w:tabs>
        <w:ind w:right="-144"/>
        <w:jc w:val="both"/>
        <w:rPr>
          <w:sz w:val="22"/>
          <w:szCs w:val="22"/>
        </w:rPr>
      </w:pPr>
      <w:r w:rsidRPr="000250FA">
        <w:rPr>
          <w:sz w:val="22"/>
          <w:szCs w:val="22"/>
        </w:rPr>
        <w:t>(4) E szabályzat hatályba lépését megelőzően pályázat alapján határozott időtartamra szólóan kiadott vezetői megbízások a határozott időtartam lejártáig hatályban maradnak.</w:t>
      </w:r>
    </w:p>
    <w:p w14:paraId="132E823B" w14:textId="77777777" w:rsidR="00893D5B" w:rsidRPr="000250FA" w:rsidRDefault="00893D5B" w:rsidP="00893D5B">
      <w:pPr>
        <w:tabs>
          <w:tab w:val="left" w:pos="9781"/>
        </w:tabs>
        <w:ind w:right="-144"/>
        <w:jc w:val="both"/>
        <w:rPr>
          <w:sz w:val="22"/>
          <w:szCs w:val="22"/>
        </w:rPr>
      </w:pPr>
    </w:p>
    <w:p w14:paraId="7A46C5BB" w14:textId="77777777" w:rsidR="00893D5B" w:rsidRPr="000250FA" w:rsidRDefault="00893D5B" w:rsidP="00893D5B">
      <w:pPr>
        <w:tabs>
          <w:tab w:val="left" w:pos="9781"/>
        </w:tabs>
        <w:ind w:right="-144"/>
        <w:jc w:val="both"/>
        <w:rPr>
          <w:sz w:val="22"/>
          <w:szCs w:val="22"/>
        </w:rPr>
      </w:pPr>
      <w:r w:rsidRPr="000250FA">
        <w:rPr>
          <w:sz w:val="22"/>
          <w:szCs w:val="22"/>
        </w:rPr>
        <w:t xml:space="preserve">(5) E szabályzat hatályba lépését megelőzően határozatlan időtartamra szólóan kiadott vezetői, illetve magasabb vezetői megbízások esetében a munkáltatói jogkör gyakorlója e szabályzat hatályba lépésének napján köteles a vezetői, illetve magasabb vezetői megbízást felülvizsgálni és e szabályzat rendelkezéseinek megfelelő alkalmazásával határozott időtartamra szóló vezetői, illetve magasabb vezetői megbízást adni, vagy a vezetői, illetve magasabb vezetői tevékenység ellátására pályázatot kiírni. </w:t>
      </w:r>
    </w:p>
    <w:p w14:paraId="081C8EE6" w14:textId="77777777" w:rsidR="00893D5B" w:rsidRPr="000250FA" w:rsidRDefault="00893D5B" w:rsidP="00893D5B">
      <w:pPr>
        <w:tabs>
          <w:tab w:val="left" w:pos="9781"/>
        </w:tabs>
        <w:ind w:right="-144"/>
        <w:jc w:val="both"/>
        <w:rPr>
          <w:sz w:val="22"/>
          <w:szCs w:val="22"/>
        </w:rPr>
      </w:pPr>
    </w:p>
    <w:p w14:paraId="4AA2B9B0" w14:textId="77777777" w:rsidR="00893D5B" w:rsidRPr="000250FA" w:rsidRDefault="00893D5B" w:rsidP="00893D5B">
      <w:pPr>
        <w:tabs>
          <w:tab w:val="left" w:pos="9781"/>
        </w:tabs>
        <w:ind w:right="-144"/>
        <w:jc w:val="both"/>
        <w:rPr>
          <w:sz w:val="22"/>
          <w:szCs w:val="22"/>
        </w:rPr>
      </w:pPr>
      <w:r w:rsidRPr="000250FA">
        <w:rPr>
          <w:sz w:val="22"/>
          <w:szCs w:val="22"/>
        </w:rPr>
        <w:t>(6)</w:t>
      </w:r>
      <w:r w:rsidRPr="000250FA">
        <w:rPr>
          <w:rStyle w:val="Lbjegyzet-hivatkozs"/>
          <w:sz w:val="22"/>
          <w:szCs w:val="22"/>
        </w:rPr>
        <w:footnoteReference w:id="458"/>
      </w:r>
      <w:r w:rsidRPr="000250FA">
        <w:rPr>
          <w:sz w:val="22"/>
          <w:szCs w:val="22"/>
        </w:rPr>
        <w:t xml:space="preserve"> Az oktató kérelmére a rektor a dékán előzetes véleménye alapján, indokolt esetben mentesítést adhat a habilitációs kötelezettség teljesítése alól. A kérelmeket a dékán előzetes véleményével együtt legkésőbb 2016. február 1. napjáig kell benyújtani az egyetem rektorához. </w:t>
      </w:r>
    </w:p>
    <w:p w14:paraId="5FBA6E40" w14:textId="77777777" w:rsidR="00893D5B" w:rsidRPr="000250FA" w:rsidRDefault="00893D5B" w:rsidP="00893D5B">
      <w:pPr>
        <w:tabs>
          <w:tab w:val="left" w:pos="9781"/>
        </w:tabs>
        <w:ind w:right="-144"/>
        <w:jc w:val="both"/>
        <w:rPr>
          <w:b/>
          <w:sz w:val="22"/>
          <w:szCs w:val="22"/>
        </w:rPr>
      </w:pPr>
    </w:p>
    <w:p w14:paraId="0E247AE0" w14:textId="77777777" w:rsidR="00893D5B" w:rsidRPr="000250FA" w:rsidRDefault="00893D5B" w:rsidP="00893D5B">
      <w:pPr>
        <w:tabs>
          <w:tab w:val="left" w:pos="9781"/>
        </w:tabs>
        <w:ind w:right="-144"/>
        <w:jc w:val="both"/>
        <w:rPr>
          <w:sz w:val="22"/>
          <w:szCs w:val="22"/>
        </w:rPr>
      </w:pPr>
      <w:r w:rsidRPr="000250FA">
        <w:rPr>
          <w:b/>
          <w:sz w:val="22"/>
          <w:szCs w:val="22"/>
        </w:rPr>
        <w:t>165. §</w:t>
      </w:r>
      <w:r w:rsidR="00A94F79">
        <w:rPr>
          <w:b/>
          <w:sz w:val="22"/>
          <w:szCs w:val="22"/>
        </w:rPr>
        <w:t xml:space="preserve"> </w:t>
      </w:r>
      <w:r w:rsidRPr="000250FA">
        <w:rPr>
          <w:sz w:val="22"/>
          <w:szCs w:val="22"/>
        </w:rPr>
        <w:t>A munkáltatói jogkör gyakorlója 2007. április 30. napjáig köteles valamennyi közalkalmazott munkaköri leírását felülvizsgálni, és az e szabályzat alapján megállapított munkaköri leírást a közalkalmazottal közölni.</w:t>
      </w:r>
    </w:p>
    <w:p w14:paraId="288A8CE3" w14:textId="77777777" w:rsidR="00893D5B" w:rsidRPr="000250FA" w:rsidRDefault="00893D5B" w:rsidP="00893D5B">
      <w:pPr>
        <w:tabs>
          <w:tab w:val="left" w:pos="9781"/>
        </w:tabs>
        <w:ind w:right="-144"/>
        <w:jc w:val="both"/>
        <w:rPr>
          <w:b/>
          <w:sz w:val="22"/>
          <w:szCs w:val="22"/>
        </w:rPr>
      </w:pPr>
    </w:p>
    <w:p w14:paraId="664BAC11" w14:textId="77777777" w:rsidR="00893D5B" w:rsidRPr="000250FA" w:rsidRDefault="00893D5B" w:rsidP="00893D5B">
      <w:pPr>
        <w:tabs>
          <w:tab w:val="left" w:pos="9781"/>
        </w:tabs>
        <w:ind w:right="-144"/>
        <w:jc w:val="both"/>
        <w:rPr>
          <w:sz w:val="22"/>
          <w:szCs w:val="22"/>
        </w:rPr>
      </w:pPr>
      <w:r w:rsidRPr="000250FA">
        <w:rPr>
          <w:b/>
          <w:sz w:val="22"/>
          <w:szCs w:val="22"/>
        </w:rPr>
        <w:t xml:space="preserve">166 § </w:t>
      </w:r>
      <w:r w:rsidRPr="000250FA">
        <w:rPr>
          <w:sz w:val="22"/>
          <w:szCs w:val="22"/>
        </w:rPr>
        <w:t>E szabályzat 32. § (1) bekezdésében meghatározott nyilatkozatot 2007. június 30. napjáig kell megtenni.</w:t>
      </w:r>
    </w:p>
    <w:p w14:paraId="0014EC95" w14:textId="77777777" w:rsidR="00893D5B" w:rsidRPr="000250FA" w:rsidRDefault="00893D5B" w:rsidP="00893D5B">
      <w:pPr>
        <w:tabs>
          <w:tab w:val="left" w:pos="9781"/>
        </w:tabs>
        <w:ind w:right="-144"/>
        <w:jc w:val="both"/>
        <w:rPr>
          <w:sz w:val="22"/>
          <w:szCs w:val="22"/>
        </w:rPr>
      </w:pPr>
    </w:p>
    <w:p w14:paraId="3DC4D2E4" w14:textId="77777777" w:rsidR="00893D5B" w:rsidRPr="000250FA" w:rsidRDefault="00893D5B" w:rsidP="00893D5B">
      <w:pPr>
        <w:tabs>
          <w:tab w:val="left" w:pos="9781"/>
        </w:tabs>
        <w:ind w:right="-144"/>
        <w:jc w:val="both"/>
        <w:rPr>
          <w:sz w:val="22"/>
          <w:szCs w:val="22"/>
        </w:rPr>
      </w:pPr>
      <w:r w:rsidRPr="000250FA">
        <w:rPr>
          <w:b/>
          <w:sz w:val="22"/>
          <w:szCs w:val="22"/>
        </w:rPr>
        <w:t>167.</w:t>
      </w:r>
      <w:r w:rsidRPr="000250FA">
        <w:rPr>
          <w:sz w:val="22"/>
          <w:szCs w:val="22"/>
        </w:rPr>
        <w:t xml:space="preserve"> </w:t>
      </w:r>
      <w:r w:rsidRPr="00A94F79">
        <w:rPr>
          <w:b/>
          <w:sz w:val="22"/>
          <w:szCs w:val="22"/>
        </w:rPr>
        <w:t>§</w:t>
      </w:r>
      <w:r w:rsidRPr="000250FA">
        <w:rPr>
          <w:sz w:val="22"/>
          <w:szCs w:val="22"/>
        </w:rPr>
        <w:t xml:space="preserve"> (1)</w:t>
      </w:r>
      <w:r w:rsidRPr="000250FA">
        <w:rPr>
          <w:rStyle w:val="Lbjegyzet-hivatkozs"/>
          <w:sz w:val="22"/>
          <w:szCs w:val="22"/>
        </w:rPr>
        <w:footnoteReference w:id="459"/>
      </w:r>
      <w:r w:rsidRPr="000250FA">
        <w:rPr>
          <w:sz w:val="22"/>
          <w:szCs w:val="22"/>
        </w:rPr>
        <w:t xml:space="preserve"> E szabályzat 37. §-</w:t>
      </w:r>
      <w:proofErr w:type="spellStart"/>
      <w:r w:rsidRPr="000250FA">
        <w:rPr>
          <w:sz w:val="22"/>
          <w:szCs w:val="22"/>
        </w:rPr>
        <w:t>ában</w:t>
      </w:r>
      <w:proofErr w:type="spellEnd"/>
      <w:r w:rsidRPr="000250FA">
        <w:rPr>
          <w:sz w:val="22"/>
          <w:szCs w:val="22"/>
        </w:rPr>
        <w:t xml:space="preserve"> foglaltak alapján a közalkalmazott 2007. március 31. napjáig nyilatkozatot köteles tenni arról, hogy vele szemben a 37. § (1)-(2) bekezdésében meghatározott összeférhetetlenségi ok nem áll fenn. A szabályzat 37. § (2) bekezdés d) és f) pontjában meghatározott összeférhetetlenséget az oktató, kutató legkésőbb 2008. július 1. napjáig köteles megszüntetni.</w:t>
      </w:r>
    </w:p>
    <w:p w14:paraId="42DB4899" w14:textId="77777777" w:rsidR="00893D5B" w:rsidRPr="000250FA" w:rsidRDefault="00893D5B" w:rsidP="00893D5B">
      <w:pPr>
        <w:tabs>
          <w:tab w:val="left" w:pos="9781"/>
        </w:tabs>
        <w:ind w:right="-144"/>
        <w:jc w:val="both"/>
        <w:rPr>
          <w:sz w:val="22"/>
          <w:szCs w:val="22"/>
        </w:rPr>
      </w:pPr>
    </w:p>
    <w:p w14:paraId="717CFFE7" w14:textId="77777777" w:rsidR="00893D5B" w:rsidRPr="000250FA" w:rsidRDefault="00893D5B" w:rsidP="00893D5B">
      <w:pPr>
        <w:tabs>
          <w:tab w:val="left" w:pos="9781"/>
        </w:tabs>
        <w:ind w:right="-144"/>
        <w:jc w:val="both"/>
        <w:rPr>
          <w:sz w:val="22"/>
          <w:szCs w:val="22"/>
        </w:rPr>
      </w:pPr>
      <w:r w:rsidRPr="000250FA">
        <w:rPr>
          <w:sz w:val="22"/>
          <w:szCs w:val="22"/>
        </w:rPr>
        <w:t>(2) E szabályzat 38. §-</w:t>
      </w:r>
      <w:proofErr w:type="spellStart"/>
      <w:r w:rsidRPr="000250FA">
        <w:rPr>
          <w:sz w:val="22"/>
          <w:szCs w:val="22"/>
        </w:rPr>
        <w:t>ában</w:t>
      </w:r>
      <w:proofErr w:type="spellEnd"/>
      <w:r w:rsidRPr="000250FA">
        <w:rPr>
          <w:sz w:val="22"/>
          <w:szCs w:val="22"/>
        </w:rPr>
        <w:t xml:space="preserve"> foglaltak alapján a közalkalmazott 2007. március 31. napjáig nyilatkozatot köteles tenni a nyilatkozattétel időpontjában fennálló valamennyi munkavégzésre irányuló egyéb jogviszonyáról. </w:t>
      </w:r>
    </w:p>
    <w:p w14:paraId="63723774" w14:textId="77777777" w:rsidR="00893D5B" w:rsidRPr="000250FA" w:rsidRDefault="00893D5B" w:rsidP="00893D5B">
      <w:pPr>
        <w:tabs>
          <w:tab w:val="left" w:pos="9781"/>
        </w:tabs>
        <w:ind w:right="-144"/>
        <w:jc w:val="both"/>
        <w:rPr>
          <w:sz w:val="22"/>
          <w:szCs w:val="22"/>
        </w:rPr>
      </w:pPr>
    </w:p>
    <w:p w14:paraId="2FC644C5" w14:textId="77777777" w:rsidR="00893D5B" w:rsidRPr="000250FA" w:rsidRDefault="00893D5B" w:rsidP="00893D5B">
      <w:pPr>
        <w:tabs>
          <w:tab w:val="left" w:pos="9781"/>
        </w:tabs>
        <w:ind w:right="-144"/>
        <w:jc w:val="both"/>
        <w:rPr>
          <w:sz w:val="22"/>
          <w:szCs w:val="22"/>
        </w:rPr>
      </w:pPr>
      <w:r w:rsidRPr="000250FA">
        <w:rPr>
          <w:sz w:val="22"/>
          <w:szCs w:val="22"/>
        </w:rPr>
        <w:t>(3) E szabályzat 135-136. §-</w:t>
      </w:r>
      <w:proofErr w:type="spellStart"/>
      <w:r w:rsidRPr="000250FA">
        <w:rPr>
          <w:sz w:val="22"/>
          <w:szCs w:val="22"/>
        </w:rPr>
        <w:t>ában</w:t>
      </w:r>
      <w:proofErr w:type="spellEnd"/>
      <w:r w:rsidRPr="000250FA">
        <w:rPr>
          <w:sz w:val="22"/>
          <w:szCs w:val="22"/>
        </w:rPr>
        <w:t xml:space="preserve"> foglaltak alapján a vezető/magasabb vezető 2007. március 31. napjáig nyilatkozatot köteles tenni arról, hogy vele szemben összeférhetetlenségi ok nem áll fenn. </w:t>
      </w:r>
    </w:p>
    <w:p w14:paraId="6448F50F" w14:textId="77777777" w:rsidR="00893D5B" w:rsidRPr="000250FA" w:rsidRDefault="00893D5B" w:rsidP="00893D5B">
      <w:pPr>
        <w:tabs>
          <w:tab w:val="left" w:pos="9781"/>
        </w:tabs>
        <w:ind w:right="-144"/>
        <w:jc w:val="both"/>
        <w:rPr>
          <w:sz w:val="22"/>
          <w:szCs w:val="22"/>
        </w:rPr>
      </w:pPr>
    </w:p>
    <w:p w14:paraId="5DEE22D4" w14:textId="77777777" w:rsidR="00893D5B" w:rsidRPr="000250FA" w:rsidRDefault="00893D5B" w:rsidP="00893D5B">
      <w:pPr>
        <w:tabs>
          <w:tab w:val="left" w:pos="9781"/>
        </w:tabs>
        <w:ind w:right="-144"/>
        <w:jc w:val="both"/>
        <w:rPr>
          <w:sz w:val="22"/>
          <w:szCs w:val="22"/>
        </w:rPr>
      </w:pPr>
      <w:r w:rsidRPr="000250FA">
        <w:rPr>
          <w:sz w:val="22"/>
          <w:szCs w:val="22"/>
        </w:rPr>
        <w:t>(4) A 37. § (2) bekezdés d) pontjában meghatározott összeférhetetlenségi okot 2007. június 30. napjáig meg kell szüntetni a 37. § (3)-(4) bekezdésének alkalmazásával.</w:t>
      </w:r>
    </w:p>
    <w:p w14:paraId="13BB0BD1" w14:textId="77777777" w:rsidR="00893D5B" w:rsidRPr="000250FA" w:rsidRDefault="00893D5B" w:rsidP="00893D5B">
      <w:pPr>
        <w:tabs>
          <w:tab w:val="left" w:pos="9781"/>
        </w:tabs>
        <w:ind w:right="-144"/>
        <w:jc w:val="both"/>
        <w:rPr>
          <w:sz w:val="22"/>
          <w:szCs w:val="22"/>
        </w:rPr>
      </w:pPr>
    </w:p>
    <w:p w14:paraId="09C0FA84" w14:textId="77777777" w:rsidR="00893D5B" w:rsidRPr="000250FA" w:rsidRDefault="00893D5B" w:rsidP="00893D5B">
      <w:pPr>
        <w:tabs>
          <w:tab w:val="left" w:pos="9781"/>
        </w:tabs>
        <w:ind w:right="-144"/>
        <w:jc w:val="both"/>
        <w:rPr>
          <w:sz w:val="22"/>
          <w:szCs w:val="22"/>
        </w:rPr>
      </w:pPr>
      <w:r w:rsidRPr="000250FA">
        <w:rPr>
          <w:sz w:val="22"/>
          <w:szCs w:val="22"/>
        </w:rPr>
        <w:t>(5) A 37. § (2) bekezdés e) pontjában meghatározott összeférhetetlenségre vonatkozó szabályt nem kell alkalmazni azoknak a magasabb vezetői megbízásoknak az esetében, amelyek e szabályzat hatályba lépését megelőzően keletkeztek.</w:t>
      </w:r>
    </w:p>
    <w:p w14:paraId="4B574629" w14:textId="77777777" w:rsidR="00893D5B" w:rsidRPr="000250FA" w:rsidRDefault="00893D5B" w:rsidP="00893D5B">
      <w:pPr>
        <w:tabs>
          <w:tab w:val="left" w:pos="9781"/>
        </w:tabs>
        <w:ind w:right="-144"/>
        <w:jc w:val="both"/>
        <w:rPr>
          <w:sz w:val="22"/>
          <w:szCs w:val="22"/>
        </w:rPr>
      </w:pPr>
    </w:p>
    <w:p w14:paraId="6E2B732D" w14:textId="77777777" w:rsidR="00893D5B" w:rsidRPr="000250FA" w:rsidRDefault="00893D5B" w:rsidP="00893D5B">
      <w:pPr>
        <w:tabs>
          <w:tab w:val="left" w:pos="9781"/>
        </w:tabs>
        <w:ind w:right="-144"/>
        <w:jc w:val="both"/>
        <w:rPr>
          <w:sz w:val="22"/>
          <w:szCs w:val="22"/>
        </w:rPr>
      </w:pPr>
      <w:r w:rsidRPr="000250FA">
        <w:rPr>
          <w:sz w:val="22"/>
          <w:szCs w:val="22"/>
        </w:rPr>
        <w:t xml:space="preserve">(6) A 37. § (2) bekezdés c) pontjában meghatározott összeférhetetlenségi ok fennállta esetén a közalkalmazott 2007. június 30. napjáig köteles a másik munkáltatónál fennálló jogviszonyát </w:t>
      </w:r>
      <w:proofErr w:type="spellStart"/>
      <w:r w:rsidRPr="000250FA">
        <w:rPr>
          <w:sz w:val="22"/>
          <w:szCs w:val="22"/>
        </w:rPr>
        <w:t>részmunkaidejűvé</w:t>
      </w:r>
      <w:proofErr w:type="spellEnd"/>
      <w:r w:rsidRPr="000250FA">
        <w:rPr>
          <w:sz w:val="22"/>
          <w:szCs w:val="22"/>
        </w:rPr>
        <w:t xml:space="preserve"> alakítani, vagy a 37. § (3)-(4) bekezdés alkalmazásával megszüntetni.</w:t>
      </w:r>
    </w:p>
    <w:p w14:paraId="13EE6EDA" w14:textId="77777777" w:rsidR="00893D5B" w:rsidRPr="000250FA" w:rsidRDefault="00893D5B" w:rsidP="00893D5B">
      <w:pPr>
        <w:tabs>
          <w:tab w:val="left" w:pos="9781"/>
        </w:tabs>
        <w:ind w:right="-144"/>
        <w:jc w:val="both"/>
        <w:rPr>
          <w:sz w:val="22"/>
          <w:szCs w:val="22"/>
        </w:rPr>
      </w:pPr>
    </w:p>
    <w:p w14:paraId="3D1F4B15" w14:textId="77777777" w:rsidR="00893D5B" w:rsidRPr="000250FA" w:rsidRDefault="00893D5B" w:rsidP="00893D5B">
      <w:pPr>
        <w:tabs>
          <w:tab w:val="left" w:pos="9781"/>
        </w:tabs>
        <w:ind w:right="-144"/>
        <w:jc w:val="both"/>
        <w:rPr>
          <w:sz w:val="22"/>
          <w:szCs w:val="22"/>
        </w:rPr>
      </w:pPr>
      <w:r w:rsidRPr="000250FA">
        <w:rPr>
          <w:b/>
          <w:sz w:val="22"/>
          <w:szCs w:val="22"/>
        </w:rPr>
        <w:t>168. §</w:t>
      </w:r>
      <w:r w:rsidRPr="000250FA">
        <w:rPr>
          <w:sz w:val="22"/>
          <w:szCs w:val="22"/>
        </w:rPr>
        <w:t xml:space="preserve"> E szabályzat 52-53. § </w:t>
      </w:r>
      <w:proofErr w:type="gramStart"/>
      <w:r w:rsidRPr="000250FA">
        <w:rPr>
          <w:sz w:val="22"/>
          <w:szCs w:val="22"/>
        </w:rPr>
        <w:t>alapján</w:t>
      </w:r>
      <w:proofErr w:type="gramEnd"/>
      <w:r w:rsidRPr="000250FA">
        <w:rPr>
          <w:sz w:val="22"/>
          <w:szCs w:val="22"/>
        </w:rPr>
        <w:t xml:space="preserve"> az Egyetemen foglalkoztatott valamennyi közalkalmazott, illetve vezető munkáját 2007. december 31. napjáig értékelni kell. </w:t>
      </w:r>
    </w:p>
    <w:p w14:paraId="74902CB5" w14:textId="77777777" w:rsidR="00893D5B" w:rsidRPr="000250FA" w:rsidRDefault="00893D5B" w:rsidP="00893D5B">
      <w:pPr>
        <w:tabs>
          <w:tab w:val="left" w:pos="9781"/>
        </w:tabs>
        <w:ind w:right="-144"/>
        <w:jc w:val="both"/>
        <w:rPr>
          <w:sz w:val="22"/>
          <w:szCs w:val="22"/>
        </w:rPr>
      </w:pPr>
    </w:p>
    <w:p w14:paraId="5A1011EA" w14:textId="77777777" w:rsidR="00893D5B" w:rsidRPr="000250FA" w:rsidRDefault="00893D5B" w:rsidP="00893D5B">
      <w:pPr>
        <w:tabs>
          <w:tab w:val="left" w:pos="9781"/>
        </w:tabs>
        <w:ind w:right="-144"/>
        <w:jc w:val="both"/>
        <w:rPr>
          <w:sz w:val="22"/>
          <w:szCs w:val="22"/>
        </w:rPr>
      </w:pPr>
      <w:r w:rsidRPr="000250FA">
        <w:rPr>
          <w:b/>
          <w:sz w:val="22"/>
          <w:szCs w:val="22"/>
        </w:rPr>
        <w:t>169. §</w:t>
      </w:r>
      <w:r w:rsidRPr="000250FA">
        <w:rPr>
          <w:sz w:val="22"/>
          <w:szCs w:val="22"/>
        </w:rPr>
        <w:t xml:space="preserve"> (1)</w:t>
      </w:r>
      <w:r w:rsidRPr="000250FA">
        <w:rPr>
          <w:b/>
          <w:sz w:val="22"/>
          <w:szCs w:val="22"/>
          <w:vertAlign w:val="superscript"/>
        </w:rPr>
        <w:t xml:space="preserve">  </w:t>
      </w:r>
      <w:r w:rsidRPr="000250FA">
        <w:rPr>
          <w:rStyle w:val="Lbjegyzet-hivatkozs"/>
          <w:sz w:val="22"/>
          <w:szCs w:val="22"/>
        </w:rPr>
        <w:footnoteReference w:id="460"/>
      </w:r>
      <w:r w:rsidRPr="000250FA">
        <w:rPr>
          <w:sz w:val="22"/>
          <w:szCs w:val="22"/>
        </w:rPr>
        <w:t xml:space="preserve"> A szabályzat 59. § (5) bekezdésében meghatározott beszámítást először a 2009. december 10-ét követően induló oktatói kinevezési eljárásban kell alkalmazni.</w:t>
      </w:r>
    </w:p>
    <w:p w14:paraId="358C2915" w14:textId="77777777" w:rsidR="00893D5B" w:rsidRPr="000250FA" w:rsidRDefault="00893D5B" w:rsidP="00893D5B">
      <w:pPr>
        <w:tabs>
          <w:tab w:val="left" w:pos="9781"/>
        </w:tabs>
        <w:ind w:right="-144"/>
        <w:jc w:val="both"/>
        <w:rPr>
          <w:sz w:val="22"/>
          <w:szCs w:val="22"/>
        </w:rPr>
      </w:pPr>
    </w:p>
    <w:p w14:paraId="5D10D3C2" w14:textId="77777777" w:rsidR="00893D5B" w:rsidRPr="000250FA" w:rsidRDefault="00893D5B" w:rsidP="00893D5B">
      <w:pPr>
        <w:tabs>
          <w:tab w:val="left" w:pos="9781"/>
        </w:tabs>
        <w:spacing w:line="259" w:lineRule="auto"/>
        <w:jc w:val="both"/>
        <w:rPr>
          <w:rFonts w:eastAsia="Calibri"/>
          <w:sz w:val="22"/>
          <w:szCs w:val="22"/>
          <w:lang w:eastAsia="en-US"/>
        </w:rPr>
      </w:pPr>
      <w:r w:rsidRPr="000250FA">
        <w:rPr>
          <w:rFonts w:eastAsia="Calibri"/>
          <w:sz w:val="22"/>
          <w:szCs w:val="22"/>
          <w:lang w:eastAsia="en-US"/>
        </w:rPr>
        <w:t>(2)</w:t>
      </w:r>
      <w:r w:rsidRPr="000250FA">
        <w:rPr>
          <w:rStyle w:val="Lbjegyzet-hivatkozs"/>
          <w:rFonts w:eastAsia="Calibri"/>
          <w:sz w:val="22"/>
          <w:szCs w:val="22"/>
          <w:lang w:eastAsia="en-US"/>
        </w:rPr>
        <w:footnoteReference w:id="461"/>
      </w:r>
      <w:r w:rsidRPr="000250FA">
        <w:rPr>
          <w:rFonts w:eastAsia="Calibri"/>
          <w:sz w:val="22"/>
          <w:szCs w:val="22"/>
          <w:lang w:eastAsia="en-US"/>
        </w:rPr>
        <w:t xml:space="preserve"> E szabályzat 61. § (2) bekezdésében meghatározott ajánlatot – kérelme alapján - 2018. szeptember 1. napi hatállyal meg kell tenni annak a tanársegédnek, aki e napig a 61. § (1) bekezdésében meghatározott feltételeket teljesíti és legalább három éve doktori fokozattal rendelkezik. A feltételek teljesítésére irányuló eljárást 2017. augusztus 31. napjáig le kell folytatni.     </w:t>
      </w:r>
    </w:p>
    <w:p w14:paraId="69989E1A" w14:textId="77777777" w:rsidR="00893D5B" w:rsidRPr="000250FA" w:rsidRDefault="00893D5B" w:rsidP="00893D5B">
      <w:pPr>
        <w:tabs>
          <w:tab w:val="left" w:pos="9781"/>
        </w:tabs>
        <w:ind w:right="-144"/>
        <w:jc w:val="both"/>
        <w:rPr>
          <w:sz w:val="22"/>
          <w:szCs w:val="22"/>
        </w:rPr>
      </w:pPr>
    </w:p>
    <w:p w14:paraId="1EF6497A" w14:textId="77777777" w:rsidR="00893D5B" w:rsidRPr="000250FA" w:rsidRDefault="00893D5B" w:rsidP="00893D5B">
      <w:pPr>
        <w:tabs>
          <w:tab w:val="left" w:pos="9781"/>
        </w:tabs>
        <w:ind w:right="-144"/>
        <w:jc w:val="both"/>
        <w:rPr>
          <w:sz w:val="22"/>
          <w:szCs w:val="22"/>
        </w:rPr>
      </w:pPr>
      <w:r w:rsidRPr="000250FA">
        <w:rPr>
          <w:sz w:val="22"/>
          <w:szCs w:val="22"/>
        </w:rPr>
        <w:t>(3) E szabályzat 62. § (2) bekezdésében meghatározott követelményeket 2007. április 30. napjáig kell megállapítani.</w:t>
      </w:r>
    </w:p>
    <w:p w14:paraId="696D94BA" w14:textId="77777777" w:rsidR="00893D5B" w:rsidRPr="000250FA" w:rsidRDefault="00893D5B" w:rsidP="00893D5B">
      <w:pPr>
        <w:tabs>
          <w:tab w:val="left" w:pos="9781"/>
        </w:tabs>
        <w:ind w:right="-144"/>
        <w:jc w:val="both"/>
        <w:rPr>
          <w:sz w:val="22"/>
          <w:szCs w:val="22"/>
        </w:rPr>
      </w:pPr>
    </w:p>
    <w:p w14:paraId="2BEF8162" w14:textId="77777777" w:rsidR="00893D5B" w:rsidRPr="000250FA" w:rsidRDefault="00893D5B" w:rsidP="00893D5B">
      <w:pPr>
        <w:tabs>
          <w:tab w:val="left" w:pos="9781"/>
        </w:tabs>
        <w:ind w:right="-144"/>
        <w:jc w:val="both"/>
        <w:rPr>
          <w:sz w:val="22"/>
          <w:szCs w:val="22"/>
        </w:rPr>
      </w:pPr>
      <w:r w:rsidRPr="000250FA">
        <w:rPr>
          <w:b/>
          <w:sz w:val="22"/>
          <w:szCs w:val="22"/>
        </w:rPr>
        <w:t>170. §</w:t>
      </w:r>
      <w:r w:rsidRPr="000250FA">
        <w:rPr>
          <w:sz w:val="22"/>
          <w:szCs w:val="22"/>
        </w:rPr>
        <w:t xml:space="preserve"> (1) E szabályzat 83-84. §-</w:t>
      </w:r>
      <w:proofErr w:type="spellStart"/>
      <w:r w:rsidRPr="000250FA">
        <w:rPr>
          <w:sz w:val="22"/>
          <w:szCs w:val="22"/>
        </w:rPr>
        <w:t>ban</w:t>
      </w:r>
      <w:proofErr w:type="spellEnd"/>
      <w:r w:rsidRPr="000250FA">
        <w:rPr>
          <w:sz w:val="22"/>
          <w:szCs w:val="22"/>
        </w:rPr>
        <w:t xml:space="preserve"> foglalt rendelkezéseket első alkalommal a 2007/2008. tanév első félévében kell alkalmazni.</w:t>
      </w:r>
    </w:p>
    <w:p w14:paraId="1E434FF7" w14:textId="77777777" w:rsidR="00893D5B" w:rsidRPr="000250FA" w:rsidRDefault="00893D5B" w:rsidP="00893D5B">
      <w:pPr>
        <w:tabs>
          <w:tab w:val="left" w:pos="9781"/>
        </w:tabs>
        <w:ind w:right="-144"/>
        <w:jc w:val="both"/>
        <w:rPr>
          <w:sz w:val="22"/>
          <w:szCs w:val="22"/>
        </w:rPr>
      </w:pPr>
    </w:p>
    <w:p w14:paraId="175F7586" w14:textId="77777777" w:rsidR="00893D5B" w:rsidRPr="000250FA" w:rsidRDefault="00893D5B" w:rsidP="00893D5B">
      <w:pPr>
        <w:tabs>
          <w:tab w:val="left" w:pos="9781"/>
        </w:tabs>
        <w:ind w:right="-144"/>
        <w:jc w:val="both"/>
        <w:rPr>
          <w:sz w:val="22"/>
          <w:szCs w:val="22"/>
        </w:rPr>
      </w:pPr>
      <w:r w:rsidRPr="000250FA">
        <w:rPr>
          <w:sz w:val="22"/>
          <w:szCs w:val="22"/>
        </w:rPr>
        <w:t xml:space="preserve">(2) E szabályzat 84. § (6) bekezdés alapján a munkáltatói jogkör gyakorlója 2007. június 30. napjáig köteles kiadni a tanításra fordított idő számításának részletes szabályaira vonatkozó utasítást. </w:t>
      </w:r>
    </w:p>
    <w:p w14:paraId="442C5166" w14:textId="77777777" w:rsidR="00893D5B" w:rsidRPr="000250FA" w:rsidRDefault="00893D5B" w:rsidP="00893D5B">
      <w:pPr>
        <w:jc w:val="both"/>
        <w:rPr>
          <w:sz w:val="22"/>
          <w:szCs w:val="22"/>
        </w:rPr>
      </w:pPr>
    </w:p>
    <w:p w14:paraId="733B86F9" w14:textId="77777777" w:rsidR="00893D5B" w:rsidRPr="000250FA" w:rsidRDefault="00893D5B" w:rsidP="00893D5B">
      <w:pPr>
        <w:jc w:val="both"/>
        <w:rPr>
          <w:bCs/>
          <w:sz w:val="22"/>
          <w:szCs w:val="22"/>
        </w:rPr>
      </w:pPr>
      <w:r w:rsidRPr="000250FA">
        <w:rPr>
          <w:b/>
          <w:sz w:val="22"/>
          <w:szCs w:val="22"/>
        </w:rPr>
        <w:t>171. §</w:t>
      </w:r>
      <w:r w:rsidRPr="000250FA">
        <w:rPr>
          <w:sz w:val="22"/>
          <w:szCs w:val="22"/>
        </w:rPr>
        <w:t xml:space="preserve"> (1) E</w:t>
      </w:r>
      <w:r w:rsidRPr="000250FA">
        <w:rPr>
          <w:bCs/>
          <w:sz w:val="22"/>
          <w:szCs w:val="22"/>
        </w:rPr>
        <w:t xml:space="preserve"> szabályzat hatálybalépését megelőzően adományozott Professor Emeritus címekhez kapcsolódó jogok esetében, ha a címhez kapcsolódó jogosultság gyakorlása - ideértve a kapcsolódó pénzbeli juttatásra való igényt is - határidőhöz nem kötött, úgy 2010. december 31-ig illeti meg a jogosultat, azzal a feltétellel, hogy a juttatás mértéke nem lehet kevesebb, mint a 2005. évben.</w:t>
      </w:r>
    </w:p>
    <w:p w14:paraId="4DB60541" w14:textId="77777777" w:rsidR="00893D5B" w:rsidRPr="000250FA" w:rsidRDefault="00893D5B" w:rsidP="00893D5B">
      <w:pPr>
        <w:jc w:val="both"/>
        <w:rPr>
          <w:bCs/>
          <w:sz w:val="22"/>
          <w:szCs w:val="22"/>
        </w:rPr>
      </w:pPr>
    </w:p>
    <w:p w14:paraId="5AF45FC2" w14:textId="77777777" w:rsidR="00893D5B" w:rsidRPr="000250FA" w:rsidRDefault="00893D5B" w:rsidP="00893D5B">
      <w:pPr>
        <w:jc w:val="both"/>
        <w:rPr>
          <w:bCs/>
          <w:sz w:val="22"/>
          <w:szCs w:val="22"/>
        </w:rPr>
      </w:pPr>
      <w:r w:rsidRPr="000250FA">
        <w:rPr>
          <w:bCs/>
          <w:sz w:val="22"/>
          <w:szCs w:val="22"/>
        </w:rPr>
        <w:t xml:space="preserve">(2) Az Egyetem az (1) bekezdésben említett határidő lejártát követően további határozott, legfeljebb öt évre szóló megállapodást köthet a Professor Emeritus címmel járó feladatokra és juttatásokra, illetve a </w:t>
      </w:r>
      <w:r w:rsidRPr="000250FA">
        <w:rPr>
          <w:bCs/>
          <w:sz w:val="22"/>
          <w:szCs w:val="22"/>
        </w:rPr>
        <w:lastRenderedPageBreak/>
        <w:t>juttatásokat magasabb összegben is meghatározhatja. A Professor Emeritus cím használata a jogosultat akkor is megilleti, ha a juttatásokra már nem jogosult. A határozott időre adományozott Professor Emeritus címekhez kapcsolódó jogokat e szabályzat hatályba lépése nem érinti.</w:t>
      </w:r>
    </w:p>
    <w:p w14:paraId="6C0A8AD0" w14:textId="77777777" w:rsidR="00893D5B" w:rsidRPr="000250FA" w:rsidRDefault="00893D5B" w:rsidP="00893D5B">
      <w:pPr>
        <w:jc w:val="both"/>
        <w:rPr>
          <w:bCs/>
          <w:sz w:val="22"/>
          <w:szCs w:val="22"/>
        </w:rPr>
      </w:pPr>
    </w:p>
    <w:p w14:paraId="6B7C38A2" w14:textId="77777777" w:rsidR="00893D5B" w:rsidRPr="000250FA" w:rsidRDefault="00893D5B" w:rsidP="00893D5B">
      <w:pPr>
        <w:jc w:val="both"/>
        <w:rPr>
          <w:sz w:val="22"/>
          <w:szCs w:val="22"/>
        </w:rPr>
      </w:pPr>
      <w:r w:rsidRPr="000250FA">
        <w:rPr>
          <w:bCs/>
          <w:sz w:val="22"/>
          <w:szCs w:val="22"/>
        </w:rPr>
        <w:t>(3)</w:t>
      </w:r>
      <w:r w:rsidRPr="000250FA">
        <w:rPr>
          <w:rStyle w:val="Lbjegyzet-hivatkozs"/>
          <w:bCs/>
          <w:sz w:val="22"/>
          <w:szCs w:val="22"/>
        </w:rPr>
        <w:footnoteReference w:id="462"/>
      </w:r>
      <w:r w:rsidRPr="000250FA">
        <w:rPr>
          <w:bCs/>
          <w:sz w:val="22"/>
          <w:szCs w:val="22"/>
        </w:rPr>
        <w:t xml:space="preserve"> Amennyiben a meghosszabbított megállapodás alapján a címhez kapcsolódó juttatásra való jogosultság a Professor Emeritus 75 életévének betöltése miatt szűnt meg, és a megállapodás legfeljebb öt éves időtartama még nem járt le, a megállapodás az öt éves időtartam elérésének időpontjáig megköthető.</w:t>
      </w:r>
    </w:p>
    <w:p w14:paraId="17958E6C" w14:textId="77777777" w:rsidR="00893D5B" w:rsidRPr="000250FA" w:rsidRDefault="00893D5B" w:rsidP="00893D5B">
      <w:pPr>
        <w:tabs>
          <w:tab w:val="left" w:pos="9781"/>
        </w:tabs>
        <w:ind w:right="-144"/>
        <w:jc w:val="both"/>
        <w:rPr>
          <w:b/>
          <w:sz w:val="22"/>
          <w:szCs w:val="22"/>
        </w:rPr>
      </w:pPr>
    </w:p>
    <w:p w14:paraId="5F858A8B" w14:textId="77777777" w:rsidR="00893D5B" w:rsidRPr="002F1E5A" w:rsidRDefault="00893D5B" w:rsidP="00893D5B">
      <w:pPr>
        <w:tabs>
          <w:tab w:val="left" w:pos="9781"/>
        </w:tabs>
        <w:contextualSpacing/>
        <w:jc w:val="both"/>
        <w:rPr>
          <w:strike/>
          <w:sz w:val="22"/>
        </w:rPr>
      </w:pPr>
      <w:r w:rsidRPr="000250FA">
        <w:rPr>
          <w:b/>
          <w:sz w:val="22"/>
          <w:szCs w:val="22"/>
        </w:rPr>
        <w:t>172. §</w:t>
      </w:r>
      <w:r w:rsidRPr="002F1E5A">
        <w:rPr>
          <w:rStyle w:val="Lbjegyzet-hivatkozs"/>
          <w:sz w:val="20"/>
          <w:szCs w:val="22"/>
        </w:rPr>
        <w:footnoteReference w:id="463"/>
      </w:r>
      <w:r w:rsidRPr="002F1E5A">
        <w:rPr>
          <w:sz w:val="20"/>
          <w:szCs w:val="22"/>
        </w:rPr>
        <w:t xml:space="preserve"> </w:t>
      </w:r>
      <w:r w:rsidRPr="00893D5B">
        <w:rPr>
          <w:sz w:val="22"/>
        </w:rPr>
        <w:t>A szabályzat 85. §-</w:t>
      </w:r>
      <w:proofErr w:type="gramStart"/>
      <w:r w:rsidRPr="00893D5B">
        <w:rPr>
          <w:sz w:val="22"/>
        </w:rPr>
        <w:t>a</w:t>
      </w:r>
      <w:proofErr w:type="gramEnd"/>
      <w:r w:rsidRPr="00893D5B">
        <w:rPr>
          <w:sz w:val="22"/>
        </w:rPr>
        <w:t xml:space="preserve"> </w:t>
      </w:r>
      <w:proofErr w:type="spellStart"/>
      <w:r w:rsidRPr="00893D5B">
        <w:rPr>
          <w:sz w:val="22"/>
        </w:rPr>
        <w:t>a</w:t>
      </w:r>
      <w:proofErr w:type="spellEnd"/>
      <w:r w:rsidRPr="00893D5B">
        <w:rPr>
          <w:sz w:val="22"/>
        </w:rPr>
        <w:t xml:space="preserve"> 2019/2020. tanév második félévének első napjától alkalmazandó.</w:t>
      </w:r>
    </w:p>
    <w:p w14:paraId="2120D103" w14:textId="77777777" w:rsidR="00893D5B" w:rsidRPr="000250FA" w:rsidRDefault="00893D5B" w:rsidP="00893D5B">
      <w:pPr>
        <w:tabs>
          <w:tab w:val="left" w:pos="9781"/>
        </w:tabs>
        <w:ind w:right="-144"/>
        <w:jc w:val="both"/>
        <w:rPr>
          <w:sz w:val="22"/>
          <w:szCs w:val="22"/>
        </w:rPr>
      </w:pPr>
    </w:p>
    <w:p w14:paraId="02FF23C1" w14:textId="77777777" w:rsidR="00893D5B" w:rsidRPr="000250FA" w:rsidRDefault="00893D5B" w:rsidP="00893D5B">
      <w:pPr>
        <w:tabs>
          <w:tab w:val="left" w:pos="9781"/>
        </w:tabs>
        <w:ind w:right="-144"/>
        <w:jc w:val="both"/>
        <w:rPr>
          <w:sz w:val="22"/>
          <w:szCs w:val="22"/>
        </w:rPr>
      </w:pPr>
      <w:r w:rsidRPr="000250FA">
        <w:rPr>
          <w:b/>
          <w:sz w:val="22"/>
          <w:szCs w:val="22"/>
        </w:rPr>
        <w:t>173. §</w:t>
      </w:r>
      <w:r w:rsidRPr="000250FA">
        <w:rPr>
          <w:sz w:val="22"/>
          <w:szCs w:val="22"/>
        </w:rPr>
        <w:t xml:space="preserve"> A munkaügyi kapcsolatokra, az élet- és munkakörülményekre, a szociális kérdésekre vonatkozó szabályokról, az egyes ágazatokra vonatkozó </w:t>
      </w:r>
      <w:proofErr w:type="gramStart"/>
      <w:r w:rsidRPr="000250FA">
        <w:rPr>
          <w:sz w:val="22"/>
          <w:szCs w:val="22"/>
        </w:rPr>
        <w:t>speciális</w:t>
      </w:r>
      <w:proofErr w:type="gramEnd"/>
      <w:r w:rsidRPr="000250FA">
        <w:rPr>
          <w:sz w:val="22"/>
          <w:szCs w:val="22"/>
        </w:rPr>
        <w:t xml:space="preserve"> kérdésekről kollektív szerződés rendelkezik.</w:t>
      </w:r>
    </w:p>
    <w:p w14:paraId="110B576B" w14:textId="77777777" w:rsidR="00893D5B" w:rsidRPr="000250FA" w:rsidRDefault="00893D5B" w:rsidP="00893D5B">
      <w:pPr>
        <w:tabs>
          <w:tab w:val="left" w:pos="9781"/>
        </w:tabs>
        <w:ind w:right="-144"/>
        <w:jc w:val="both"/>
        <w:rPr>
          <w:sz w:val="22"/>
          <w:szCs w:val="22"/>
        </w:rPr>
      </w:pPr>
    </w:p>
    <w:p w14:paraId="7B254F1B" w14:textId="77777777" w:rsidR="00893D5B" w:rsidRPr="000250FA" w:rsidRDefault="00893D5B" w:rsidP="00893D5B">
      <w:pPr>
        <w:tabs>
          <w:tab w:val="left" w:pos="9781"/>
        </w:tabs>
        <w:ind w:right="-144"/>
        <w:jc w:val="both"/>
        <w:rPr>
          <w:sz w:val="22"/>
          <w:szCs w:val="22"/>
        </w:rPr>
      </w:pPr>
      <w:r w:rsidRPr="000250FA">
        <w:rPr>
          <w:b/>
          <w:sz w:val="22"/>
          <w:szCs w:val="22"/>
        </w:rPr>
        <w:t xml:space="preserve">174. § </w:t>
      </w:r>
      <w:r w:rsidRPr="002F1E5A">
        <w:rPr>
          <w:rStyle w:val="Lbjegyzet-hivatkozs"/>
          <w:sz w:val="20"/>
          <w:szCs w:val="22"/>
        </w:rPr>
        <w:footnoteReference w:id="464"/>
      </w:r>
      <w:r w:rsidRPr="002F1E5A">
        <w:rPr>
          <w:i/>
          <w:sz w:val="20"/>
          <w:szCs w:val="22"/>
        </w:rPr>
        <w:t xml:space="preserve"> </w:t>
      </w:r>
      <w:r w:rsidRPr="000250FA">
        <w:rPr>
          <w:sz w:val="22"/>
          <w:szCs w:val="22"/>
        </w:rPr>
        <w:t>A munkáltatói jogkör gyakorlója 2007. augusztus 30. napjáig köteles felülvizsgálni a külföldön munkavállalás céljából tartózkodó közalkalmazottak közalkalmazotti jogviszonyát. Amennyiben a közalkalmazott külföldön való munkavállalásának ideje meghaladja az e szabályzat 40/B. §-</w:t>
      </w:r>
      <w:proofErr w:type="spellStart"/>
      <w:r w:rsidRPr="000250FA">
        <w:rPr>
          <w:sz w:val="22"/>
          <w:szCs w:val="22"/>
        </w:rPr>
        <w:t>ában</w:t>
      </w:r>
      <w:proofErr w:type="spellEnd"/>
      <w:r w:rsidRPr="000250FA">
        <w:rPr>
          <w:sz w:val="22"/>
          <w:szCs w:val="22"/>
        </w:rPr>
        <w:t xml:space="preserve"> meghatározott időt, köteles a közalkalmazott figyelmét felhívni, hogy amennyiben a felhívásban meghatározott határidőn belül nem jelentkezik munkavégzésre, a közalkalmazotti jogviszony megszüntetésre kerül. </w:t>
      </w:r>
    </w:p>
    <w:p w14:paraId="6158A83B" w14:textId="77777777" w:rsidR="00893D5B" w:rsidRPr="000250FA" w:rsidRDefault="00893D5B" w:rsidP="00893D5B">
      <w:pPr>
        <w:tabs>
          <w:tab w:val="left" w:pos="9781"/>
        </w:tabs>
        <w:ind w:right="-144"/>
        <w:rPr>
          <w:sz w:val="22"/>
          <w:szCs w:val="22"/>
        </w:rPr>
      </w:pPr>
    </w:p>
    <w:p w14:paraId="213ACF27" w14:textId="77777777" w:rsidR="00893D5B" w:rsidRPr="000250FA" w:rsidRDefault="00893D5B" w:rsidP="00893D5B">
      <w:pPr>
        <w:tabs>
          <w:tab w:val="left" w:pos="9781"/>
        </w:tabs>
        <w:ind w:right="-144"/>
        <w:jc w:val="both"/>
        <w:rPr>
          <w:b/>
          <w:i/>
          <w:sz w:val="22"/>
          <w:szCs w:val="22"/>
        </w:rPr>
      </w:pPr>
      <w:r w:rsidRPr="000250FA">
        <w:rPr>
          <w:b/>
          <w:sz w:val="22"/>
          <w:szCs w:val="22"/>
        </w:rPr>
        <w:t xml:space="preserve">175. § </w:t>
      </w:r>
      <w:r w:rsidRPr="002F1E5A">
        <w:rPr>
          <w:rStyle w:val="Lbjegyzet-hivatkozs"/>
          <w:sz w:val="20"/>
          <w:szCs w:val="22"/>
        </w:rPr>
        <w:footnoteReference w:id="465"/>
      </w:r>
      <w:r w:rsidRPr="002F1E5A">
        <w:rPr>
          <w:sz w:val="20"/>
          <w:szCs w:val="22"/>
        </w:rPr>
        <w:t xml:space="preserve"> </w:t>
      </w:r>
      <w:r w:rsidRPr="000250FA">
        <w:rPr>
          <w:sz w:val="22"/>
          <w:szCs w:val="22"/>
        </w:rPr>
        <w:t>A gyakornoki szabályzatot 2009. június 30. napjáig kell elkészíteni.</w:t>
      </w:r>
    </w:p>
    <w:p w14:paraId="6829DE56" w14:textId="77777777" w:rsidR="00893D5B" w:rsidRPr="000250FA" w:rsidRDefault="00893D5B" w:rsidP="00893D5B">
      <w:pPr>
        <w:tabs>
          <w:tab w:val="left" w:pos="9781"/>
        </w:tabs>
        <w:ind w:right="-144"/>
        <w:rPr>
          <w:b/>
          <w:i/>
          <w:sz w:val="22"/>
          <w:szCs w:val="22"/>
        </w:rPr>
      </w:pPr>
    </w:p>
    <w:p w14:paraId="29437AE9" w14:textId="77777777" w:rsidR="00893D5B" w:rsidRPr="000250FA" w:rsidRDefault="00893D5B" w:rsidP="00893D5B">
      <w:pPr>
        <w:tabs>
          <w:tab w:val="left" w:pos="9781"/>
        </w:tabs>
        <w:ind w:right="-144"/>
        <w:jc w:val="both"/>
        <w:rPr>
          <w:sz w:val="22"/>
          <w:szCs w:val="22"/>
        </w:rPr>
      </w:pPr>
      <w:r w:rsidRPr="000250FA">
        <w:rPr>
          <w:b/>
          <w:sz w:val="22"/>
          <w:szCs w:val="22"/>
        </w:rPr>
        <w:t>176. §</w:t>
      </w:r>
      <w:r w:rsidRPr="000250FA">
        <w:rPr>
          <w:b/>
          <w:i/>
          <w:sz w:val="22"/>
          <w:szCs w:val="22"/>
        </w:rPr>
        <w:t xml:space="preserve"> </w:t>
      </w:r>
      <w:r w:rsidRPr="000250FA">
        <w:rPr>
          <w:sz w:val="22"/>
          <w:szCs w:val="22"/>
        </w:rPr>
        <w:t>(1) Jelen szabályzat Nyolcadik része alapján a munkáltató köteles 2012. december 31. napjáig a kinevezéseket és a közalkalmazottak egyéb juttatásait felülvizsgálni- ideértve a juttatásokra vonatkozó utasításokat is - és a jelen szabályzat szerinti módosításokat azokon átvezetni, illetőleg hatályon kívül helyezni.</w:t>
      </w:r>
    </w:p>
    <w:p w14:paraId="1CCF052D" w14:textId="77777777" w:rsidR="00893D5B" w:rsidRPr="000250FA" w:rsidRDefault="00893D5B" w:rsidP="00893D5B">
      <w:pPr>
        <w:tabs>
          <w:tab w:val="left" w:pos="9781"/>
        </w:tabs>
        <w:ind w:right="-144"/>
        <w:jc w:val="both"/>
        <w:rPr>
          <w:sz w:val="22"/>
          <w:szCs w:val="22"/>
        </w:rPr>
      </w:pPr>
    </w:p>
    <w:p w14:paraId="4D066298" w14:textId="77777777" w:rsidR="00893D5B" w:rsidRPr="000250FA" w:rsidRDefault="00893D5B" w:rsidP="00893D5B">
      <w:pPr>
        <w:tabs>
          <w:tab w:val="left" w:pos="9781"/>
        </w:tabs>
        <w:ind w:right="-144"/>
        <w:jc w:val="both"/>
        <w:rPr>
          <w:sz w:val="22"/>
          <w:szCs w:val="22"/>
        </w:rPr>
      </w:pPr>
      <w:r w:rsidRPr="000250FA">
        <w:rPr>
          <w:sz w:val="22"/>
          <w:szCs w:val="22"/>
        </w:rPr>
        <w:t xml:space="preserve">(2) Az átalakítás során a Klinikai Központban egyoldalú munkáltatói intézkedés alapján alapilletménykiegészítésként adott juttatásokat keresetkiegészítés formájában 2012. december 31-ig </w:t>
      </w:r>
      <w:proofErr w:type="spellStart"/>
      <w:r w:rsidRPr="000250FA">
        <w:rPr>
          <w:sz w:val="22"/>
          <w:szCs w:val="22"/>
        </w:rPr>
        <w:t>adhatóak</w:t>
      </w:r>
      <w:proofErr w:type="spellEnd"/>
      <w:r w:rsidRPr="000250FA">
        <w:rPr>
          <w:sz w:val="22"/>
          <w:szCs w:val="22"/>
        </w:rPr>
        <w:t xml:space="preserve">, ezt követően a minősített munkahelyek meghatározása keretében keresetkiegészítésként </w:t>
      </w:r>
      <w:proofErr w:type="spellStart"/>
      <w:r w:rsidRPr="000250FA">
        <w:rPr>
          <w:sz w:val="22"/>
          <w:szCs w:val="22"/>
        </w:rPr>
        <w:t>állapíthatóak</w:t>
      </w:r>
      <w:proofErr w:type="spellEnd"/>
      <w:r w:rsidRPr="000250FA">
        <w:rPr>
          <w:sz w:val="22"/>
          <w:szCs w:val="22"/>
        </w:rPr>
        <w:t xml:space="preserve"> meg a juttatások.</w:t>
      </w:r>
    </w:p>
    <w:p w14:paraId="0901337E" w14:textId="77777777" w:rsidR="00893D5B" w:rsidRPr="000250FA" w:rsidRDefault="00893D5B" w:rsidP="00893D5B">
      <w:pPr>
        <w:tabs>
          <w:tab w:val="left" w:pos="9781"/>
        </w:tabs>
        <w:ind w:right="-144"/>
        <w:jc w:val="both"/>
        <w:rPr>
          <w:sz w:val="22"/>
          <w:szCs w:val="22"/>
        </w:rPr>
      </w:pPr>
    </w:p>
    <w:p w14:paraId="0E212D30" w14:textId="77777777" w:rsidR="00893D5B" w:rsidRPr="000250FA" w:rsidRDefault="00893D5B" w:rsidP="00893D5B">
      <w:pPr>
        <w:tabs>
          <w:tab w:val="left" w:pos="9781"/>
        </w:tabs>
        <w:ind w:right="-144"/>
        <w:jc w:val="both"/>
        <w:rPr>
          <w:sz w:val="22"/>
          <w:szCs w:val="22"/>
        </w:rPr>
      </w:pPr>
      <w:r w:rsidRPr="000250FA">
        <w:rPr>
          <w:sz w:val="22"/>
          <w:szCs w:val="22"/>
        </w:rPr>
        <w:t>(3) 2012.július 1. napját követően közalkalmazotti juttatások megállapítása kizárólag jelen szabályzat alapján történhet. Minden ezzel ellentétes munkáltatói intézkedés semmis.</w:t>
      </w:r>
    </w:p>
    <w:p w14:paraId="29CF37B2" w14:textId="77777777" w:rsidR="00893D5B" w:rsidRPr="000250FA" w:rsidRDefault="00893D5B" w:rsidP="00893D5B">
      <w:pPr>
        <w:tabs>
          <w:tab w:val="left" w:pos="9781"/>
        </w:tabs>
        <w:ind w:right="-144"/>
        <w:jc w:val="both"/>
        <w:rPr>
          <w:b/>
          <w:i/>
          <w:sz w:val="22"/>
          <w:szCs w:val="22"/>
        </w:rPr>
      </w:pPr>
    </w:p>
    <w:p w14:paraId="0D98766B" w14:textId="77777777" w:rsidR="00893D5B" w:rsidRPr="000250FA" w:rsidRDefault="00893D5B" w:rsidP="00893D5B">
      <w:pPr>
        <w:tabs>
          <w:tab w:val="left" w:pos="9781"/>
        </w:tabs>
        <w:ind w:right="-144"/>
        <w:jc w:val="both"/>
        <w:rPr>
          <w:sz w:val="22"/>
          <w:szCs w:val="22"/>
        </w:rPr>
      </w:pPr>
      <w:r w:rsidRPr="000250FA">
        <w:rPr>
          <w:b/>
          <w:sz w:val="22"/>
          <w:szCs w:val="22"/>
        </w:rPr>
        <w:t>177. §</w:t>
      </w:r>
      <w:r w:rsidRPr="000250FA">
        <w:rPr>
          <w:b/>
          <w:i/>
          <w:sz w:val="22"/>
          <w:szCs w:val="22"/>
        </w:rPr>
        <w:t xml:space="preserve"> </w:t>
      </w:r>
      <w:r w:rsidRPr="000250FA">
        <w:rPr>
          <w:sz w:val="22"/>
          <w:szCs w:val="22"/>
        </w:rPr>
        <w:t>(1) A munkáltatói jogkör gyakorlók kötelesek 2012. december 31. napjáig teljesítményértékelési rendszert kidolgozni és alkalmazni.</w:t>
      </w:r>
    </w:p>
    <w:p w14:paraId="2D0396AD" w14:textId="77777777" w:rsidR="00893D5B" w:rsidRPr="000250FA" w:rsidRDefault="00893D5B" w:rsidP="00893D5B">
      <w:pPr>
        <w:tabs>
          <w:tab w:val="left" w:pos="9781"/>
        </w:tabs>
        <w:ind w:right="-144"/>
        <w:jc w:val="both"/>
        <w:rPr>
          <w:sz w:val="22"/>
          <w:szCs w:val="22"/>
        </w:rPr>
      </w:pPr>
    </w:p>
    <w:p w14:paraId="7DB84056" w14:textId="77777777" w:rsidR="00893D5B" w:rsidRPr="000250FA" w:rsidRDefault="00893D5B" w:rsidP="00893D5B">
      <w:pPr>
        <w:tabs>
          <w:tab w:val="left" w:pos="9781"/>
        </w:tabs>
        <w:ind w:right="-144"/>
        <w:jc w:val="both"/>
        <w:rPr>
          <w:sz w:val="22"/>
          <w:szCs w:val="22"/>
        </w:rPr>
      </w:pPr>
      <w:r w:rsidRPr="000250FA">
        <w:rPr>
          <w:sz w:val="22"/>
          <w:szCs w:val="22"/>
        </w:rPr>
        <w:t>(2) Teljesítményértékelési rendszert kell kialakítani és működtetni valamennyi közalkalmazottakra.</w:t>
      </w:r>
    </w:p>
    <w:p w14:paraId="20892D1D" w14:textId="77777777" w:rsidR="00893D5B" w:rsidRPr="000250FA" w:rsidRDefault="00893D5B" w:rsidP="00893D5B">
      <w:pPr>
        <w:tabs>
          <w:tab w:val="left" w:pos="9781"/>
        </w:tabs>
        <w:ind w:right="-144"/>
        <w:jc w:val="both"/>
        <w:rPr>
          <w:sz w:val="22"/>
          <w:szCs w:val="22"/>
        </w:rPr>
      </w:pPr>
    </w:p>
    <w:p w14:paraId="49946D67" w14:textId="77777777" w:rsidR="00893D5B" w:rsidRPr="000250FA" w:rsidRDefault="00893D5B" w:rsidP="00893D5B">
      <w:pPr>
        <w:tabs>
          <w:tab w:val="left" w:pos="9781"/>
        </w:tabs>
        <w:ind w:right="-144"/>
        <w:jc w:val="both"/>
        <w:rPr>
          <w:sz w:val="22"/>
          <w:szCs w:val="22"/>
        </w:rPr>
      </w:pPr>
      <w:r w:rsidRPr="000250FA">
        <w:rPr>
          <w:b/>
          <w:sz w:val="22"/>
          <w:szCs w:val="22"/>
        </w:rPr>
        <w:t>178. §</w:t>
      </w:r>
      <w:r w:rsidRPr="000250FA">
        <w:rPr>
          <w:b/>
          <w:i/>
          <w:sz w:val="22"/>
          <w:szCs w:val="22"/>
        </w:rPr>
        <w:t xml:space="preserve"> </w:t>
      </w:r>
      <w:r w:rsidRPr="000250FA">
        <w:rPr>
          <w:sz w:val="22"/>
          <w:szCs w:val="22"/>
        </w:rPr>
        <w:t>A munkáltató köteles 2013. június 30. napjáig munkaköri mátrixot készíteni, amely tartalmazza az Egyetemen betölthető munkakörökhöz, beosztásokhoz és vezetői megbízáshoz kapcsolódó feltételeket.</w:t>
      </w:r>
    </w:p>
    <w:p w14:paraId="5E35E747" w14:textId="77777777" w:rsidR="00893D5B" w:rsidRPr="000250FA" w:rsidRDefault="00893D5B" w:rsidP="00893D5B">
      <w:pPr>
        <w:tabs>
          <w:tab w:val="left" w:pos="9781"/>
        </w:tabs>
        <w:ind w:right="-144"/>
        <w:rPr>
          <w:b/>
          <w:i/>
          <w:sz w:val="22"/>
          <w:szCs w:val="22"/>
        </w:rPr>
      </w:pPr>
    </w:p>
    <w:p w14:paraId="54F666FC" w14:textId="77777777" w:rsidR="00893D5B" w:rsidRPr="000250FA" w:rsidRDefault="00893D5B" w:rsidP="00893D5B">
      <w:pPr>
        <w:tabs>
          <w:tab w:val="left" w:pos="9781"/>
        </w:tabs>
        <w:ind w:right="-144"/>
        <w:jc w:val="both"/>
        <w:rPr>
          <w:sz w:val="22"/>
          <w:szCs w:val="22"/>
        </w:rPr>
      </w:pPr>
      <w:r w:rsidRPr="000250FA">
        <w:rPr>
          <w:b/>
          <w:sz w:val="22"/>
          <w:szCs w:val="22"/>
        </w:rPr>
        <w:t>179. §</w:t>
      </w:r>
      <w:r w:rsidRPr="000250FA">
        <w:rPr>
          <w:rStyle w:val="Lbjegyzet-hivatkozs"/>
          <w:b/>
          <w:sz w:val="22"/>
          <w:szCs w:val="22"/>
        </w:rPr>
        <w:footnoteReference w:id="466"/>
      </w:r>
      <w:r w:rsidRPr="000250FA">
        <w:rPr>
          <w:sz w:val="22"/>
          <w:szCs w:val="22"/>
        </w:rPr>
        <w:t xml:space="preserve"> A vezetői megbízások tartalmára vonatkozó rendelkezést a szabályzat módosításának hatálybalépését követően kiadásra kerülő megbízások esetében kell alkalmazni.</w:t>
      </w:r>
    </w:p>
    <w:p w14:paraId="0BD9A35F" w14:textId="77777777" w:rsidR="00893D5B" w:rsidRPr="000250FA" w:rsidRDefault="00893D5B" w:rsidP="00893D5B">
      <w:pPr>
        <w:tabs>
          <w:tab w:val="left" w:pos="9781"/>
        </w:tabs>
        <w:ind w:right="-144"/>
        <w:jc w:val="both"/>
        <w:rPr>
          <w:sz w:val="22"/>
          <w:szCs w:val="22"/>
        </w:rPr>
      </w:pPr>
    </w:p>
    <w:p w14:paraId="375D347A" w14:textId="77777777" w:rsidR="00893D5B" w:rsidRPr="000250FA" w:rsidRDefault="00893D5B" w:rsidP="00893D5B">
      <w:pPr>
        <w:tabs>
          <w:tab w:val="left" w:pos="9781"/>
        </w:tabs>
        <w:ind w:right="-144"/>
        <w:jc w:val="both"/>
        <w:rPr>
          <w:sz w:val="22"/>
          <w:szCs w:val="22"/>
        </w:rPr>
      </w:pPr>
      <w:r w:rsidRPr="000250FA">
        <w:rPr>
          <w:b/>
          <w:sz w:val="22"/>
          <w:szCs w:val="22"/>
        </w:rPr>
        <w:lastRenderedPageBreak/>
        <w:t>180.</w:t>
      </w:r>
      <w:r>
        <w:rPr>
          <w:b/>
          <w:sz w:val="22"/>
          <w:szCs w:val="22"/>
        </w:rPr>
        <w:t xml:space="preserve"> </w:t>
      </w:r>
      <w:r w:rsidRPr="000250FA">
        <w:rPr>
          <w:b/>
          <w:sz w:val="22"/>
          <w:szCs w:val="22"/>
        </w:rPr>
        <w:t>§</w:t>
      </w:r>
      <w:r w:rsidRPr="000250FA">
        <w:rPr>
          <w:rStyle w:val="Lbjegyzet-hivatkozs"/>
          <w:b/>
          <w:sz w:val="22"/>
          <w:szCs w:val="22"/>
        </w:rPr>
        <w:footnoteReference w:id="467"/>
      </w:r>
      <w:r w:rsidRPr="000250FA">
        <w:rPr>
          <w:b/>
          <w:i/>
          <w:sz w:val="22"/>
          <w:szCs w:val="22"/>
        </w:rPr>
        <w:t xml:space="preserve"> </w:t>
      </w:r>
      <w:r w:rsidRPr="000250FA">
        <w:rPr>
          <w:sz w:val="22"/>
          <w:szCs w:val="22"/>
        </w:rPr>
        <w:t>A munkáltatói jogkörök gyakorlásának rendjét szabályozó 1. számú melléklet hatályon kívül helyezésével egyidejűleg rektori – kancellári együttes utasítás rendelkezik a munkáltatói jogok gyakorlásának szabályairól a Pécsi Tudományegyetemen.</w:t>
      </w:r>
    </w:p>
    <w:p w14:paraId="0DB2F24F" w14:textId="77777777" w:rsidR="00893D5B" w:rsidRPr="000250FA" w:rsidRDefault="00893D5B" w:rsidP="00893D5B">
      <w:pPr>
        <w:tabs>
          <w:tab w:val="left" w:pos="9781"/>
        </w:tabs>
        <w:ind w:right="-144"/>
        <w:jc w:val="both"/>
        <w:rPr>
          <w:sz w:val="22"/>
          <w:szCs w:val="22"/>
        </w:rPr>
      </w:pPr>
    </w:p>
    <w:p w14:paraId="250666D7" w14:textId="77777777" w:rsidR="00893D5B" w:rsidRPr="006110DE" w:rsidRDefault="00893D5B" w:rsidP="00893D5B">
      <w:pPr>
        <w:contextualSpacing/>
        <w:jc w:val="both"/>
        <w:rPr>
          <w:sz w:val="22"/>
        </w:rPr>
      </w:pPr>
      <w:r w:rsidRPr="00FA5A36">
        <w:rPr>
          <w:b/>
          <w:sz w:val="22"/>
          <w:szCs w:val="22"/>
        </w:rPr>
        <w:t>181. §</w:t>
      </w:r>
      <w:r w:rsidRPr="00FA5A36">
        <w:rPr>
          <w:rStyle w:val="Lbjegyzet-hivatkozs"/>
          <w:sz w:val="22"/>
          <w:szCs w:val="22"/>
        </w:rPr>
        <w:footnoteReference w:id="468"/>
      </w:r>
      <w:r w:rsidRPr="00FA5A36">
        <w:rPr>
          <w:sz w:val="22"/>
          <w:szCs w:val="22"/>
        </w:rPr>
        <w:t xml:space="preserve"> (1) A Kar a foglalkoztatási követelményrendszer 52. § (2) bekezdésében említett szabályzatra vonatkozó javaslatot a 2019/2020. tanév első Szenátusi ülésére nyújtja be a Szenátusnak, amely szabályzatot első alkalommal a 2019/2020. tanév tekintetében kell alkalmazni azzal, hogy az első évben nem alkalmazhatók a minősítés eredményéhez kapcsolódóan meghatározott jogkövetkezmények. </w:t>
      </w:r>
    </w:p>
    <w:p w14:paraId="01A40B0B" w14:textId="77777777" w:rsidR="00893D5B" w:rsidRPr="00FA5A36" w:rsidRDefault="00893D5B" w:rsidP="00893D5B">
      <w:pPr>
        <w:tabs>
          <w:tab w:val="left" w:pos="3225"/>
        </w:tabs>
        <w:jc w:val="both"/>
        <w:rPr>
          <w:sz w:val="22"/>
          <w:szCs w:val="22"/>
        </w:rPr>
      </w:pPr>
    </w:p>
    <w:p w14:paraId="0D485CAC" w14:textId="77777777" w:rsidR="00893D5B" w:rsidRPr="00BB53E6" w:rsidRDefault="00893D5B" w:rsidP="00893D5B">
      <w:pPr>
        <w:tabs>
          <w:tab w:val="left" w:pos="3225"/>
        </w:tabs>
        <w:jc w:val="both"/>
        <w:rPr>
          <w:sz w:val="22"/>
          <w:szCs w:val="22"/>
        </w:rPr>
      </w:pPr>
      <w:r w:rsidRPr="00FA5A36">
        <w:rPr>
          <w:sz w:val="22"/>
          <w:szCs w:val="22"/>
        </w:rPr>
        <w:t>(2)</w:t>
      </w:r>
      <w:r>
        <w:rPr>
          <w:rStyle w:val="Lbjegyzet-hivatkozs"/>
          <w:sz w:val="22"/>
          <w:szCs w:val="22"/>
        </w:rPr>
        <w:footnoteReference w:id="469"/>
      </w:r>
      <w:r w:rsidRPr="00FA5A36">
        <w:rPr>
          <w:sz w:val="22"/>
          <w:szCs w:val="22"/>
        </w:rPr>
        <w:t xml:space="preserve"> A foglalkoztatási követelményrendszer mellékletét képező kari szabályzatnak a Szenátus általi elfogadását követően, az annak módosítására vonatkozó kari javaslat, az Oktatási Bizottság hozzájárulásával lép hatályba. A hozzájárulás abban az esetben tagadható meg, ha a kari javaslat jogszabály vagy a foglalkoztatási követelményrendszer rendelkezésébe ütközik</w:t>
      </w:r>
      <w:r w:rsidRPr="00893D5B">
        <w:rPr>
          <w:b/>
          <w:i/>
          <w:sz w:val="22"/>
          <w:szCs w:val="22"/>
        </w:rPr>
        <w:t xml:space="preserve">. </w:t>
      </w:r>
      <w:r w:rsidRPr="00BB53E6">
        <w:rPr>
          <w:sz w:val="22"/>
        </w:rPr>
        <w:t>Az 1. számú melléklet Szenátus általi elfogadásával egyidejűleg az adott tárgykörben korábban elfogadott kari szabályzatok/dékáni utasítások hatályukat vesztik. A jelen szabályzat 1. számú mellékletében elfogadott kari szabályzatok felhatalmazó rendelkezései alapján, a pontszámítási eljárás további részleteiről, az eljárás során használt űrlapokról a Kar dékáni utasításban rendelkezhet.</w:t>
      </w:r>
    </w:p>
    <w:p w14:paraId="2C17E464" w14:textId="77777777" w:rsidR="00893D5B" w:rsidRPr="000250FA" w:rsidRDefault="00893D5B" w:rsidP="00893D5B">
      <w:pPr>
        <w:tabs>
          <w:tab w:val="left" w:pos="3225"/>
        </w:tabs>
        <w:jc w:val="both"/>
        <w:rPr>
          <w:b/>
          <w:i/>
          <w:sz w:val="22"/>
          <w:szCs w:val="22"/>
        </w:rPr>
      </w:pPr>
    </w:p>
    <w:p w14:paraId="2BA18E42" w14:textId="77777777" w:rsidR="00893D5B" w:rsidRPr="00FA5A36" w:rsidRDefault="00893D5B" w:rsidP="00893D5B">
      <w:pPr>
        <w:tabs>
          <w:tab w:val="left" w:pos="3225"/>
        </w:tabs>
        <w:jc w:val="both"/>
        <w:rPr>
          <w:sz w:val="22"/>
          <w:szCs w:val="22"/>
        </w:rPr>
      </w:pPr>
      <w:r w:rsidRPr="00FA5A36">
        <w:rPr>
          <w:sz w:val="22"/>
          <w:szCs w:val="22"/>
        </w:rPr>
        <w:t>(3) A kar a 2020. évtől kezdődően személyi célú kiadásainak legalább 5%-át az oktatók vagy kutatók minősítésének eredménye alapján használhatja fel olyan közalkalmazott díjazására, akinek minősítése kiemelkedő. A díjazás részletes szabályait a Kari Tanács határozza meg.</w:t>
      </w:r>
    </w:p>
    <w:p w14:paraId="6FDB4577" w14:textId="77777777" w:rsidR="00893D5B" w:rsidRPr="008A07C4" w:rsidRDefault="00893D5B" w:rsidP="008A07C4">
      <w:pPr>
        <w:tabs>
          <w:tab w:val="left" w:pos="9781"/>
        </w:tabs>
        <w:ind w:right="-144"/>
        <w:jc w:val="both"/>
        <w:rPr>
          <w:sz w:val="22"/>
          <w:szCs w:val="22"/>
        </w:rPr>
      </w:pPr>
    </w:p>
    <w:p w14:paraId="49C64E3F" w14:textId="52FA81CA" w:rsidR="008A07C4" w:rsidRPr="00826B33" w:rsidRDefault="008A07C4" w:rsidP="008A07C4">
      <w:pPr>
        <w:contextualSpacing/>
        <w:jc w:val="both"/>
        <w:rPr>
          <w:sz w:val="22"/>
          <w:szCs w:val="22"/>
        </w:rPr>
      </w:pPr>
      <w:r w:rsidRPr="00826B33">
        <w:rPr>
          <w:b/>
          <w:sz w:val="22"/>
          <w:szCs w:val="22"/>
        </w:rPr>
        <w:t>182. §</w:t>
      </w:r>
      <w:r w:rsidRPr="00826B33">
        <w:rPr>
          <w:rStyle w:val="Lbjegyzet-hivatkozs"/>
          <w:b/>
          <w:sz w:val="22"/>
          <w:szCs w:val="22"/>
        </w:rPr>
        <w:footnoteReference w:id="470"/>
      </w:r>
      <w:r w:rsidRPr="008A07C4">
        <w:rPr>
          <w:b/>
          <w:i/>
          <w:sz w:val="22"/>
          <w:szCs w:val="22"/>
        </w:rPr>
        <w:t xml:space="preserve"> </w:t>
      </w:r>
      <w:r w:rsidRPr="00826B33">
        <w:rPr>
          <w:sz w:val="22"/>
          <w:szCs w:val="22"/>
        </w:rPr>
        <w:t>A Klinikai Központ vonatkozásában a veszélyhelyzet időtartama alatt a szabályzat rendelkezéseit jelen szabályzatban kifejezetten rögzítetteken túl a veszélyhelyzet idején alkalmazandó szabályokról szóló további jogszabályi rendelkezésekben meghatározott eltérésekkel kell alkalmazni.</w:t>
      </w:r>
    </w:p>
    <w:p w14:paraId="4A04D35D" w14:textId="77777777" w:rsidR="00893D5B" w:rsidRPr="00826B33" w:rsidRDefault="00893D5B" w:rsidP="008A07C4">
      <w:pPr>
        <w:tabs>
          <w:tab w:val="left" w:pos="9781"/>
        </w:tabs>
        <w:ind w:right="-144"/>
        <w:jc w:val="both"/>
        <w:rPr>
          <w:sz w:val="22"/>
          <w:szCs w:val="22"/>
        </w:rPr>
      </w:pPr>
    </w:p>
    <w:p w14:paraId="362D7306" w14:textId="77777777" w:rsidR="00893D5B" w:rsidRPr="000250FA" w:rsidRDefault="00893D5B" w:rsidP="00893D5B">
      <w:pPr>
        <w:tabs>
          <w:tab w:val="left" w:pos="9781"/>
        </w:tabs>
        <w:ind w:right="-144"/>
        <w:jc w:val="both"/>
        <w:rPr>
          <w:sz w:val="22"/>
          <w:szCs w:val="22"/>
        </w:rPr>
      </w:pPr>
    </w:p>
    <w:p w14:paraId="08A277AA" w14:textId="77777777" w:rsidR="00893D5B" w:rsidRPr="000250FA" w:rsidRDefault="00893D5B" w:rsidP="00893D5B">
      <w:pPr>
        <w:tabs>
          <w:tab w:val="left" w:pos="9781"/>
        </w:tabs>
        <w:ind w:right="-144"/>
        <w:rPr>
          <w:sz w:val="22"/>
          <w:szCs w:val="22"/>
        </w:rPr>
      </w:pPr>
      <w:r w:rsidRPr="000250FA">
        <w:rPr>
          <w:sz w:val="22"/>
          <w:szCs w:val="22"/>
        </w:rPr>
        <w:t>Pécs, 2007. január 25. napján</w:t>
      </w:r>
    </w:p>
    <w:p w14:paraId="5BD55700" w14:textId="77777777" w:rsidR="00893D5B" w:rsidRPr="000250FA" w:rsidRDefault="00893D5B" w:rsidP="00893D5B">
      <w:pPr>
        <w:tabs>
          <w:tab w:val="left" w:pos="9781"/>
        </w:tabs>
        <w:ind w:right="-144"/>
        <w:rPr>
          <w:sz w:val="22"/>
          <w:szCs w:val="22"/>
        </w:rPr>
      </w:pPr>
    </w:p>
    <w:p w14:paraId="22777537" w14:textId="77777777" w:rsidR="00893D5B" w:rsidRDefault="00893D5B" w:rsidP="00893D5B">
      <w:pPr>
        <w:tabs>
          <w:tab w:val="left" w:pos="9214"/>
        </w:tabs>
        <w:ind w:left="4956"/>
        <w:jc w:val="center"/>
        <w:rPr>
          <w:sz w:val="22"/>
          <w:szCs w:val="22"/>
        </w:rPr>
      </w:pPr>
      <w:r w:rsidRPr="000250FA">
        <w:rPr>
          <w:sz w:val="22"/>
          <w:szCs w:val="22"/>
        </w:rPr>
        <w:t>Dr. Lénárd László</w:t>
      </w:r>
      <w:r>
        <w:rPr>
          <w:sz w:val="22"/>
          <w:szCs w:val="22"/>
        </w:rPr>
        <w:t xml:space="preserve"> </w:t>
      </w:r>
      <w:proofErr w:type="spellStart"/>
      <w:r w:rsidRPr="000250FA">
        <w:rPr>
          <w:sz w:val="22"/>
          <w:szCs w:val="22"/>
        </w:rPr>
        <w:t>sk</w:t>
      </w:r>
      <w:proofErr w:type="spellEnd"/>
      <w:r w:rsidRPr="000250FA">
        <w:rPr>
          <w:sz w:val="22"/>
          <w:szCs w:val="22"/>
        </w:rPr>
        <w:t xml:space="preserve">. </w:t>
      </w:r>
    </w:p>
    <w:p w14:paraId="5BD88D21" w14:textId="77777777" w:rsidR="00893D5B" w:rsidRPr="000250FA" w:rsidRDefault="00893D5B" w:rsidP="00893D5B">
      <w:pPr>
        <w:tabs>
          <w:tab w:val="left" w:pos="9214"/>
        </w:tabs>
        <w:ind w:left="4956"/>
        <w:jc w:val="center"/>
        <w:rPr>
          <w:sz w:val="22"/>
          <w:szCs w:val="22"/>
        </w:rPr>
      </w:pPr>
      <w:proofErr w:type="gramStart"/>
      <w:r w:rsidRPr="000250FA">
        <w:rPr>
          <w:sz w:val="22"/>
          <w:szCs w:val="22"/>
        </w:rPr>
        <w:t>rektor</w:t>
      </w:r>
      <w:proofErr w:type="gramEnd"/>
    </w:p>
    <w:p w14:paraId="1DAB1623" w14:textId="77777777" w:rsidR="00893D5B" w:rsidRPr="000250FA" w:rsidRDefault="00893D5B" w:rsidP="00893D5B">
      <w:pPr>
        <w:tabs>
          <w:tab w:val="left" w:pos="9214"/>
        </w:tabs>
        <w:jc w:val="center"/>
        <w:rPr>
          <w:sz w:val="22"/>
          <w:szCs w:val="22"/>
        </w:rPr>
      </w:pPr>
    </w:p>
    <w:p w14:paraId="477D0CD0" w14:textId="77777777" w:rsidR="00893D5B" w:rsidRPr="000250FA" w:rsidRDefault="00893D5B" w:rsidP="00893D5B">
      <w:pPr>
        <w:rPr>
          <w:b/>
        </w:rPr>
      </w:pPr>
    </w:p>
    <w:p w14:paraId="23616812" w14:textId="77777777" w:rsidR="00893D5B" w:rsidRPr="000250FA" w:rsidRDefault="00893D5B" w:rsidP="00893D5B">
      <w:pPr>
        <w:rPr>
          <w:b/>
        </w:rPr>
      </w:pPr>
      <w:r w:rsidRPr="000250FA">
        <w:rPr>
          <w:b/>
        </w:rPr>
        <w:t xml:space="preserve">Záradék: </w:t>
      </w:r>
    </w:p>
    <w:p w14:paraId="6AE25294" w14:textId="77777777" w:rsidR="00893D5B" w:rsidRPr="000250FA" w:rsidRDefault="00893D5B" w:rsidP="00893D5B">
      <w:pPr>
        <w:tabs>
          <w:tab w:val="left" w:pos="9781"/>
        </w:tabs>
        <w:ind w:right="-144"/>
        <w:jc w:val="both"/>
        <w:rPr>
          <w:sz w:val="22"/>
          <w:szCs w:val="22"/>
        </w:rPr>
      </w:pPr>
    </w:p>
    <w:p w14:paraId="0786E205" w14:textId="77777777" w:rsidR="00893D5B" w:rsidRPr="000250FA" w:rsidRDefault="00893D5B" w:rsidP="00893D5B">
      <w:pPr>
        <w:tabs>
          <w:tab w:val="left" w:pos="9781"/>
        </w:tabs>
        <w:ind w:right="-144"/>
        <w:jc w:val="both"/>
        <w:rPr>
          <w:sz w:val="22"/>
          <w:szCs w:val="22"/>
        </w:rPr>
      </w:pPr>
      <w:r w:rsidRPr="000250FA">
        <w:rPr>
          <w:sz w:val="22"/>
          <w:szCs w:val="22"/>
        </w:rPr>
        <w:t>A szabályzatot a Pécsi Tudományegyetem Szenátusa 2007. január 25-ei ülésén a 26</w:t>
      </w:r>
      <w:r w:rsidRPr="000250FA">
        <w:rPr>
          <w:rFonts w:eastAsia="Batang"/>
          <w:sz w:val="22"/>
          <w:szCs w:val="22"/>
        </w:rPr>
        <w:t>/2007. (01. 25.) számú határozat</w:t>
      </w:r>
      <w:r w:rsidRPr="000250FA">
        <w:rPr>
          <w:sz w:val="22"/>
          <w:szCs w:val="22"/>
        </w:rPr>
        <w:t>ával elfogadta.</w:t>
      </w:r>
    </w:p>
    <w:p w14:paraId="5C997CCE" w14:textId="77777777" w:rsidR="00893D5B" w:rsidRPr="000250FA" w:rsidRDefault="00893D5B" w:rsidP="00893D5B">
      <w:pPr>
        <w:tabs>
          <w:tab w:val="left" w:pos="9781"/>
        </w:tabs>
        <w:ind w:right="-144"/>
        <w:jc w:val="both"/>
        <w:rPr>
          <w:sz w:val="22"/>
          <w:szCs w:val="22"/>
        </w:rPr>
      </w:pPr>
    </w:p>
    <w:p w14:paraId="0755E460"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2007. február 22-ei ülésén fogadta el. Hatályos: 2007. február 22. napjától.</w:t>
      </w:r>
    </w:p>
    <w:p w14:paraId="0526DBD2" w14:textId="77777777" w:rsidR="00893D5B" w:rsidRPr="000250FA" w:rsidRDefault="00893D5B" w:rsidP="00893D5B">
      <w:pPr>
        <w:tabs>
          <w:tab w:val="left" w:pos="9781"/>
        </w:tabs>
        <w:ind w:right="-144"/>
        <w:jc w:val="both"/>
        <w:rPr>
          <w:sz w:val="22"/>
          <w:szCs w:val="22"/>
        </w:rPr>
      </w:pPr>
    </w:p>
    <w:p w14:paraId="3ECBA975"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2007. március 29-ei ülésén fogadta el. A módosítás az iratminták szabályzatba való beépítésére vonatkozik. Hatályos: 2007. március 29. napjától.</w:t>
      </w:r>
    </w:p>
    <w:p w14:paraId="2630C0C0" w14:textId="77777777" w:rsidR="00893D5B" w:rsidRPr="000250FA" w:rsidRDefault="00893D5B" w:rsidP="00893D5B">
      <w:pPr>
        <w:tabs>
          <w:tab w:val="left" w:pos="9781"/>
        </w:tabs>
        <w:ind w:right="-144"/>
        <w:jc w:val="both"/>
        <w:rPr>
          <w:sz w:val="22"/>
          <w:szCs w:val="22"/>
        </w:rPr>
      </w:pPr>
    </w:p>
    <w:p w14:paraId="375F5806"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2007. május 17-ei ülésén fogadta el. Hatályos: 2007. május 17. napjától.</w:t>
      </w:r>
    </w:p>
    <w:p w14:paraId="5FC0A296" w14:textId="77777777" w:rsidR="00893D5B" w:rsidRPr="000250FA" w:rsidRDefault="00893D5B" w:rsidP="00893D5B">
      <w:pPr>
        <w:tabs>
          <w:tab w:val="left" w:pos="9781"/>
        </w:tabs>
        <w:ind w:right="-144"/>
        <w:jc w:val="both"/>
        <w:rPr>
          <w:sz w:val="22"/>
          <w:szCs w:val="22"/>
        </w:rPr>
      </w:pPr>
    </w:p>
    <w:p w14:paraId="7C2A4E79"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2007. július 5-ei ülésén, a 169/2007. (07. 05.) számú határozatával elfogadta. A módosítások a Szenátus által történő elfogadás napján lépnek hatályba.</w:t>
      </w:r>
    </w:p>
    <w:p w14:paraId="7E116D11" w14:textId="77777777" w:rsidR="00893D5B" w:rsidRPr="000250FA" w:rsidRDefault="00893D5B" w:rsidP="00893D5B">
      <w:pPr>
        <w:tabs>
          <w:tab w:val="left" w:pos="9781"/>
        </w:tabs>
        <w:ind w:right="-144"/>
        <w:jc w:val="both"/>
        <w:rPr>
          <w:sz w:val="22"/>
          <w:szCs w:val="22"/>
        </w:rPr>
      </w:pPr>
    </w:p>
    <w:p w14:paraId="7D9221C7"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2008. február 28-ai ülésén 68/2008. (02. 28.) számú határozatával elfogadta. A módosítások a Szenátus által történő elfogadás napján lépnek hatályba.</w:t>
      </w:r>
    </w:p>
    <w:p w14:paraId="6A26D231" w14:textId="77777777" w:rsidR="00893D5B" w:rsidRPr="000250FA" w:rsidRDefault="00893D5B" w:rsidP="00893D5B">
      <w:pPr>
        <w:tabs>
          <w:tab w:val="left" w:pos="9781"/>
        </w:tabs>
        <w:ind w:right="-144"/>
        <w:jc w:val="both"/>
        <w:rPr>
          <w:sz w:val="22"/>
          <w:szCs w:val="22"/>
        </w:rPr>
      </w:pPr>
    </w:p>
    <w:p w14:paraId="6E5A883A"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2008. március 27-ei ülésén 119/2008. (03. 27.) számú határozatával fogadta el. A módosítások a Szenátus által történő elfogadás napján lépnek hatályba.</w:t>
      </w:r>
    </w:p>
    <w:p w14:paraId="2228FE86" w14:textId="77777777" w:rsidR="00893D5B" w:rsidRPr="000250FA" w:rsidRDefault="00893D5B" w:rsidP="00893D5B">
      <w:pPr>
        <w:tabs>
          <w:tab w:val="left" w:pos="9781"/>
        </w:tabs>
        <w:ind w:right="-144"/>
        <w:jc w:val="both"/>
        <w:rPr>
          <w:sz w:val="22"/>
          <w:szCs w:val="22"/>
        </w:rPr>
      </w:pPr>
    </w:p>
    <w:p w14:paraId="19B9326C"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2008. június 26-ai ülésén elfogadta. A módosítások –a pályázati eljárásra vonatkozó szabályok kivételével- a Szenátus által történő elfogadás napján lépnek hatályba. A pályázati eljárással kapcsolatos módosítások 2008. szeptember 1. napján lépnek hatályba.</w:t>
      </w:r>
    </w:p>
    <w:p w14:paraId="70D0279B" w14:textId="77777777" w:rsidR="00893D5B" w:rsidRPr="000250FA" w:rsidRDefault="00893D5B" w:rsidP="00893D5B">
      <w:pPr>
        <w:tabs>
          <w:tab w:val="left" w:pos="9781"/>
        </w:tabs>
        <w:ind w:right="-144"/>
        <w:jc w:val="both"/>
        <w:rPr>
          <w:sz w:val="22"/>
          <w:szCs w:val="22"/>
        </w:rPr>
      </w:pPr>
    </w:p>
    <w:p w14:paraId="7C8C655C"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2008. szeptember 25-ei ülésén 298/2008. (09.25.) számú határozatával elfogadta. A módosítás az elfogadás napján lép hatályba.</w:t>
      </w:r>
    </w:p>
    <w:p w14:paraId="31196499" w14:textId="77777777" w:rsidR="00893D5B" w:rsidRPr="000250FA" w:rsidRDefault="00893D5B" w:rsidP="00893D5B">
      <w:pPr>
        <w:tabs>
          <w:tab w:val="left" w:pos="9781"/>
        </w:tabs>
        <w:ind w:right="-144"/>
        <w:jc w:val="both"/>
        <w:rPr>
          <w:sz w:val="22"/>
          <w:szCs w:val="22"/>
        </w:rPr>
      </w:pPr>
    </w:p>
    <w:p w14:paraId="363503E5"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2008. december 18-ai ülésén 359/2008. (12. 18.9 számú határozatával fogadta el. A módosítások 2009. január 1. napján lépnek hatályba.</w:t>
      </w:r>
    </w:p>
    <w:p w14:paraId="2AE33884" w14:textId="77777777" w:rsidR="00893D5B" w:rsidRPr="000250FA" w:rsidRDefault="00893D5B" w:rsidP="00893D5B">
      <w:pPr>
        <w:tabs>
          <w:tab w:val="left" w:pos="9781"/>
        </w:tabs>
        <w:ind w:left="4956" w:right="-144"/>
        <w:jc w:val="both"/>
        <w:rPr>
          <w:sz w:val="22"/>
          <w:szCs w:val="22"/>
        </w:rPr>
      </w:pPr>
    </w:p>
    <w:p w14:paraId="69FBEF00"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2009. április 9-ei ülésén fogadta el. A módosítások a Szenátus által történő elfogadás napján lépnek hatályba.</w:t>
      </w:r>
    </w:p>
    <w:p w14:paraId="010CC50C" w14:textId="77777777" w:rsidR="00893D5B" w:rsidRPr="000250FA" w:rsidRDefault="00893D5B" w:rsidP="00893D5B">
      <w:pPr>
        <w:tabs>
          <w:tab w:val="left" w:pos="9781"/>
        </w:tabs>
        <w:ind w:right="-144"/>
        <w:jc w:val="both"/>
        <w:rPr>
          <w:sz w:val="22"/>
          <w:szCs w:val="22"/>
        </w:rPr>
      </w:pPr>
    </w:p>
    <w:p w14:paraId="61EFFC01"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2009.- június 18-ai ülésén fogadta el. A módosítások a Szenátus által történő elfogadás napján lépnek hatályba. A módosításokat a módosítás hatályba lépését követően indult eljárásokban kell először alkalmazni.</w:t>
      </w:r>
    </w:p>
    <w:p w14:paraId="4EA3975E" w14:textId="77777777" w:rsidR="00893D5B" w:rsidRPr="000250FA" w:rsidRDefault="00893D5B" w:rsidP="00893D5B">
      <w:pPr>
        <w:tabs>
          <w:tab w:val="left" w:pos="9781"/>
        </w:tabs>
        <w:ind w:right="-144"/>
        <w:jc w:val="both"/>
        <w:rPr>
          <w:sz w:val="22"/>
          <w:szCs w:val="22"/>
        </w:rPr>
      </w:pPr>
    </w:p>
    <w:p w14:paraId="74F2D0C1"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2009. október 1-ei ülésén fogadta el. A hivatalvezetői magasabb vezetői megbízásra vonatkozó módosítások 2010. január 1. napján lépnek hatályba. A tanításra fordított idő számítására vonatkozó rendelkezések a Szenátus által történő elfogadás napján lépnek hatályba.</w:t>
      </w:r>
    </w:p>
    <w:p w14:paraId="223F73A0" w14:textId="77777777" w:rsidR="00893D5B" w:rsidRPr="000250FA" w:rsidRDefault="00893D5B" w:rsidP="00893D5B">
      <w:pPr>
        <w:tabs>
          <w:tab w:val="left" w:pos="9781"/>
        </w:tabs>
        <w:ind w:right="-144"/>
        <w:jc w:val="both"/>
        <w:rPr>
          <w:sz w:val="22"/>
          <w:szCs w:val="22"/>
        </w:rPr>
      </w:pPr>
    </w:p>
    <w:p w14:paraId="7743902C"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2009. december 10-ei ülésén fogadta el. A módosítások a Szenátus által történő elfogadás napján lépnek hatályba.</w:t>
      </w:r>
    </w:p>
    <w:p w14:paraId="75FEDA06" w14:textId="77777777" w:rsidR="00893D5B" w:rsidRPr="000250FA" w:rsidRDefault="00893D5B" w:rsidP="00893D5B">
      <w:pPr>
        <w:tabs>
          <w:tab w:val="left" w:pos="9781"/>
        </w:tabs>
        <w:ind w:right="-144"/>
        <w:jc w:val="both"/>
        <w:rPr>
          <w:sz w:val="22"/>
          <w:szCs w:val="22"/>
        </w:rPr>
      </w:pPr>
    </w:p>
    <w:p w14:paraId="4CFF03B4"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2010. február 18-ai ülésén fogadta el. A módosítások a Szenátus által történő elfogadás napján lépnek hatályba.</w:t>
      </w:r>
    </w:p>
    <w:p w14:paraId="6E3DDD0A" w14:textId="77777777" w:rsidR="00893D5B" w:rsidRPr="000250FA" w:rsidRDefault="00893D5B" w:rsidP="00893D5B">
      <w:pPr>
        <w:tabs>
          <w:tab w:val="left" w:pos="9781"/>
        </w:tabs>
        <w:ind w:left="4956" w:right="-144"/>
        <w:jc w:val="both"/>
        <w:rPr>
          <w:sz w:val="22"/>
          <w:szCs w:val="22"/>
        </w:rPr>
      </w:pPr>
    </w:p>
    <w:p w14:paraId="5655C1DE"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2010. június 17-ei ülésén fogadta el. A módosítások a Szenátus által történő elfogadás napján lépnek hatályba.</w:t>
      </w:r>
    </w:p>
    <w:p w14:paraId="32FB3798" w14:textId="77777777" w:rsidR="00893D5B" w:rsidRPr="000250FA" w:rsidRDefault="00893D5B" w:rsidP="00893D5B">
      <w:pPr>
        <w:tabs>
          <w:tab w:val="left" w:pos="9781"/>
        </w:tabs>
        <w:ind w:right="-144"/>
        <w:jc w:val="both"/>
        <w:rPr>
          <w:sz w:val="22"/>
          <w:szCs w:val="22"/>
        </w:rPr>
      </w:pPr>
    </w:p>
    <w:p w14:paraId="6A9082CE" w14:textId="77777777" w:rsidR="00893D5B" w:rsidRPr="000250FA" w:rsidRDefault="00893D5B" w:rsidP="00893D5B">
      <w:pPr>
        <w:tabs>
          <w:tab w:val="left" w:pos="9781"/>
        </w:tabs>
        <w:ind w:left="4956" w:right="-144"/>
        <w:jc w:val="both"/>
        <w:rPr>
          <w:sz w:val="22"/>
          <w:szCs w:val="22"/>
        </w:rPr>
      </w:pPr>
      <w:r w:rsidRPr="000250FA">
        <w:rPr>
          <w:sz w:val="22"/>
          <w:szCs w:val="22"/>
        </w:rPr>
        <w:t xml:space="preserve">Dr. Gábriel Róbert </w:t>
      </w:r>
      <w:proofErr w:type="spellStart"/>
      <w:r w:rsidRPr="000250FA">
        <w:rPr>
          <w:sz w:val="22"/>
          <w:szCs w:val="22"/>
        </w:rPr>
        <w:t>sk</w:t>
      </w:r>
      <w:proofErr w:type="spellEnd"/>
      <w:r w:rsidRPr="000250FA">
        <w:rPr>
          <w:sz w:val="22"/>
          <w:szCs w:val="22"/>
        </w:rPr>
        <w:t>.</w:t>
      </w:r>
    </w:p>
    <w:p w14:paraId="44F708B4" w14:textId="77777777" w:rsidR="00893D5B" w:rsidRPr="000250FA" w:rsidRDefault="00893D5B" w:rsidP="00893D5B">
      <w:pPr>
        <w:tabs>
          <w:tab w:val="left" w:pos="9781"/>
        </w:tabs>
        <w:ind w:left="4956" w:right="-144"/>
        <w:jc w:val="both"/>
        <w:rPr>
          <w:sz w:val="22"/>
          <w:szCs w:val="22"/>
        </w:rPr>
      </w:pPr>
      <w:r w:rsidRPr="000250FA">
        <w:rPr>
          <w:sz w:val="22"/>
          <w:szCs w:val="22"/>
        </w:rPr>
        <w:t xml:space="preserve">           Rektor</w:t>
      </w:r>
    </w:p>
    <w:p w14:paraId="5415C27F" w14:textId="77777777" w:rsidR="00893D5B" w:rsidRPr="000250FA" w:rsidRDefault="00893D5B" w:rsidP="00893D5B">
      <w:pPr>
        <w:tabs>
          <w:tab w:val="left" w:pos="9781"/>
        </w:tabs>
        <w:ind w:left="4956" w:right="-144"/>
        <w:rPr>
          <w:sz w:val="22"/>
          <w:szCs w:val="22"/>
        </w:rPr>
      </w:pPr>
    </w:p>
    <w:p w14:paraId="61D36B8F" w14:textId="77777777" w:rsidR="00893D5B" w:rsidRPr="000250FA" w:rsidRDefault="00893D5B" w:rsidP="00893D5B">
      <w:pPr>
        <w:tabs>
          <w:tab w:val="left" w:pos="9781"/>
        </w:tabs>
        <w:ind w:right="-144"/>
        <w:rPr>
          <w:sz w:val="22"/>
          <w:szCs w:val="22"/>
        </w:rPr>
      </w:pPr>
    </w:p>
    <w:p w14:paraId="06D23C99"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2010. július 14-ei ülésén fogadta el. A módosítások a Szenátus által történő elfogadás napján lépnek hatályba.</w:t>
      </w:r>
    </w:p>
    <w:p w14:paraId="4A6B5F6C" w14:textId="77777777" w:rsidR="00893D5B" w:rsidRPr="000250FA" w:rsidRDefault="00893D5B" w:rsidP="00893D5B">
      <w:pPr>
        <w:tabs>
          <w:tab w:val="left" w:pos="9781"/>
        </w:tabs>
        <w:ind w:right="-144"/>
        <w:jc w:val="both"/>
        <w:rPr>
          <w:sz w:val="22"/>
          <w:szCs w:val="22"/>
        </w:rPr>
      </w:pPr>
    </w:p>
    <w:p w14:paraId="143881A9"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2011. április 28-ai ülésén fogadta el. A módosítások 2011. május 1. napján lépnek hatályba.</w:t>
      </w:r>
    </w:p>
    <w:p w14:paraId="56D2F88D" w14:textId="77777777" w:rsidR="00893D5B" w:rsidRPr="000250FA" w:rsidRDefault="00893D5B" w:rsidP="00893D5B">
      <w:pPr>
        <w:tabs>
          <w:tab w:val="left" w:pos="9781"/>
        </w:tabs>
        <w:ind w:right="-144"/>
        <w:jc w:val="both"/>
        <w:rPr>
          <w:sz w:val="22"/>
          <w:szCs w:val="22"/>
        </w:rPr>
      </w:pPr>
    </w:p>
    <w:p w14:paraId="76960FFD"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2011. május 19-ei ülésén fogadta el. A módosítások a Szenátus által történő elfogadás napján lépnek hatályba.</w:t>
      </w:r>
    </w:p>
    <w:p w14:paraId="75F043C9" w14:textId="77777777" w:rsidR="00893D5B" w:rsidRPr="000250FA" w:rsidRDefault="00893D5B" w:rsidP="00893D5B">
      <w:pPr>
        <w:tabs>
          <w:tab w:val="left" w:pos="9781"/>
        </w:tabs>
        <w:ind w:right="-144"/>
        <w:jc w:val="both"/>
        <w:rPr>
          <w:sz w:val="22"/>
          <w:szCs w:val="22"/>
        </w:rPr>
      </w:pPr>
    </w:p>
    <w:p w14:paraId="1D655EFF" w14:textId="77777777" w:rsidR="00893D5B" w:rsidRPr="000250FA" w:rsidRDefault="00893D5B" w:rsidP="00893D5B">
      <w:pPr>
        <w:tabs>
          <w:tab w:val="left" w:pos="9781"/>
        </w:tabs>
        <w:ind w:right="-144"/>
        <w:jc w:val="both"/>
        <w:rPr>
          <w:sz w:val="22"/>
          <w:szCs w:val="22"/>
        </w:rPr>
      </w:pPr>
      <w:r w:rsidRPr="000250FA">
        <w:rPr>
          <w:sz w:val="22"/>
          <w:szCs w:val="22"/>
        </w:rPr>
        <w:t>Jelen szabályzat módosítását a Szenátus 2011. december 15-ei ülésén fogadta el. A módosítások a Szenátus által történő elfogadás napján lépnek hatályba.</w:t>
      </w:r>
    </w:p>
    <w:p w14:paraId="54FA228B" w14:textId="77777777" w:rsidR="00893D5B" w:rsidRPr="000250FA" w:rsidRDefault="00893D5B" w:rsidP="00893D5B">
      <w:pPr>
        <w:tabs>
          <w:tab w:val="left" w:pos="9781"/>
        </w:tabs>
        <w:ind w:right="-144"/>
        <w:jc w:val="both"/>
        <w:rPr>
          <w:sz w:val="22"/>
          <w:szCs w:val="22"/>
        </w:rPr>
      </w:pPr>
    </w:p>
    <w:p w14:paraId="1B0C1A65"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2012. június 28-ai ülésén fogadta el. A módosítások 2012. július 1. napján lépnek hatályba.</w:t>
      </w:r>
    </w:p>
    <w:p w14:paraId="3A5D5DBF" w14:textId="77777777" w:rsidR="00893D5B" w:rsidRPr="000250FA" w:rsidRDefault="00893D5B" w:rsidP="00893D5B">
      <w:pPr>
        <w:tabs>
          <w:tab w:val="left" w:pos="9781"/>
        </w:tabs>
        <w:ind w:right="-144"/>
        <w:jc w:val="both"/>
        <w:rPr>
          <w:sz w:val="22"/>
          <w:szCs w:val="22"/>
        </w:rPr>
      </w:pPr>
    </w:p>
    <w:p w14:paraId="2AE2460C"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2013. február 11-ei ülésén fogadta el. A módosítások a Szenátus által történő elfogadás napján lépnek hatályba.</w:t>
      </w:r>
    </w:p>
    <w:p w14:paraId="45A61626" w14:textId="77777777" w:rsidR="00893D5B" w:rsidRPr="000250FA" w:rsidRDefault="00893D5B" w:rsidP="00893D5B">
      <w:pPr>
        <w:tabs>
          <w:tab w:val="left" w:pos="9781"/>
        </w:tabs>
        <w:ind w:right="-144"/>
        <w:jc w:val="both"/>
        <w:rPr>
          <w:sz w:val="22"/>
          <w:szCs w:val="22"/>
        </w:rPr>
      </w:pPr>
    </w:p>
    <w:p w14:paraId="0FAC76D7"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2013. november 14-ei ülésén fogadta el. A módosítások a Szenátus által történő elfogadás napján lépnek hatályba.</w:t>
      </w:r>
    </w:p>
    <w:p w14:paraId="6657D112" w14:textId="77777777" w:rsidR="00893D5B" w:rsidRPr="000250FA" w:rsidRDefault="00893D5B" w:rsidP="00893D5B">
      <w:pPr>
        <w:tabs>
          <w:tab w:val="left" w:pos="9781"/>
        </w:tabs>
        <w:ind w:right="-144"/>
        <w:jc w:val="both"/>
        <w:rPr>
          <w:sz w:val="22"/>
          <w:szCs w:val="22"/>
        </w:rPr>
      </w:pPr>
    </w:p>
    <w:p w14:paraId="51FC9DDE" w14:textId="77777777" w:rsidR="00893D5B" w:rsidRPr="000250FA" w:rsidRDefault="00893D5B" w:rsidP="00893D5B">
      <w:pPr>
        <w:pStyle w:val="Normlstilus1norml"/>
        <w:tabs>
          <w:tab w:val="left" w:pos="9781"/>
        </w:tabs>
        <w:ind w:right="-144"/>
        <w:rPr>
          <w:color w:val="auto"/>
          <w:sz w:val="22"/>
          <w:szCs w:val="22"/>
        </w:rPr>
      </w:pPr>
      <w:r w:rsidRPr="000250FA">
        <w:rPr>
          <w:color w:val="auto"/>
          <w:sz w:val="22"/>
          <w:szCs w:val="22"/>
        </w:rPr>
        <w:t>A szabályzat módosítását a Szenátus 2014. április 24-ei ülésén fogadta el. A módosítások a Szenátus által történő elfogadás napján lépnek hatályba.</w:t>
      </w:r>
    </w:p>
    <w:p w14:paraId="634130ED" w14:textId="77777777" w:rsidR="00893D5B" w:rsidRPr="000250FA" w:rsidRDefault="00893D5B" w:rsidP="00893D5B">
      <w:pPr>
        <w:tabs>
          <w:tab w:val="left" w:pos="9781"/>
        </w:tabs>
        <w:ind w:right="-144"/>
        <w:jc w:val="both"/>
        <w:rPr>
          <w:sz w:val="22"/>
          <w:szCs w:val="22"/>
        </w:rPr>
      </w:pPr>
    </w:p>
    <w:p w14:paraId="56FEE7C9" w14:textId="77777777" w:rsidR="00893D5B" w:rsidRPr="000250FA" w:rsidRDefault="00893D5B" w:rsidP="00893D5B">
      <w:pPr>
        <w:tabs>
          <w:tab w:val="left" w:pos="9781"/>
        </w:tabs>
        <w:ind w:right="-144"/>
        <w:jc w:val="both"/>
        <w:rPr>
          <w:sz w:val="22"/>
          <w:szCs w:val="22"/>
        </w:rPr>
      </w:pPr>
      <w:r w:rsidRPr="000250FA">
        <w:rPr>
          <w:sz w:val="22"/>
          <w:szCs w:val="22"/>
        </w:rPr>
        <w:t>Jelen szabályzat módosítását a Szenátus 2014. június 26-ai ülésén fogadta el. A módosítások 2014. július 1. napján lépnek hatályba.</w:t>
      </w:r>
    </w:p>
    <w:p w14:paraId="0C0EF53F" w14:textId="77777777" w:rsidR="00893D5B" w:rsidRPr="000250FA" w:rsidRDefault="00893D5B" w:rsidP="00893D5B">
      <w:pPr>
        <w:tabs>
          <w:tab w:val="left" w:pos="9781"/>
        </w:tabs>
        <w:ind w:right="-144"/>
        <w:jc w:val="both"/>
        <w:rPr>
          <w:sz w:val="22"/>
          <w:szCs w:val="22"/>
        </w:rPr>
      </w:pPr>
    </w:p>
    <w:p w14:paraId="34E32297" w14:textId="77777777" w:rsidR="00893D5B" w:rsidRPr="000250FA" w:rsidRDefault="00893D5B" w:rsidP="00893D5B">
      <w:pPr>
        <w:tabs>
          <w:tab w:val="left" w:pos="9781"/>
        </w:tabs>
        <w:ind w:right="-144"/>
        <w:jc w:val="both"/>
        <w:rPr>
          <w:sz w:val="22"/>
          <w:szCs w:val="22"/>
        </w:rPr>
      </w:pPr>
      <w:r w:rsidRPr="000250FA">
        <w:rPr>
          <w:sz w:val="22"/>
          <w:szCs w:val="22"/>
        </w:rPr>
        <w:t xml:space="preserve">Jelen szabályzat módosítását a Szenátus 2014. október 02-ai ülésén 178/2014. (10. 02.) számú határozatával fogadta el. A módosítás a Szenátus által történő elfogadás napján lép hatályba. </w:t>
      </w:r>
    </w:p>
    <w:p w14:paraId="08B2D73F" w14:textId="77777777" w:rsidR="00893D5B" w:rsidRPr="000250FA" w:rsidRDefault="00893D5B" w:rsidP="00893D5B">
      <w:pPr>
        <w:tabs>
          <w:tab w:val="left" w:pos="9781"/>
        </w:tabs>
        <w:ind w:right="-144"/>
        <w:jc w:val="both"/>
        <w:rPr>
          <w:sz w:val="22"/>
          <w:szCs w:val="22"/>
        </w:rPr>
      </w:pPr>
    </w:p>
    <w:p w14:paraId="4FF83DF0" w14:textId="77777777" w:rsidR="00893D5B" w:rsidRPr="000250FA" w:rsidRDefault="00893D5B" w:rsidP="00893D5B">
      <w:pPr>
        <w:tabs>
          <w:tab w:val="left" w:pos="9781"/>
        </w:tabs>
        <w:ind w:right="-144"/>
        <w:jc w:val="both"/>
        <w:rPr>
          <w:bCs/>
          <w:sz w:val="22"/>
          <w:szCs w:val="22"/>
        </w:rPr>
      </w:pPr>
      <w:r w:rsidRPr="000250FA">
        <w:rPr>
          <w:bCs/>
          <w:sz w:val="22"/>
          <w:szCs w:val="22"/>
        </w:rPr>
        <w:t>Jelen szabályzat módosítását a Szenátus 2014. november 12-ei ülésén 209/2014. (11. 12.) számú határozatával fogadta el. A módosítások 2015. január 1. napján lépnek hatályba.</w:t>
      </w:r>
    </w:p>
    <w:p w14:paraId="016D06EB" w14:textId="77777777" w:rsidR="00893D5B" w:rsidRPr="000250FA" w:rsidRDefault="00893D5B" w:rsidP="00893D5B">
      <w:pPr>
        <w:tabs>
          <w:tab w:val="left" w:pos="9781"/>
        </w:tabs>
        <w:ind w:right="-144"/>
        <w:jc w:val="both"/>
        <w:rPr>
          <w:sz w:val="22"/>
          <w:szCs w:val="22"/>
        </w:rPr>
      </w:pPr>
    </w:p>
    <w:p w14:paraId="4EAF19F8" w14:textId="77777777" w:rsidR="00893D5B" w:rsidRPr="000250FA" w:rsidRDefault="00893D5B" w:rsidP="00893D5B">
      <w:pPr>
        <w:tabs>
          <w:tab w:val="left" w:pos="1320"/>
          <w:tab w:val="center" w:pos="4536"/>
          <w:tab w:val="left" w:pos="9781"/>
        </w:tabs>
        <w:ind w:right="-144"/>
        <w:jc w:val="both"/>
        <w:rPr>
          <w:sz w:val="22"/>
          <w:szCs w:val="22"/>
        </w:rPr>
      </w:pPr>
      <w:r w:rsidRPr="000250FA">
        <w:rPr>
          <w:sz w:val="22"/>
          <w:szCs w:val="22"/>
        </w:rPr>
        <w:t>Jelen szabályzat módosítását a Szenátus 2014. december 18-ai ülésén 235/2014. (12. 18.) számú határozatával fogadta el. A módosítás a Szenátus által történő elfogadás napján lép hatályba.</w:t>
      </w:r>
    </w:p>
    <w:p w14:paraId="2E842C91" w14:textId="77777777" w:rsidR="00893D5B" w:rsidRPr="000250FA" w:rsidRDefault="00893D5B" w:rsidP="00893D5B">
      <w:pPr>
        <w:tabs>
          <w:tab w:val="left" w:pos="9781"/>
        </w:tabs>
        <w:ind w:right="-144"/>
        <w:jc w:val="both"/>
        <w:rPr>
          <w:sz w:val="22"/>
          <w:szCs w:val="22"/>
        </w:rPr>
      </w:pPr>
    </w:p>
    <w:p w14:paraId="1FAE8414" w14:textId="77777777" w:rsidR="00893D5B" w:rsidRPr="000250FA" w:rsidRDefault="00893D5B" w:rsidP="00893D5B">
      <w:pPr>
        <w:tabs>
          <w:tab w:val="left" w:pos="9781"/>
        </w:tabs>
        <w:ind w:right="-144"/>
        <w:jc w:val="both"/>
        <w:rPr>
          <w:sz w:val="22"/>
          <w:szCs w:val="22"/>
        </w:rPr>
      </w:pPr>
      <w:r w:rsidRPr="000250FA">
        <w:rPr>
          <w:sz w:val="22"/>
          <w:szCs w:val="22"/>
        </w:rPr>
        <w:t xml:space="preserve">Jelen szabályzat 1. számú mellékletét a Szenátus 2015. március 26-ai ülésén 25/2015. (03. 26.) számú határozatával fogadta el. Az 1. számú melléklet 2015. április 01. napján lép hatályba. </w:t>
      </w:r>
    </w:p>
    <w:p w14:paraId="050DBF19" w14:textId="77777777" w:rsidR="00893D5B" w:rsidRPr="000250FA" w:rsidRDefault="00893D5B" w:rsidP="00893D5B">
      <w:pPr>
        <w:tabs>
          <w:tab w:val="left" w:pos="9781"/>
        </w:tabs>
        <w:ind w:right="-144"/>
        <w:jc w:val="both"/>
        <w:rPr>
          <w:sz w:val="22"/>
          <w:szCs w:val="22"/>
        </w:rPr>
      </w:pPr>
    </w:p>
    <w:p w14:paraId="7B68CEA9" w14:textId="77777777" w:rsidR="00893D5B" w:rsidRPr="000250FA" w:rsidRDefault="00893D5B" w:rsidP="00893D5B">
      <w:pPr>
        <w:tabs>
          <w:tab w:val="left" w:pos="9781"/>
        </w:tabs>
        <w:ind w:right="-144"/>
        <w:jc w:val="both"/>
        <w:rPr>
          <w:sz w:val="22"/>
          <w:szCs w:val="22"/>
        </w:rPr>
      </w:pPr>
      <w:r w:rsidRPr="000250FA">
        <w:rPr>
          <w:sz w:val="22"/>
          <w:szCs w:val="22"/>
        </w:rPr>
        <w:t>A szabályzat módosítását a Szenátus 2015. május 28-ai ülésén 94/2015. (05. 28.) számú határozatával fogadta el. A módosítások a Szenátus által történő elfogadás napján lépnek hatályba.</w:t>
      </w:r>
    </w:p>
    <w:p w14:paraId="7ECD2C84" w14:textId="77777777" w:rsidR="00893D5B" w:rsidRPr="000250FA" w:rsidRDefault="00893D5B" w:rsidP="00893D5B">
      <w:pPr>
        <w:tabs>
          <w:tab w:val="left" w:pos="9781"/>
        </w:tabs>
        <w:ind w:right="-144"/>
        <w:jc w:val="both"/>
        <w:rPr>
          <w:sz w:val="22"/>
          <w:szCs w:val="22"/>
        </w:rPr>
      </w:pPr>
    </w:p>
    <w:p w14:paraId="2031BF5D" w14:textId="77777777" w:rsidR="00893D5B" w:rsidRPr="000250FA" w:rsidRDefault="00893D5B" w:rsidP="00893D5B">
      <w:pPr>
        <w:tabs>
          <w:tab w:val="left" w:pos="9781"/>
        </w:tabs>
        <w:ind w:right="-144"/>
        <w:jc w:val="both"/>
        <w:rPr>
          <w:sz w:val="22"/>
          <w:szCs w:val="22"/>
        </w:rPr>
      </w:pPr>
      <w:r w:rsidRPr="000250FA">
        <w:rPr>
          <w:sz w:val="22"/>
          <w:szCs w:val="22"/>
        </w:rPr>
        <w:t>Jelen szabályzat módosítását a Szenátus 2015. június 25-ei ülésén 125/2015. (06. 25.) számú határozatával fogadta el. A módosítások a Szenátus által történő elfogadás napján lépnek hatályba.</w:t>
      </w:r>
    </w:p>
    <w:p w14:paraId="2F870C8E" w14:textId="77777777" w:rsidR="00893D5B" w:rsidRPr="000250FA" w:rsidRDefault="00893D5B" w:rsidP="00893D5B">
      <w:pPr>
        <w:tabs>
          <w:tab w:val="left" w:pos="9781"/>
        </w:tabs>
        <w:ind w:right="-144"/>
        <w:jc w:val="both"/>
        <w:rPr>
          <w:sz w:val="22"/>
          <w:szCs w:val="22"/>
        </w:rPr>
      </w:pPr>
    </w:p>
    <w:p w14:paraId="6AF97F25" w14:textId="77777777" w:rsidR="00893D5B" w:rsidRPr="000250FA" w:rsidRDefault="00893D5B" w:rsidP="00893D5B">
      <w:pPr>
        <w:tabs>
          <w:tab w:val="left" w:pos="9781"/>
        </w:tabs>
        <w:ind w:right="-144"/>
        <w:jc w:val="both"/>
        <w:rPr>
          <w:sz w:val="22"/>
          <w:szCs w:val="22"/>
        </w:rPr>
      </w:pPr>
      <w:r w:rsidRPr="000250FA">
        <w:rPr>
          <w:sz w:val="22"/>
          <w:szCs w:val="22"/>
        </w:rPr>
        <w:t>Jelen szabályzat módosítását a Szenátus 2015. november 12-ei ülésén 202/2015. (11.12.) számú határozatával fogadta el. A módosítások a Szenátus által történő elfogadás napján lépnek hatályba.</w:t>
      </w:r>
    </w:p>
    <w:p w14:paraId="008FAD4D" w14:textId="77777777" w:rsidR="00893D5B" w:rsidRPr="000250FA" w:rsidRDefault="00893D5B" w:rsidP="00893D5B">
      <w:pPr>
        <w:tabs>
          <w:tab w:val="left" w:pos="9781"/>
        </w:tabs>
        <w:ind w:right="-144"/>
        <w:jc w:val="both"/>
        <w:rPr>
          <w:b/>
          <w:i/>
          <w:sz w:val="22"/>
          <w:szCs w:val="22"/>
        </w:rPr>
      </w:pPr>
    </w:p>
    <w:p w14:paraId="22F80405" w14:textId="77777777" w:rsidR="00893D5B" w:rsidRPr="000250FA" w:rsidRDefault="00893D5B" w:rsidP="00893D5B">
      <w:pPr>
        <w:tabs>
          <w:tab w:val="left" w:pos="1320"/>
          <w:tab w:val="center" w:pos="4536"/>
        </w:tabs>
        <w:jc w:val="both"/>
        <w:rPr>
          <w:rFonts w:eastAsia="Calibri"/>
          <w:sz w:val="22"/>
          <w:szCs w:val="22"/>
          <w:lang w:eastAsia="en-US"/>
        </w:rPr>
      </w:pPr>
      <w:r w:rsidRPr="000250FA">
        <w:rPr>
          <w:rFonts w:eastAsia="Calibri"/>
          <w:sz w:val="22"/>
          <w:szCs w:val="22"/>
          <w:lang w:eastAsia="en-US"/>
        </w:rPr>
        <w:t>Jelen szabályzat módosítását a Szenátus 2015. december 17-ei ülésén 238/2015. (12. 17.), valamint 271/2015 (12.17.) számú határozatával fogadta el. A módosítás a Szenátus által történő elfogadás napján lép hatályba.</w:t>
      </w:r>
    </w:p>
    <w:p w14:paraId="1FBEEB44" w14:textId="77777777" w:rsidR="00893D5B" w:rsidRPr="000250FA" w:rsidRDefault="00893D5B" w:rsidP="00893D5B">
      <w:pPr>
        <w:tabs>
          <w:tab w:val="left" w:pos="1320"/>
          <w:tab w:val="center" w:pos="4536"/>
        </w:tabs>
        <w:jc w:val="both"/>
        <w:rPr>
          <w:rFonts w:eastAsia="Calibri"/>
          <w:sz w:val="22"/>
          <w:szCs w:val="22"/>
          <w:lang w:eastAsia="en-US"/>
        </w:rPr>
      </w:pPr>
    </w:p>
    <w:p w14:paraId="7A545E90" w14:textId="77777777" w:rsidR="00893D5B" w:rsidRPr="000250FA" w:rsidRDefault="00893D5B" w:rsidP="00893D5B">
      <w:pPr>
        <w:tabs>
          <w:tab w:val="left" w:pos="1320"/>
          <w:tab w:val="center" w:pos="4536"/>
        </w:tabs>
        <w:jc w:val="both"/>
        <w:rPr>
          <w:rFonts w:eastAsia="Calibri"/>
          <w:sz w:val="22"/>
          <w:szCs w:val="22"/>
          <w:lang w:eastAsia="en-US"/>
        </w:rPr>
      </w:pPr>
      <w:r w:rsidRPr="000250FA">
        <w:rPr>
          <w:rFonts w:eastAsia="Calibri"/>
          <w:sz w:val="22"/>
          <w:szCs w:val="22"/>
          <w:lang w:eastAsia="en-US"/>
        </w:rPr>
        <w:t>Jelen szabályzat módosítását a Szenátus 2016. február 11-ei ülésén, 12/2016. (02. 11.) számú határozatával fogadta el. A módosítás a Szenátus által történő elfogadás napján lép hatályba.</w:t>
      </w:r>
    </w:p>
    <w:p w14:paraId="11BCAE1E" w14:textId="77777777" w:rsidR="00893D5B" w:rsidRPr="000250FA" w:rsidRDefault="00893D5B" w:rsidP="00893D5B">
      <w:pPr>
        <w:tabs>
          <w:tab w:val="left" w:pos="9781"/>
        </w:tabs>
        <w:ind w:right="-144"/>
        <w:jc w:val="both"/>
        <w:rPr>
          <w:b/>
          <w:i/>
          <w:sz w:val="22"/>
          <w:szCs w:val="22"/>
        </w:rPr>
      </w:pPr>
    </w:p>
    <w:p w14:paraId="0E707112" w14:textId="77777777" w:rsidR="00893D5B" w:rsidRPr="000250FA" w:rsidRDefault="00893D5B" w:rsidP="00893D5B">
      <w:pPr>
        <w:tabs>
          <w:tab w:val="left" w:pos="1320"/>
          <w:tab w:val="center" w:pos="4536"/>
        </w:tabs>
        <w:jc w:val="both"/>
        <w:rPr>
          <w:rFonts w:eastAsia="Calibri"/>
          <w:sz w:val="22"/>
          <w:szCs w:val="22"/>
          <w:lang w:eastAsia="en-US"/>
        </w:rPr>
      </w:pPr>
      <w:r w:rsidRPr="000250FA">
        <w:rPr>
          <w:rFonts w:eastAsia="Calibri"/>
          <w:sz w:val="22"/>
          <w:szCs w:val="22"/>
          <w:lang w:eastAsia="en-US"/>
        </w:rPr>
        <w:t>Jelen szabályzat módosítását a Szenátus 2016. március 17-ei ülésén, 34/2016. (03.17.) számú határozatával fogadta el. A módosítás a Szenátus által történő elfogadás napján lép hatályba.</w:t>
      </w:r>
    </w:p>
    <w:p w14:paraId="0AAE6D8C" w14:textId="77777777" w:rsidR="00893D5B" w:rsidRPr="000250FA" w:rsidRDefault="00893D5B" w:rsidP="00893D5B">
      <w:pPr>
        <w:tabs>
          <w:tab w:val="left" w:pos="9781"/>
        </w:tabs>
        <w:ind w:right="-144"/>
        <w:jc w:val="both"/>
        <w:rPr>
          <w:sz w:val="22"/>
          <w:szCs w:val="22"/>
        </w:rPr>
      </w:pPr>
    </w:p>
    <w:p w14:paraId="60AD5B90" w14:textId="77777777" w:rsidR="00893D5B" w:rsidRPr="000250FA" w:rsidRDefault="00893D5B" w:rsidP="00893D5B">
      <w:pPr>
        <w:tabs>
          <w:tab w:val="left" w:pos="9781"/>
        </w:tabs>
        <w:ind w:right="-144"/>
        <w:jc w:val="both"/>
        <w:rPr>
          <w:sz w:val="22"/>
          <w:szCs w:val="22"/>
        </w:rPr>
      </w:pPr>
      <w:r w:rsidRPr="000250FA">
        <w:rPr>
          <w:sz w:val="22"/>
          <w:szCs w:val="22"/>
        </w:rPr>
        <w:t>Jelen szabályzat módosítását a Szenátus 2016. november 3-ai ülésén, 170/2016. (11.03.) számú határozatával fogadta el. A módosítás a Szenátus által történő elfogadás napján lép hatályba.</w:t>
      </w:r>
    </w:p>
    <w:p w14:paraId="759E9CFE" w14:textId="77777777" w:rsidR="00893D5B" w:rsidRPr="000250FA" w:rsidRDefault="00893D5B" w:rsidP="00893D5B">
      <w:pPr>
        <w:tabs>
          <w:tab w:val="left" w:pos="9781"/>
        </w:tabs>
        <w:ind w:right="-144"/>
        <w:jc w:val="both"/>
        <w:rPr>
          <w:b/>
          <w:i/>
          <w:sz w:val="22"/>
          <w:szCs w:val="22"/>
        </w:rPr>
      </w:pPr>
    </w:p>
    <w:p w14:paraId="60F9BBE0" w14:textId="77777777" w:rsidR="00893D5B" w:rsidRPr="000250FA" w:rsidRDefault="00893D5B" w:rsidP="00893D5B">
      <w:pPr>
        <w:tabs>
          <w:tab w:val="left" w:pos="9781"/>
        </w:tabs>
        <w:ind w:right="-144"/>
        <w:jc w:val="both"/>
        <w:rPr>
          <w:b/>
          <w:i/>
          <w:sz w:val="22"/>
          <w:szCs w:val="22"/>
        </w:rPr>
      </w:pPr>
      <w:r w:rsidRPr="000250FA">
        <w:rPr>
          <w:sz w:val="22"/>
          <w:szCs w:val="22"/>
        </w:rPr>
        <w:t>Jelen szabályzat módosítását a Szenátus 2016. december 15-ei ülésén, 186/2016. (12.15.) számú határozatával fogadta el. A módosítások 2017. január 1. napján lépnek hatályba.</w:t>
      </w:r>
    </w:p>
    <w:p w14:paraId="67A96719" w14:textId="77777777" w:rsidR="00893D5B" w:rsidRPr="000250FA" w:rsidRDefault="00893D5B" w:rsidP="00893D5B">
      <w:pPr>
        <w:tabs>
          <w:tab w:val="left" w:pos="9781"/>
        </w:tabs>
        <w:ind w:right="-144"/>
        <w:jc w:val="both"/>
        <w:rPr>
          <w:sz w:val="22"/>
          <w:szCs w:val="22"/>
        </w:rPr>
      </w:pPr>
    </w:p>
    <w:p w14:paraId="68E52B68" w14:textId="77777777" w:rsidR="00893D5B" w:rsidRPr="000250FA" w:rsidRDefault="00893D5B" w:rsidP="00893D5B">
      <w:pPr>
        <w:jc w:val="both"/>
        <w:rPr>
          <w:sz w:val="22"/>
          <w:szCs w:val="22"/>
        </w:rPr>
      </w:pPr>
      <w:r w:rsidRPr="000250FA">
        <w:rPr>
          <w:sz w:val="22"/>
          <w:szCs w:val="22"/>
        </w:rPr>
        <w:t>A szabályzat módosítását a Szenátus 2017. március 23-ai ülésén 22/2017. (03. 23.) számú határozatával fogadta el. A módosítás a Szenátus által történő elfogadás napján lép hatályba.</w:t>
      </w:r>
    </w:p>
    <w:p w14:paraId="3ABF2241" w14:textId="77777777" w:rsidR="00893D5B" w:rsidRPr="000250FA" w:rsidRDefault="00893D5B" w:rsidP="00893D5B">
      <w:pPr>
        <w:jc w:val="both"/>
        <w:rPr>
          <w:sz w:val="22"/>
          <w:szCs w:val="22"/>
        </w:rPr>
      </w:pPr>
    </w:p>
    <w:p w14:paraId="5191D98D" w14:textId="77777777" w:rsidR="00893D5B" w:rsidRPr="000250FA" w:rsidRDefault="00893D5B" w:rsidP="00893D5B">
      <w:pPr>
        <w:jc w:val="both"/>
        <w:rPr>
          <w:sz w:val="22"/>
          <w:szCs w:val="22"/>
        </w:rPr>
      </w:pPr>
      <w:r w:rsidRPr="000250FA">
        <w:rPr>
          <w:sz w:val="22"/>
          <w:szCs w:val="22"/>
        </w:rPr>
        <w:t>A szabályzat módosítását a Szenátus 2017. június 22-ai ülésén 77/2017. (06. 22.) számú határozatával fogadta el. A módosítások a Szenátus általi elfogadást követő napon lépnek hatályba.</w:t>
      </w:r>
    </w:p>
    <w:p w14:paraId="6353CA11" w14:textId="77777777" w:rsidR="00893D5B" w:rsidRPr="000250FA" w:rsidRDefault="00893D5B" w:rsidP="00893D5B">
      <w:pPr>
        <w:rPr>
          <w:sz w:val="22"/>
          <w:szCs w:val="22"/>
        </w:rPr>
      </w:pPr>
    </w:p>
    <w:p w14:paraId="207BD1D5" w14:textId="77777777" w:rsidR="00893D5B" w:rsidRPr="000250FA" w:rsidRDefault="00893D5B" w:rsidP="00893D5B">
      <w:pPr>
        <w:tabs>
          <w:tab w:val="left" w:pos="9781"/>
        </w:tabs>
        <w:autoSpaceDE w:val="0"/>
        <w:autoSpaceDN w:val="0"/>
        <w:adjustRightInd w:val="0"/>
        <w:jc w:val="both"/>
        <w:rPr>
          <w:sz w:val="22"/>
          <w:szCs w:val="22"/>
        </w:rPr>
      </w:pPr>
      <w:r w:rsidRPr="000250FA">
        <w:rPr>
          <w:sz w:val="22"/>
          <w:szCs w:val="22"/>
        </w:rPr>
        <w:t>Jelen szabályzat módosítását a Szenátus 2017. november 09-ei ülésén 141/2017. (11. 09.) számú határozatával fogadta el. A módosítások a Szenátus által történő elfogadás napján lépnek hatályba.</w:t>
      </w:r>
    </w:p>
    <w:p w14:paraId="492DA22F" w14:textId="77777777" w:rsidR="00893D5B" w:rsidRPr="000250FA" w:rsidRDefault="00893D5B" w:rsidP="00893D5B">
      <w:pPr>
        <w:tabs>
          <w:tab w:val="left" w:pos="9781"/>
        </w:tabs>
        <w:ind w:right="-144"/>
        <w:jc w:val="both"/>
        <w:rPr>
          <w:sz w:val="22"/>
          <w:szCs w:val="22"/>
        </w:rPr>
      </w:pPr>
    </w:p>
    <w:p w14:paraId="76B3BBB0" w14:textId="77777777" w:rsidR="00893D5B" w:rsidRPr="000250FA" w:rsidRDefault="00893D5B" w:rsidP="00893D5B">
      <w:pPr>
        <w:jc w:val="both"/>
        <w:rPr>
          <w:sz w:val="22"/>
          <w:szCs w:val="22"/>
        </w:rPr>
      </w:pPr>
      <w:r w:rsidRPr="000250FA">
        <w:rPr>
          <w:sz w:val="22"/>
          <w:szCs w:val="22"/>
        </w:rPr>
        <w:t>Jelen szabályzat módosítását a Szenátus 2018. március 22-ei ülésén 25/2018. (03. 22.) számú határozatával fogadta el. A módosítások a Szenátus által történő elfogadás napján lépnek hatályba.</w:t>
      </w:r>
    </w:p>
    <w:p w14:paraId="68344E3D" w14:textId="77777777" w:rsidR="00893D5B" w:rsidRPr="000250FA" w:rsidRDefault="00893D5B" w:rsidP="00893D5B">
      <w:pPr>
        <w:tabs>
          <w:tab w:val="left" w:pos="9781"/>
        </w:tabs>
        <w:ind w:right="-144"/>
        <w:jc w:val="both"/>
        <w:rPr>
          <w:sz w:val="22"/>
          <w:szCs w:val="22"/>
        </w:rPr>
      </w:pPr>
    </w:p>
    <w:p w14:paraId="39AA6B61" w14:textId="77777777" w:rsidR="00893D5B" w:rsidRPr="000250FA" w:rsidRDefault="00893D5B" w:rsidP="00893D5B">
      <w:pPr>
        <w:jc w:val="both"/>
        <w:rPr>
          <w:sz w:val="22"/>
          <w:szCs w:val="22"/>
        </w:rPr>
      </w:pPr>
      <w:r w:rsidRPr="000250FA">
        <w:rPr>
          <w:sz w:val="22"/>
          <w:szCs w:val="22"/>
        </w:rPr>
        <w:t>Jelen szabályzat módosítását a Szenátus 2018. június 21-ei ülésén 74/2018. (06. 21.) számú határozatával fogadta el. A módosítások 2018. július 01.napján lépnek hatályba.</w:t>
      </w:r>
    </w:p>
    <w:p w14:paraId="59E62D52" w14:textId="77777777" w:rsidR="00893D5B" w:rsidRPr="000250FA" w:rsidRDefault="00893D5B" w:rsidP="00893D5B">
      <w:pPr>
        <w:tabs>
          <w:tab w:val="left" w:pos="9781"/>
        </w:tabs>
        <w:ind w:right="-144"/>
        <w:rPr>
          <w:sz w:val="22"/>
          <w:szCs w:val="22"/>
        </w:rPr>
      </w:pPr>
    </w:p>
    <w:p w14:paraId="6E658EC2" w14:textId="77777777" w:rsidR="00893D5B" w:rsidRPr="000250FA" w:rsidRDefault="00893D5B" w:rsidP="00893D5B">
      <w:pPr>
        <w:ind w:firstLine="708"/>
        <w:rPr>
          <w:sz w:val="22"/>
          <w:szCs w:val="22"/>
        </w:rPr>
      </w:pPr>
      <w:r w:rsidRPr="000250FA">
        <w:rPr>
          <w:sz w:val="22"/>
          <w:szCs w:val="22"/>
        </w:rPr>
        <w:t xml:space="preserve">Dr. Bódis József </w:t>
      </w:r>
      <w:proofErr w:type="spellStart"/>
      <w:r w:rsidRPr="000250FA">
        <w:rPr>
          <w:sz w:val="22"/>
          <w:szCs w:val="22"/>
        </w:rPr>
        <w:t>sk</w:t>
      </w:r>
      <w:proofErr w:type="spellEnd"/>
      <w:r w:rsidRPr="000250FA">
        <w:rPr>
          <w:sz w:val="22"/>
          <w:szCs w:val="22"/>
        </w:rPr>
        <w:t>.</w:t>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t xml:space="preserve">Jenei Zoltán </w:t>
      </w:r>
      <w:proofErr w:type="spellStart"/>
      <w:r w:rsidRPr="000250FA">
        <w:rPr>
          <w:sz w:val="22"/>
          <w:szCs w:val="22"/>
        </w:rPr>
        <w:t>sk</w:t>
      </w:r>
      <w:proofErr w:type="spellEnd"/>
      <w:r w:rsidRPr="000250FA">
        <w:rPr>
          <w:sz w:val="22"/>
          <w:szCs w:val="22"/>
        </w:rPr>
        <w:t>.</w:t>
      </w:r>
    </w:p>
    <w:p w14:paraId="49229EDD" w14:textId="77777777" w:rsidR="00893D5B" w:rsidRPr="000250FA" w:rsidRDefault="00893D5B" w:rsidP="00893D5B">
      <w:pPr>
        <w:rPr>
          <w:sz w:val="22"/>
          <w:szCs w:val="22"/>
        </w:rPr>
      </w:pPr>
      <w:r w:rsidRPr="000250FA">
        <w:rPr>
          <w:sz w:val="22"/>
          <w:szCs w:val="22"/>
        </w:rPr>
        <w:tab/>
      </w:r>
      <w:r w:rsidRPr="000250FA">
        <w:rPr>
          <w:sz w:val="22"/>
          <w:szCs w:val="22"/>
        </w:rPr>
        <w:tab/>
        <w:t>Rektor</w:t>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t>Kancellár</w:t>
      </w:r>
    </w:p>
    <w:p w14:paraId="50355DD3" w14:textId="77777777" w:rsidR="00893D5B" w:rsidRPr="000250FA" w:rsidRDefault="00893D5B" w:rsidP="00893D5B">
      <w:pPr>
        <w:rPr>
          <w:sz w:val="22"/>
          <w:szCs w:val="22"/>
        </w:rPr>
      </w:pPr>
    </w:p>
    <w:p w14:paraId="2A5D43D1" w14:textId="77777777" w:rsidR="00893D5B" w:rsidRPr="000250FA" w:rsidRDefault="00893D5B" w:rsidP="00893D5B">
      <w:pPr>
        <w:rPr>
          <w:sz w:val="22"/>
          <w:szCs w:val="22"/>
        </w:rPr>
      </w:pPr>
    </w:p>
    <w:p w14:paraId="56FF6C6F" w14:textId="77777777" w:rsidR="00893D5B" w:rsidRPr="000250FA" w:rsidRDefault="00893D5B" w:rsidP="00893D5B">
      <w:pPr>
        <w:jc w:val="both"/>
        <w:rPr>
          <w:sz w:val="22"/>
          <w:szCs w:val="22"/>
        </w:rPr>
      </w:pPr>
      <w:r w:rsidRPr="000250FA">
        <w:rPr>
          <w:sz w:val="22"/>
          <w:szCs w:val="22"/>
        </w:rPr>
        <w:t>Jelen szabályzat módosítását a Szenátus 2018. szeptember 13-ai ülésén 119/2018. (09. 13.) számú határozatával fogadta el. A módosítások 2018. október 01. napján lépnek hatályba.</w:t>
      </w:r>
    </w:p>
    <w:p w14:paraId="1FEFD16B" w14:textId="77777777" w:rsidR="00893D5B" w:rsidRPr="000250FA" w:rsidRDefault="00893D5B" w:rsidP="00893D5B">
      <w:pPr>
        <w:rPr>
          <w:sz w:val="22"/>
          <w:szCs w:val="22"/>
        </w:rPr>
      </w:pPr>
    </w:p>
    <w:p w14:paraId="4E41A959" w14:textId="77777777" w:rsidR="00893D5B" w:rsidRPr="000250FA" w:rsidRDefault="00893D5B" w:rsidP="00893D5B">
      <w:pPr>
        <w:tabs>
          <w:tab w:val="left" w:pos="3225"/>
        </w:tabs>
        <w:spacing w:after="200" w:line="276" w:lineRule="auto"/>
        <w:contextualSpacing/>
        <w:jc w:val="both"/>
        <w:rPr>
          <w:sz w:val="22"/>
          <w:szCs w:val="22"/>
        </w:rPr>
      </w:pPr>
      <w:r w:rsidRPr="000250FA">
        <w:rPr>
          <w:sz w:val="22"/>
          <w:szCs w:val="22"/>
        </w:rPr>
        <w:t>A szabályzat módosítását a Szenátus 2019. június 27-ei ülésén 107/2019. (06. 27.) számú valamint 110/2019. (06.27.) számú határozataival fogadta el. A módosítások 2019. július 1. napján lépnek hatályba.</w:t>
      </w:r>
    </w:p>
    <w:p w14:paraId="480A8D01" w14:textId="77777777" w:rsidR="00893D5B" w:rsidRPr="006110DE" w:rsidRDefault="00893D5B" w:rsidP="00893D5B">
      <w:pPr>
        <w:rPr>
          <w:b/>
          <w:i/>
          <w:sz w:val="22"/>
          <w:szCs w:val="22"/>
        </w:rPr>
      </w:pPr>
    </w:p>
    <w:p w14:paraId="57D038C0" w14:textId="77777777" w:rsidR="00893D5B" w:rsidRPr="00893D5B" w:rsidRDefault="00893D5B" w:rsidP="00893D5B">
      <w:pPr>
        <w:jc w:val="both"/>
        <w:rPr>
          <w:sz w:val="22"/>
          <w:szCs w:val="22"/>
        </w:rPr>
      </w:pPr>
      <w:r w:rsidRPr="00893D5B">
        <w:rPr>
          <w:sz w:val="22"/>
          <w:szCs w:val="22"/>
        </w:rPr>
        <w:t xml:space="preserve">Jelen szabályzat módosítását a Szenátus 2019. szeptember 26-ai ülésén 142/2019. (09.26.), valamint 143/2019. (09.26.) számú határozataival fogadta el. A módosítások a Szenátus által történő elfogadás napján lépnek hatályba. </w:t>
      </w:r>
    </w:p>
    <w:p w14:paraId="6A1E1256" w14:textId="77777777" w:rsidR="00D75251" w:rsidRDefault="00D75251" w:rsidP="00893D5B">
      <w:pPr>
        <w:rPr>
          <w:sz w:val="22"/>
          <w:szCs w:val="22"/>
        </w:rPr>
      </w:pPr>
    </w:p>
    <w:p w14:paraId="1EB25F5C" w14:textId="77777777" w:rsidR="00D75251" w:rsidRPr="000E2113" w:rsidRDefault="00D75251" w:rsidP="00D75251">
      <w:pPr>
        <w:jc w:val="both"/>
        <w:rPr>
          <w:sz w:val="22"/>
          <w:szCs w:val="22"/>
        </w:rPr>
      </w:pPr>
      <w:r w:rsidRPr="000E2113">
        <w:rPr>
          <w:sz w:val="22"/>
          <w:szCs w:val="22"/>
        </w:rPr>
        <w:t xml:space="preserve">A szabályzat módosítását a Szenátus 2019. november 28-ai ülésén 188/2019. (11.28.) számú határozatával fogadta el. A módosítások a Szenátus által történő elfogadás napján lépnek hatályba. </w:t>
      </w:r>
    </w:p>
    <w:p w14:paraId="3C011866" w14:textId="77777777" w:rsidR="00893D5B" w:rsidRDefault="00893D5B" w:rsidP="00893D5B">
      <w:pPr>
        <w:rPr>
          <w:sz w:val="22"/>
          <w:szCs w:val="22"/>
        </w:rPr>
      </w:pPr>
    </w:p>
    <w:p w14:paraId="1111E1F1" w14:textId="77777777" w:rsidR="00336AEC" w:rsidRPr="00336AEC" w:rsidRDefault="00336AEC" w:rsidP="00336AEC">
      <w:pPr>
        <w:jc w:val="both"/>
        <w:rPr>
          <w:sz w:val="22"/>
          <w:szCs w:val="22"/>
        </w:rPr>
      </w:pPr>
      <w:r w:rsidRPr="00336AEC">
        <w:rPr>
          <w:sz w:val="22"/>
          <w:szCs w:val="22"/>
        </w:rPr>
        <w:t>A szabályzat módosítását a Szenátus 2019. november 28-ai ülésén 192/2019. (11.28.) számú határozatával fogadta el. A módosítás 2019. december 1. napján lép hatályba.</w:t>
      </w:r>
    </w:p>
    <w:p w14:paraId="761588B4" w14:textId="77777777" w:rsidR="00893D5B" w:rsidRPr="00336AEC" w:rsidRDefault="00893D5B" w:rsidP="00893D5B">
      <w:pPr>
        <w:rPr>
          <w:sz w:val="22"/>
          <w:szCs w:val="22"/>
        </w:rPr>
      </w:pPr>
    </w:p>
    <w:p w14:paraId="332A5D66" w14:textId="77777777" w:rsidR="00EA7F2A" w:rsidRPr="00F742C0" w:rsidRDefault="00EA7F2A" w:rsidP="00EA7F2A">
      <w:pPr>
        <w:jc w:val="both"/>
        <w:rPr>
          <w:sz w:val="22"/>
        </w:rPr>
      </w:pPr>
      <w:r w:rsidRPr="00F742C0">
        <w:rPr>
          <w:sz w:val="22"/>
        </w:rPr>
        <w:t xml:space="preserve">Jelen szabályzat módosítását a Szenátus 2020. június 18-ai ülésén fogadta el. A módosítások a Szenátus által történő elfogadás napján lépnek hatályba. </w:t>
      </w:r>
    </w:p>
    <w:p w14:paraId="7B4DDD34" w14:textId="77777777" w:rsidR="000E2113" w:rsidRPr="00962C23" w:rsidRDefault="000E2113" w:rsidP="00893D5B">
      <w:pPr>
        <w:rPr>
          <w:sz w:val="22"/>
          <w:szCs w:val="22"/>
        </w:rPr>
      </w:pPr>
    </w:p>
    <w:p w14:paraId="752C1B35" w14:textId="77777777" w:rsidR="00385CF2" w:rsidRPr="00962C23" w:rsidRDefault="00A037FC" w:rsidP="00A037FC">
      <w:pPr>
        <w:jc w:val="both"/>
        <w:rPr>
          <w:sz w:val="22"/>
          <w:szCs w:val="20"/>
        </w:rPr>
      </w:pPr>
      <w:r w:rsidRPr="00962C23">
        <w:rPr>
          <w:sz w:val="22"/>
          <w:szCs w:val="20"/>
        </w:rPr>
        <w:t>A Bölcsészettudományi Kar névváltoztatását Bölcsészet- és Társadalomtudományi Karra a Szenátus 61/2020. (04.29.) sz. elektronikus úton hozott határozatával elfogadta. A névváltoztatás 2020. augusztus 1. napjától hatályos. A névváltoztatás a szabályzatban átvezetésre került.</w:t>
      </w:r>
    </w:p>
    <w:p w14:paraId="381CC241" w14:textId="77777777" w:rsidR="00A037FC" w:rsidRPr="00962C23" w:rsidRDefault="00A037FC" w:rsidP="00A037FC">
      <w:pPr>
        <w:jc w:val="both"/>
        <w:rPr>
          <w:sz w:val="22"/>
          <w:szCs w:val="20"/>
        </w:rPr>
      </w:pPr>
    </w:p>
    <w:p w14:paraId="42551726" w14:textId="77777777" w:rsidR="00A037FC" w:rsidRPr="00962C23" w:rsidRDefault="00A037FC" w:rsidP="00A037FC">
      <w:pPr>
        <w:jc w:val="both"/>
        <w:rPr>
          <w:sz w:val="22"/>
          <w:szCs w:val="22"/>
        </w:rPr>
      </w:pPr>
      <w:r w:rsidRPr="00962C23">
        <w:rPr>
          <w:sz w:val="22"/>
          <w:szCs w:val="22"/>
        </w:rPr>
        <w:t>A szabályzat módosítását a Szenátus 154/2020. (07.30.) számú elektronikus úton hozott határozatával fogadta el. A módosítás 2020. augusztus 1. napján lép hatályba.</w:t>
      </w:r>
    </w:p>
    <w:p w14:paraId="420D2A72" w14:textId="4701E813" w:rsidR="00F742C0" w:rsidRPr="00A037FC" w:rsidRDefault="00F742C0" w:rsidP="00893D5B">
      <w:pPr>
        <w:rPr>
          <w:b/>
          <w:szCs w:val="22"/>
        </w:rPr>
      </w:pPr>
    </w:p>
    <w:p w14:paraId="0E222A4A" w14:textId="496B68F8" w:rsidR="00893D5B" w:rsidRPr="000250FA" w:rsidRDefault="00893D5B" w:rsidP="00893D5B">
      <w:pPr>
        <w:ind w:firstLine="708"/>
        <w:rPr>
          <w:sz w:val="22"/>
          <w:szCs w:val="22"/>
        </w:rPr>
      </w:pPr>
      <w:r w:rsidRPr="000250FA">
        <w:rPr>
          <w:sz w:val="22"/>
          <w:szCs w:val="22"/>
        </w:rPr>
        <w:t>Dr. Miseta Attila</w:t>
      </w:r>
      <w:r w:rsidR="006E5CBC">
        <w:rPr>
          <w:sz w:val="22"/>
          <w:szCs w:val="22"/>
        </w:rPr>
        <w:t xml:space="preserve"> </w:t>
      </w:r>
      <w:proofErr w:type="spellStart"/>
      <w:r w:rsidR="006E5CBC">
        <w:rPr>
          <w:sz w:val="22"/>
          <w:szCs w:val="22"/>
        </w:rPr>
        <w:t>sk</w:t>
      </w:r>
      <w:proofErr w:type="spellEnd"/>
      <w:r w:rsidR="006E5CBC">
        <w:rPr>
          <w:sz w:val="22"/>
          <w:szCs w:val="22"/>
        </w:rPr>
        <w:t xml:space="preserve">. </w:t>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t>Jenei Zoltán</w:t>
      </w:r>
      <w:r w:rsidR="006E5CBC">
        <w:rPr>
          <w:sz w:val="22"/>
          <w:szCs w:val="22"/>
        </w:rPr>
        <w:t xml:space="preserve"> </w:t>
      </w:r>
      <w:proofErr w:type="spellStart"/>
      <w:r w:rsidR="006E5CBC">
        <w:rPr>
          <w:sz w:val="22"/>
          <w:szCs w:val="22"/>
        </w:rPr>
        <w:t>sk</w:t>
      </w:r>
      <w:proofErr w:type="spellEnd"/>
      <w:r w:rsidR="006E5CBC">
        <w:rPr>
          <w:sz w:val="22"/>
          <w:szCs w:val="22"/>
        </w:rPr>
        <w:t>.</w:t>
      </w:r>
    </w:p>
    <w:p w14:paraId="4FBD0850" w14:textId="77777777" w:rsidR="00893D5B" w:rsidRPr="000250FA" w:rsidRDefault="00893D5B" w:rsidP="00893D5B">
      <w:pPr>
        <w:ind w:left="708"/>
        <w:rPr>
          <w:sz w:val="22"/>
          <w:szCs w:val="22"/>
        </w:rPr>
      </w:pPr>
      <w:r w:rsidRPr="000250FA">
        <w:rPr>
          <w:sz w:val="22"/>
          <w:szCs w:val="22"/>
        </w:rPr>
        <w:t xml:space="preserve">         </w:t>
      </w:r>
      <w:proofErr w:type="gramStart"/>
      <w:r w:rsidRPr="000250FA">
        <w:rPr>
          <w:sz w:val="22"/>
          <w:szCs w:val="22"/>
        </w:rPr>
        <w:t>rektor</w:t>
      </w:r>
      <w:proofErr w:type="gramEnd"/>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r>
      <w:r w:rsidRPr="000250FA">
        <w:rPr>
          <w:sz w:val="22"/>
          <w:szCs w:val="22"/>
        </w:rPr>
        <w:tab/>
        <w:t xml:space="preserve">   kancellár</w:t>
      </w:r>
    </w:p>
    <w:p w14:paraId="21F4BE14" w14:textId="77777777" w:rsidR="00893D5B" w:rsidRPr="000250FA" w:rsidRDefault="00893D5B" w:rsidP="00893D5B">
      <w:pPr>
        <w:pStyle w:val="Cmsor1"/>
        <w:rPr>
          <w:i/>
        </w:rPr>
      </w:pPr>
    </w:p>
    <w:p w14:paraId="48115EB9" w14:textId="3A43B7E0" w:rsidR="006C389D" w:rsidRPr="006E5CBC" w:rsidRDefault="006C389D" w:rsidP="006C389D">
      <w:pPr>
        <w:contextualSpacing/>
        <w:jc w:val="both"/>
        <w:rPr>
          <w:sz w:val="22"/>
          <w:szCs w:val="22"/>
        </w:rPr>
      </w:pPr>
      <w:r w:rsidRPr="006E5CBC">
        <w:rPr>
          <w:bCs/>
          <w:iCs/>
          <w:sz w:val="22"/>
          <w:szCs w:val="22"/>
        </w:rPr>
        <w:t xml:space="preserve">Jelen szabályzat módosítását a Szenátus 2020. december </w:t>
      </w:r>
      <w:r w:rsidR="006E5CBC" w:rsidRPr="006E5CBC">
        <w:rPr>
          <w:bCs/>
          <w:iCs/>
          <w:sz w:val="22"/>
          <w:szCs w:val="22"/>
        </w:rPr>
        <w:t>0</w:t>
      </w:r>
      <w:r w:rsidRPr="006E5CBC">
        <w:rPr>
          <w:bCs/>
          <w:iCs/>
          <w:sz w:val="22"/>
          <w:szCs w:val="22"/>
        </w:rPr>
        <w:t xml:space="preserve">3-ai </w:t>
      </w:r>
      <w:r w:rsidR="006E5CBC" w:rsidRPr="006E5CBC">
        <w:rPr>
          <w:bCs/>
          <w:iCs/>
          <w:sz w:val="22"/>
          <w:szCs w:val="22"/>
        </w:rPr>
        <w:t xml:space="preserve">online ülését követő elektronikus </w:t>
      </w:r>
      <w:r w:rsidR="00B965CC">
        <w:rPr>
          <w:bCs/>
          <w:iCs/>
          <w:sz w:val="22"/>
          <w:szCs w:val="22"/>
        </w:rPr>
        <w:t>döntéshozatali eljárásában 222/</w:t>
      </w:r>
      <w:r w:rsidR="006E5CBC" w:rsidRPr="006E5CBC">
        <w:rPr>
          <w:bCs/>
          <w:iCs/>
          <w:sz w:val="22"/>
          <w:szCs w:val="22"/>
        </w:rPr>
        <w:t>2020. (12.04</w:t>
      </w:r>
      <w:r w:rsidRPr="006E5CBC">
        <w:rPr>
          <w:bCs/>
          <w:iCs/>
          <w:sz w:val="22"/>
          <w:szCs w:val="22"/>
        </w:rPr>
        <w:t xml:space="preserve">.) számú határozatával fogadta el. </w:t>
      </w:r>
      <w:r w:rsidR="00C56B8B" w:rsidRPr="006E5CBC">
        <w:rPr>
          <w:bCs/>
          <w:iCs/>
          <w:sz w:val="22"/>
          <w:szCs w:val="22"/>
        </w:rPr>
        <w:t xml:space="preserve">A módosítások 2021. </w:t>
      </w:r>
      <w:r w:rsidR="00B965CC">
        <w:rPr>
          <w:bCs/>
          <w:iCs/>
          <w:sz w:val="22"/>
          <w:szCs w:val="22"/>
        </w:rPr>
        <w:t>május</w:t>
      </w:r>
      <w:r w:rsidR="00C56B8B" w:rsidRPr="006E5CBC">
        <w:rPr>
          <w:bCs/>
          <w:iCs/>
          <w:sz w:val="22"/>
          <w:szCs w:val="22"/>
        </w:rPr>
        <w:t xml:space="preserve"> hó 01. napjával lépnek hatályba</w:t>
      </w:r>
      <w:r w:rsidR="00B965CC">
        <w:rPr>
          <w:bCs/>
          <w:iCs/>
          <w:sz w:val="22"/>
          <w:szCs w:val="22"/>
        </w:rPr>
        <w:t>.</w:t>
      </w:r>
    </w:p>
    <w:p w14:paraId="5482C494" w14:textId="17FDA89D" w:rsidR="006C389D" w:rsidRDefault="006C389D" w:rsidP="006C389D">
      <w:pPr>
        <w:jc w:val="both"/>
        <w:rPr>
          <w:bCs/>
          <w:iCs/>
          <w:sz w:val="22"/>
          <w:szCs w:val="22"/>
        </w:rPr>
      </w:pPr>
    </w:p>
    <w:p w14:paraId="7E511322" w14:textId="6590297D" w:rsidR="00B965CC" w:rsidRPr="006E5CBC" w:rsidRDefault="00B965CC" w:rsidP="00B965CC">
      <w:pPr>
        <w:contextualSpacing/>
        <w:jc w:val="both"/>
        <w:rPr>
          <w:sz w:val="22"/>
          <w:szCs w:val="22"/>
        </w:rPr>
      </w:pPr>
      <w:r w:rsidRPr="006E5CBC">
        <w:rPr>
          <w:bCs/>
          <w:iCs/>
          <w:sz w:val="22"/>
          <w:szCs w:val="22"/>
        </w:rPr>
        <w:t>Jelen szabályzat módosítását a Szenátus 2020. december 03-ai online ülését követő elektronikus döntéshozatali eljárásában 22</w:t>
      </w:r>
      <w:r>
        <w:rPr>
          <w:bCs/>
          <w:iCs/>
          <w:sz w:val="22"/>
          <w:szCs w:val="22"/>
        </w:rPr>
        <w:t>8</w:t>
      </w:r>
      <w:r w:rsidR="00B92B69">
        <w:rPr>
          <w:bCs/>
          <w:iCs/>
          <w:sz w:val="22"/>
          <w:szCs w:val="22"/>
        </w:rPr>
        <w:t>/</w:t>
      </w:r>
      <w:r w:rsidRPr="006E5CBC">
        <w:rPr>
          <w:bCs/>
          <w:iCs/>
          <w:sz w:val="22"/>
          <w:szCs w:val="22"/>
        </w:rPr>
        <w:t xml:space="preserve">2020. (12.04.) számú határozatával fogadta el. A módosítások 2021. </w:t>
      </w:r>
      <w:r>
        <w:rPr>
          <w:bCs/>
          <w:iCs/>
          <w:sz w:val="22"/>
          <w:szCs w:val="22"/>
        </w:rPr>
        <w:t>január</w:t>
      </w:r>
      <w:r w:rsidRPr="006E5CBC">
        <w:rPr>
          <w:bCs/>
          <w:iCs/>
          <w:sz w:val="22"/>
          <w:szCs w:val="22"/>
        </w:rPr>
        <w:t xml:space="preserve"> hó 01. napjával lépnek hatályba</w:t>
      </w:r>
      <w:r>
        <w:rPr>
          <w:bCs/>
          <w:iCs/>
          <w:sz w:val="22"/>
          <w:szCs w:val="22"/>
        </w:rPr>
        <w:t>.</w:t>
      </w:r>
    </w:p>
    <w:p w14:paraId="5FCAAC9E" w14:textId="484E548E" w:rsidR="003F2DED" w:rsidRPr="00826B33" w:rsidRDefault="003F2DED" w:rsidP="003F2DED">
      <w:pPr>
        <w:jc w:val="both"/>
        <w:rPr>
          <w:bCs/>
          <w:iCs/>
          <w:sz w:val="22"/>
          <w:szCs w:val="22"/>
        </w:rPr>
      </w:pPr>
      <w:r w:rsidRPr="00826B33">
        <w:rPr>
          <w:bCs/>
          <w:iCs/>
          <w:sz w:val="22"/>
          <w:szCs w:val="22"/>
        </w:rPr>
        <w:lastRenderedPageBreak/>
        <w:t xml:space="preserve">Jelen szabályzat módosítását a Szenátus 2020. december 30-ai rendkívüli ülését követő elektronikus döntéshozatali eljárásban hozott 240/2020. (12. 31.) számú határozatával fogadta el. A módosítások 2021. január 01. napjával lépnek hatályba és a veszélyhelyzet megszűnését követő napon hatályukat vesztik.  </w:t>
      </w:r>
    </w:p>
    <w:p w14:paraId="7D4D1345" w14:textId="77777777" w:rsidR="003F2DED" w:rsidRPr="00CE662A" w:rsidRDefault="003F2DED" w:rsidP="003F2DED">
      <w:pPr>
        <w:contextualSpacing/>
        <w:jc w:val="both"/>
        <w:rPr>
          <w:sz w:val="22"/>
          <w:szCs w:val="22"/>
        </w:rPr>
      </w:pPr>
    </w:p>
    <w:p w14:paraId="09DB0827" w14:textId="286B51D1" w:rsidR="00E57369" w:rsidRPr="00CE662A" w:rsidRDefault="00E57369" w:rsidP="00E57369">
      <w:pPr>
        <w:jc w:val="both"/>
        <w:rPr>
          <w:bCs/>
          <w:iCs/>
          <w:sz w:val="22"/>
          <w:szCs w:val="22"/>
        </w:rPr>
      </w:pPr>
      <w:r w:rsidRPr="00CE662A">
        <w:rPr>
          <w:bCs/>
          <w:iCs/>
          <w:sz w:val="22"/>
          <w:szCs w:val="22"/>
        </w:rPr>
        <w:t>Jelen szabályzat módosítását a Szenátus 2021. június 16-án lezárt elektronikus döntéshozatali eljárásában hozott 123/2021. (06. 16.) számú határozatával fogadta el. A módosítás 2021. július 1. napján lép hatályba.</w:t>
      </w:r>
    </w:p>
    <w:p w14:paraId="32D47AC3" w14:textId="77777777" w:rsidR="00E57369" w:rsidRPr="00CE662A" w:rsidRDefault="00E57369" w:rsidP="00E57369">
      <w:pPr>
        <w:rPr>
          <w:sz w:val="22"/>
          <w:szCs w:val="22"/>
        </w:rPr>
      </w:pPr>
    </w:p>
    <w:p w14:paraId="6A4B410F" w14:textId="632B7BD9" w:rsidR="00B965CC" w:rsidRDefault="00B965CC" w:rsidP="006C389D">
      <w:pPr>
        <w:jc w:val="both"/>
        <w:rPr>
          <w:bCs/>
          <w:iCs/>
          <w:sz w:val="22"/>
          <w:szCs w:val="22"/>
        </w:rPr>
      </w:pPr>
    </w:p>
    <w:p w14:paraId="5A953AE5" w14:textId="539C75B3" w:rsidR="00B965CC" w:rsidRPr="006E5CBC" w:rsidRDefault="00B965CC" w:rsidP="006C389D">
      <w:pPr>
        <w:jc w:val="both"/>
        <w:rPr>
          <w:bCs/>
          <w:iCs/>
          <w:sz w:val="22"/>
          <w:szCs w:val="22"/>
        </w:rPr>
      </w:pPr>
    </w:p>
    <w:p w14:paraId="7D705BAC" w14:textId="026CE88C" w:rsidR="006C389D" w:rsidRPr="006E5CBC" w:rsidRDefault="006C389D" w:rsidP="006C389D">
      <w:pPr>
        <w:ind w:firstLine="708"/>
        <w:rPr>
          <w:bCs/>
          <w:iCs/>
          <w:sz w:val="22"/>
          <w:szCs w:val="22"/>
        </w:rPr>
      </w:pPr>
      <w:r w:rsidRPr="006E5CBC">
        <w:rPr>
          <w:bCs/>
          <w:iCs/>
          <w:sz w:val="22"/>
          <w:szCs w:val="22"/>
        </w:rPr>
        <w:t>Dr. Miseta Attila</w:t>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t>Decsi István</w:t>
      </w:r>
    </w:p>
    <w:p w14:paraId="5A79C20E" w14:textId="77777777" w:rsidR="006C389D" w:rsidRPr="006E5CBC" w:rsidRDefault="006C389D" w:rsidP="006C389D">
      <w:pPr>
        <w:ind w:left="708"/>
        <w:rPr>
          <w:bCs/>
          <w:iCs/>
          <w:sz w:val="22"/>
          <w:szCs w:val="22"/>
        </w:rPr>
      </w:pPr>
      <w:r w:rsidRPr="006E5CBC">
        <w:rPr>
          <w:bCs/>
          <w:iCs/>
          <w:sz w:val="22"/>
          <w:szCs w:val="22"/>
        </w:rPr>
        <w:t xml:space="preserve">         </w:t>
      </w:r>
      <w:proofErr w:type="gramStart"/>
      <w:r w:rsidRPr="006E5CBC">
        <w:rPr>
          <w:bCs/>
          <w:iCs/>
          <w:sz w:val="22"/>
          <w:szCs w:val="22"/>
        </w:rPr>
        <w:t>rektor</w:t>
      </w:r>
      <w:proofErr w:type="gramEnd"/>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r>
      <w:r w:rsidRPr="006E5CBC">
        <w:rPr>
          <w:bCs/>
          <w:iCs/>
          <w:sz w:val="22"/>
          <w:szCs w:val="22"/>
        </w:rPr>
        <w:tab/>
        <w:t xml:space="preserve">   kancellár</w:t>
      </w:r>
    </w:p>
    <w:p w14:paraId="452CD703" w14:textId="77777777" w:rsidR="00FD0545" w:rsidRDefault="00FD0545">
      <w:pPr>
        <w:spacing w:after="160" w:line="259" w:lineRule="auto"/>
      </w:pPr>
      <w:r>
        <w:br w:type="page"/>
      </w:r>
    </w:p>
    <w:p w14:paraId="64416E72" w14:textId="77777777" w:rsidR="00FD0545" w:rsidRPr="00E13CE5" w:rsidRDefault="00FD0545" w:rsidP="00FD0545">
      <w:pPr>
        <w:pStyle w:val="Cmsor1"/>
      </w:pPr>
      <w:bookmarkStart w:id="340" w:name="_Toc444603586"/>
      <w:bookmarkStart w:id="341" w:name="_Toc445200845"/>
      <w:bookmarkStart w:id="342" w:name="_Toc21961961"/>
      <w:bookmarkStart w:id="343" w:name="_Toc58569569"/>
      <w:r w:rsidRPr="00E13CE5">
        <w:lastRenderedPageBreak/>
        <w:t>Foglalkoztatási követelményrendszer mellékletei:</w:t>
      </w:r>
      <w:bookmarkEnd w:id="340"/>
      <w:bookmarkEnd w:id="341"/>
      <w:bookmarkEnd w:id="342"/>
      <w:bookmarkEnd w:id="343"/>
    </w:p>
    <w:p w14:paraId="3D36FBE2" w14:textId="77777777" w:rsidR="00FD0545" w:rsidRPr="002D0866" w:rsidRDefault="00FD0545" w:rsidP="00FD0545">
      <w:pPr>
        <w:pStyle w:val="Cmsor1"/>
        <w:rPr>
          <w:rFonts w:eastAsia="Calibri"/>
        </w:rPr>
      </w:pPr>
      <w:bookmarkStart w:id="344" w:name="_Toc21961962"/>
      <w:bookmarkStart w:id="345" w:name="_Toc58569570"/>
      <w:r w:rsidRPr="002D0866">
        <w:rPr>
          <w:rFonts w:eastAsia="Calibri"/>
        </w:rPr>
        <w:t>1/1. számú melléklet</w:t>
      </w:r>
      <w:r w:rsidRPr="002D0866">
        <w:rPr>
          <w:rStyle w:val="Lbjegyzet-hivatkozs"/>
          <w:rFonts w:eastAsia="Calibri"/>
        </w:rPr>
        <w:footnoteReference w:id="471"/>
      </w:r>
      <w:bookmarkEnd w:id="344"/>
      <w:bookmarkEnd w:id="345"/>
    </w:p>
    <w:p w14:paraId="0169D93C" w14:textId="77777777" w:rsidR="00FD0545" w:rsidRPr="00A65E9D" w:rsidRDefault="00FD0545" w:rsidP="00FD0545">
      <w:pPr>
        <w:pStyle w:val="Cmsor1"/>
        <w:spacing w:before="0" w:after="0"/>
        <w:rPr>
          <w:rFonts w:eastAsia="Calibri"/>
        </w:rPr>
      </w:pPr>
      <w:bookmarkStart w:id="346" w:name="_Toc21961963"/>
      <w:bookmarkStart w:id="347" w:name="_Toc58569571"/>
      <w:r w:rsidRPr="00A65E9D">
        <w:rPr>
          <w:rFonts w:eastAsia="Calibri"/>
        </w:rPr>
        <w:t>A Pécsi Tudományegyetem Állam- és Jogtudományi Karának Teljesítményértékelési Szabályzata</w:t>
      </w:r>
      <w:bookmarkEnd w:id="346"/>
      <w:bookmarkEnd w:id="347"/>
    </w:p>
    <w:p w14:paraId="54BF74E3" w14:textId="77777777" w:rsidR="00FD0545" w:rsidRPr="00A65E9D" w:rsidRDefault="00FD0545" w:rsidP="00FD0545">
      <w:pPr>
        <w:contextualSpacing/>
        <w:jc w:val="center"/>
        <w:rPr>
          <w:rFonts w:eastAsia="Calibri"/>
          <w:sz w:val="22"/>
          <w:szCs w:val="22"/>
        </w:rPr>
      </w:pPr>
    </w:p>
    <w:p w14:paraId="4FF41B1B" w14:textId="77777777" w:rsidR="00FD0545" w:rsidRPr="00A65E9D" w:rsidRDefault="00FD0545" w:rsidP="00FD0545">
      <w:pPr>
        <w:contextualSpacing/>
        <w:jc w:val="center"/>
        <w:rPr>
          <w:rFonts w:eastAsia="Calibri"/>
          <w:b/>
          <w:sz w:val="22"/>
          <w:szCs w:val="22"/>
        </w:rPr>
      </w:pPr>
      <w:r w:rsidRPr="00A65E9D">
        <w:rPr>
          <w:rFonts w:eastAsia="Calibri"/>
          <w:b/>
          <w:sz w:val="22"/>
          <w:szCs w:val="22"/>
        </w:rPr>
        <w:t>Szabályzat hatálya</w:t>
      </w:r>
    </w:p>
    <w:p w14:paraId="62C0BCAA" w14:textId="77777777" w:rsidR="00FD0545" w:rsidRPr="00A65E9D" w:rsidRDefault="00FD0545" w:rsidP="00FD0545">
      <w:pPr>
        <w:contextualSpacing/>
        <w:rPr>
          <w:rFonts w:eastAsia="Calibri"/>
          <w:sz w:val="22"/>
          <w:szCs w:val="22"/>
        </w:rPr>
      </w:pPr>
    </w:p>
    <w:p w14:paraId="1712A824" w14:textId="77777777" w:rsidR="00FD0545" w:rsidRPr="00A65E9D" w:rsidRDefault="00FD0545" w:rsidP="00FD0545">
      <w:pPr>
        <w:contextualSpacing/>
        <w:jc w:val="both"/>
        <w:rPr>
          <w:rFonts w:eastAsia="Calibri"/>
          <w:sz w:val="22"/>
          <w:szCs w:val="22"/>
        </w:rPr>
      </w:pPr>
      <w:r w:rsidRPr="00A65E9D">
        <w:rPr>
          <w:rFonts w:eastAsia="Calibri"/>
          <w:b/>
          <w:sz w:val="22"/>
          <w:szCs w:val="22"/>
        </w:rPr>
        <w:t>1. §</w:t>
      </w:r>
      <w:r w:rsidRPr="00A65E9D">
        <w:rPr>
          <w:rFonts w:eastAsia="Calibri"/>
          <w:sz w:val="22"/>
          <w:szCs w:val="22"/>
        </w:rPr>
        <w:t xml:space="preserve"> (1) A Szabályzat személyi hatálya kiterjed a Karral közalkalmazotti jogviszonyban álló oktató, kutató, nyelvtanár (továbbiakban: oktató) munkakörben foglalkoztatott munkatársára, kivéve a próbaidő alatt álló és a tartós távolléten tartózkodó közalkalmazottakat.</w:t>
      </w:r>
    </w:p>
    <w:p w14:paraId="41C93383" w14:textId="77777777" w:rsidR="00FD0545" w:rsidRPr="00A65E9D" w:rsidRDefault="00FD0545" w:rsidP="00FD0545">
      <w:pPr>
        <w:contextualSpacing/>
        <w:jc w:val="both"/>
        <w:rPr>
          <w:rFonts w:eastAsia="Calibri"/>
          <w:sz w:val="22"/>
          <w:szCs w:val="22"/>
        </w:rPr>
      </w:pPr>
    </w:p>
    <w:p w14:paraId="5EC9F889" w14:textId="77777777" w:rsidR="00FD0545" w:rsidRPr="00A65E9D" w:rsidRDefault="00FD0545" w:rsidP="00FD0545">
      <w:pPr>
        <w:contextualSpacing/>
        <w:jc w:val="both"/>
        <w:rPr>
          <w:rFonts w:eastAsia="Calibri"/>
          <w:sz w:val="22"/>
          <w:szCs w:val="22"/>
        </w:rPr>
      </w:pPr>
      <w:r w:rsidRPr="00A65E9D">
        <w:rPr>
          <w:rFonts w:eastAsia="Calibri"/>
          <w:sz w:val="22"/>
          <w:szCs w:val="22"/>
        </w:rPr>
        <w:t>(2) A Szabályzat tárgyi hatálya a Teljesítményértkelési rendszernek (TÉR) a Karon történő működtetésére, az azzal kapcsolatos feladatok végrehajtására terjed ki.</w:t>
      </w:r>
    </w:p>
    <w:p w14:paraId="055098B5" w14:textId="77777777" w:rsidR="00FD0545" w:rsidRPr="00A65E9D" w:rsidRDefault="00FD0545" w:rsidP="00FD0545">
      <w:pPr>
        <w:contextualSpacing/>
        <w:jc w:val="both"/>
        <w:rPr>
          <w:rFonts w:eastAsia="Calibri"/>
          <w:sz w:val="22"/>
          <w:szCs w:val="22"/>
        </w:rPr>
      </w:pPr>
    </w:p>
    <w:p w14:paraId="7FFF11AB" w14:textId="77777777" w:rsidR="00FD0545" w:rsidRPr="00A65E9D" w:rsidRDefault="00FD0545" w:rsidP="00FD0545">
      <w:pPr>
        <w:contextualSpacing/>
        <w:jc w:val="center"/>
        <w:rPr>
          <w:rFonts w:eastAsia="Calibri"/>
          <w:b/>
          <w:sz w:val="22"/>
          <w:szCs w:val="22"/>
        </w:rPr>
      </w:pPr>
      <w:r w:rsidRPr="00A65E9D">
        <w:rPr>
          <w:rFonts w:eastAsia="Calibri"/>
          <w:b/>
          <w:sz w:val="22"/>
          <w:szCs w:val="22"/>
        </w:rPr>
        <w:t>Az értékelés módja</w:t>
      </w:r>
    </w:p>
    <w:p w14:paraId="7755DCFB" w14:textId="77777777" w:rsidR="00FD0545" w:rsidRPr="00A65E9D" w:rsidRDefault="00FD0545" w:rsidP="00FD0545">
      <w:pPr>
        <w:contextualSpacing/>
        <w:jc w:val="center"/>
        <w:rPr>
          <w:rFonts w:eastAsia="Calibri"/>
          <w:sz w:val="22"/>
          <w:szCs w:val="22"/>
        </w:rPr>
      </w:pPr>
    </w:p>
    <w:p w14:paraId="340B7FCC" w14:textId="77777777" w:rsidR="00FD0545" w:rsidRPr="00A65E9D" w:rsidRDefault="00FD0545" w:rsidP="00FD0545">
      <w:pPr>
        <w:contextualSpacing/>
        <w:jc w:val="both"/>
        <w:rPr>
          <w:rFonts w:eastAsia="Calibri"/>
          <w:sz w:val="22"/>
          <w:szCs w:val="22"/>
        </w:rPr>
      </w:pPr>
      <w:r w:rsidRPr="00A65E9D">
        <w:rPr>
          <w:rFonts w:eastAsia="Calibri"/>
          <w:b/>
          <w:sz w:val="22"/>
          <w:szCs w:val="22"/>
        </w:rPr>
        <w:t>2. §</w:t>
      </w:r>
      <w:r w:rsidRPr="00A65E9D">
        <w:rPr>
          <w:rFonts w:eastAsia="Calibri"/>
          <w:sz w:val="22"/>
          <w:szCs w:val="22"/>
        </w:rPr>
        <w:t xml:space="preserve"> (l) Az oktató teljesítményét tanévenként értékelni kell (teljesítményértékelés, illetve TÉR).</w:t>
      </w:r>
    </w:p>
    <w:p w14:paraId="38327D44"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 </w:t>
      </w:r>
    </w:p>
    <w:p w14:paraId="03FC7079" w14:textId="77777777" w:rsidR="00FD0545" w:rsidRPr="00A65E9D" w:rsidRDefault="00FD0545" w:rsidP="00FD0545">
      <w:pPr>
        <w:contextualSpacing/>
        <w:jc w:val="both"/>
        <w:rPr>
          <w:rFonts w:eastAsia="Calibri"/>
          <w:sz w:val="22"/>
          <w:szCs w:val="22"/>
        </w:rPr>
      </w:pPr>
      <w:r w:rsidRPr="00A65E9D">
        <w:rPr>
          <w:rFonts w:eastAsia="Calibri"/>
          <w:sz w:val="22"/>
          <w:szCs w:val="22"/>
        </w:rPr>
        <w:t>(2) A teljesítményértékelés során a 3-11. §-okban meghatározott tudományos-oktatói, oktatási-oktatásfejlesztési, valamint a 12. §-</w:t>
      </w:r>
      <w:proofErr w:type="spellStart"/>
      <w:r w:rsidRPr="00A65E9D">
        <w:rPr>
          <w:rFonts w:eastAsia="Calibri"/>
          <w:sz w:val="22"/>
          <w:szCs w:val="22"/>
        </w:rPr>
        <w:t>ban</w:t>
      </w:r>
      <w:proofErr w:type="spellEnd"/>
      <w:r w:rsidRPr="00A65E9D">
        <w:rPr>
          <w:rFonts w:eastAsia="Calibri"/>
          <w:sz w:val="22"/>
          <w:szCs w:val="22"/>
        </w:rPr>
        <w:t xml:space="preserve"> szabályozott felsőoktatási vezetői (intézményi, kari és szakvezetői) tevékenységet kell megítélni. </w:t>
      </w:r>
    </w:p>
    <w:p w14:paraId="06739279" w14:textId="77777777" w:rsidR="00FD0545" w:rsidRPr="00A65E9D" w:rsidRDefault="00FD0545" w:rsidP="00FD0545">
      <w:pPr>
        <w:contextualSpacing/>
        <w:jc w:val="both"/>
        <w:rPr>
          <w:rFonts w:eastAsia="Calibri"/>
          <w:sz w:val="22"/>
          <w:szCs w:val="22"/>
        </w:rPr>
      </w:pPr>
    </w:p>
    <w:p w14:paraId="1AC6EE7F" w14:textId="77777777" w:rsidR="00FD0545" w:rsidRPr="00A65E9D" w:rsidRDefault="00FD0545" w:rsidP="00FD0545">
      <w:pPr>
        <w:contextualSpacing/>
        <w:jc w:val="center"/>
        <w:rPr>
          <w:rFonts w:eastAsia="Calibri"/>
          <w:b/>
          <w:sz w:val="22"/>
          <w:szCs w:val="22"/>
        </w:rPr>
      </w:pPr>
      <w:r w:rsidRPr="00A65E9D">
        <w:rPr>
          <w:rFonts w:eastAsia="Calibri"/>
          <w:b/>
          <w:sz w:val="22"/>
          <w:szCs w:val="22"/>
        </w:rPr>
        <w:t>Tudományos-kutatói tevékenység</w:t>
      </w:r>
    </w:p>
    <w:p w14:paraId="5CB83D00" w14:textId="77777777" w:rsidR="00FD0545" w:rsidRPr="00A65E9D" w:rsidRDefault="00FD0545" w:rsidP="00FD0545">
      <w:pPr>
        <w:contextualSpacing/>
        <w:jc w:val="center"/>
        <w:rPr>
          <w:rFonts w:eastAsia="Calibri"/>
          <w:sz w:val="22"/>
          <w:szCs w:val="22"/>
        </w:rPr>
      </w:pPr>
    </w:p>
    <w:p w14:paraId="2309120D" w14:textId="77777777" w:rsidR="00FD0545" w:rsidRPr="00A65E9D" w:rsidRDefault="00FD0545" w:rsidP="00FD0545">
      <w:pPr>
        <w:contextualSpacing/>
        <w:jc w:val="both"/>
        <w:rPr>
          <w:rFonts w:eastAsia="Calibri"/>
          <w:sz w:val="22"/>
          <w:szCs w:val="22"/>
        </w:rPr>
      </w:pPr>
      <w:r w:rsidRPr="00A65E9D">
        <w:rPr>
          <w:rFonts w:eastAsia="Calibri"/>
          <w:b/>
          <w:sz w:val="22"/>
          <w:szCs w:val="22"/>
        </w:rPr>
        <w:t>3. §</w:t>
      </w:r>
      <w:r w:rsidRPr="00A65E9D">
        <w:rPr>
          <w:rFonts w:eastAsia="Calibri"/>
          <w:sz w:val="22"/>
          <w:szCs w:val="22"/>
        </w:rPr>
        <w:t xml:space="preserve"> A tudományos-kutatói tevékenység értékelése során az alábbi tényezőket kell figyelembe venni: </w:t>
      </w:r>
    </w:p>
    <w:p w14:paraId="2E064987"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kiemelkedő tudományos munkásság,</w:t>
      </w:r>
    </w:p>
    <w:p w14:paraId="423F7A7D"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fiatal oktatók tudományos munkájának vezetése, témavezetői részvétel doktori képzésben, </w:t>
      </w:r>
    </w:p>
    <w:p w14:paraId="184ADAF7"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kutatásszervezési tapasztalat, eredményesség, </w:t>
      </w:r>
    </w:p>
    <w:p w14:paraId="0ABEE923"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nemzetközi ismertség, elismertség. </w:t>
      </w:r>
    </w:p>
    <w:p w14:paraId="5902880E" w14:textId="77777777" w:rsidR="00FD0545" w:rsidRPr="00A65E9D" w:rsidRDefault="00FD0545" w:rsidP="00FD0545">
      <w:pPr>
        <w:contextualSpacing/>
        <w:jc w:val="both"/>
        <w:rPr>
          <w:rFonts w:eastAsia="Calibri"/>
          <w:sz w:val="22"/>
          <w:szCs w:val="22"/>
        </w:rPr>
      </w:pPr>
    </w:p>
    <w:p w14:paraId="512A5E99" w14:textId="77777777" w:rsidR="00FD0545" w:rsidRPr="00A65E9D" w:rsidRDefault="00FD0545" w:rsidP="00FD0545">
      <w:pPr>
        <w:contextualSpacing/>
        <w:jc w:val="both"/>
        <w:rPr>
          <w:rFonts w:eastAsia="Calibri"/>
          <w:sz w:val="22"/>
          <w:szCs w:val="22"/>
        </w:rPr>
      </w:pPr>
      <w:r w:rsidRPr="00A65E9D">
        <w:rPr>
          <w:rFonts w:eastAsia="Calibri"/>
          <w:b/>
          <w:sz w:val="22"/>
          <w:szCs w:val="22"/>
        </w:rPr>
        <w:t>4. §</w:t>
      </w:r>
      <w:r w:rsidRPr="00A65E9D">
        <w:rPr>
          <w:rFonts w:eastAsia="Calibri"/>
          <w:sz w:val="22"/>
          <w:szCs w:val="22"/>
        </w:rPr>
        <w:t xml:space="preserve"> (1) A kiemelkedő tudományos munkásság értékelése során figyelembe vehető alapvető ismérvek alapján legfeljebb 50 pont adható, amelyből</w:t>
      </w:r>
    </w:p>
    <w:p w14:paraId="617BE16E"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az elmúlt három év magyar és idegen nyelvű szakpublikációs tevékenysége legfeljebb 50 pont, </w:t>
      </w:r>
    </w:p>
    <w:p w14:paraId="68842E99"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az elmúlt három évre vonatkozó hivatkozási adatok legfeljebb 10 pont; </w:t>
      </w:r>
    </w:p>
    <w:p w14:paraId="31FC842A"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a szerzett tudományos fokozatokért legfeljebb 15 pont, </w:t>
      </w:r>
    </w:p>
    <w:p w14:paraId="3F671E44"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az elmúlt öt évben kapott szakmai díjak, elismerések legfeljebb 5 pont. </w:t>
      </w:r>
    </w:p>
    <w:p w14:paraId="7200FCD4" w14:textId="77777777" w:rsidR="00FD0545" w:rsidRPr="00A65E9D" w:rsidRDefault="00FD0545" w:rsidP="00FD0545">
      <w:pPr>
        <w:contextualSpacing/>
        <w:jc w:val="both"/>
        <w:rPr>
          <w:rFonts w:eastAsia="Calibri"/>
          <w:sz w:val="22"/>
          <w:szCs w:val="22"/>
        </w:rPr>
      </w:pPr>
    </w:p>
    <w:p w14:paraId="2AF040F6" w14:textId="77777777" w:rsidR="00FD0545" w:rsidRPr="00A65E9D" w:rsidRDefault="00FD0545" w:rsidP="00FD0545">
      <w:pPr>
        <w:contextualSpacing/>
        <w:jc w:val="both"/>
        <w:rPr>
          <w:rFonts w:eastAsia="Calibri"/>
          <w:sz w:val="22"/>
          <w:szCs w:val="22"/>
        </w:rPr>
      </w:pPr>
      <w:r w:rsidRPr="00A65E9D">
        <w:rPr>
          <w:rFonts w:eastAsia="Calibri"/>
          <w:sz w:val="22"/>
          <w:szCs w:val="22"/>
        </w:rPr>
        <w:t>(2) Az elmúlt három év magyar és idegen nyelvű szakpublikációs tevékenység az MTMT-</w:t>
      </w:r>
      <w:proofErr w:type="spellStart"/>
      <w:r w:rsidRPr="00A65E9D">
        <w:rPr>
          <w:rFonts w:eastAsia="Calibri"/>
          <w:sz w:val="22"/>
          <w:szCs w:val="22"/>
        </w:rPr>
        <w:t>ben</w:t>
      </w:r>
      <w:proofErr w:type="spellEnd"/>
      <w:r w:rsidRPr="00A65E9D">
        <w:rPr>
          <w:rFonts w:eastAsia="Calibri"/>
          <w:sz w:val="22"/>
          <w:szCs w:val="22"/>
        </w:rPr>
        <w:t xml:space="preserve"> rögzített adatok alapján számolható ki: </w:t>
      </w:r>
    </w:p>
    <w:p w14:paraId="5DF8DF3A"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belföldön megjelent magyar nyelvű tudományos publikáció (tanulmány, szakcikk, könyv) ívenként 2 pont, </w:t>
      </w:r>
    </w:p>
    <w:p w14:paraId="2F98A750"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belföldön megjelent idegen nyelvű tudományos publikáció (tanulmány, szakcikk, könyv) ívenként 3 pont, </w:t>
      </w:r>
    </w:p>
    <w:p w14:paraId="0E57697A"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külföldön megjelent magyar nyelvű tudományos publikáció (tanulmány, szakcikk, könyv) ívenként 4 pont, </w:t>
      </w:r>
    </w:p>
    <w:p w14:paraId="4A7636C0"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külföldön megjelent idegen nyelvű tudományos publikáció (tanulmány, szakcikk, könyv) ívenként 6 pont. </w:t>
      </w:r>
    </w:p>
    <w:p w14:paraId="341F3DE4" w14:textId="77777777" w:rsidR="00FD0545" w:rsidRPr="00A65E9D" w:rsidRDefault="00FD0545" w:rsidP="00FD0545">
      <w:pPr>
        <w:contextualSpacing/>
        <w:jc w:val="both"/>
        <w:rPr>
          <w:rFonts w:eastAsia="Calibri"/>
          <w:sz w:val="22"/>
          <w:szCs w:val="22"/>
        </w:rPr>
      </w:pPr>
      <w:r w:rsidRPr="00A65E9D">
        <w:rPr>
          <w:rFonts w:eastAsia="Calibri"/>
          <w:sz w:val="22"/>
          <w:szCs w:val="22"/>
        </w:rPr>
        <w:t>(3) Az elmúlt három évre vonatkozó hivatkozási adatok az MTMT-</w:t>
      </w:r>
      <w:proofErr w:type="spellStart"/>
      <w:r w:rsidRPr="00A65E9D">
        <w:rPr>
          <w:rFonts w:eastAsia="Calibri"/>
          <w:sz w:val="22"/>
          <w:szCs w:val="22"/>
        </w:rPr>
        <w:t>ben</w:t>
      </w:r>
      <w:proofErr w:type="spellEnd"/>
      <w:r w:rsidRPr="00A65E9D">
        <w:rPr>
          <w:rFonts w:eastAsia="Calibri"/>
          <w:sz w:val="22"/>
          <w:szCs w:val="22"/>
        </w:rPr>
        <w:t xml:space="preserve"> rögzített adatok alapján számolható ki: </w:t>
      </w:r>
    </w:p>
    <w:p w14:paraId="2D961B03" w14:textId="77777777" w:rsidR="00FD0545" w:rsidRPr="00A65E9D" w:rsidRDefault="00FD0545" w:rsidP="00FD0545">
      <w:pPr>
        <w:ind w:firstLine="567"/>
        <w:contextualSpacing/>
        <w:jc w:val="both"/>
        <w:rPr>
          <w:rFonts w:eastAsia="Calibri"/>
          <w:sz w:val="22"/>
          <w:szCs w:val="22"/>
        </w:rPr>
      </w:pPr>
      <w:proofErr w:type="gramStart"/>
      <w:r w:rsidRPr="00A65E9D">
        <w:rPr>
          <w:rFonts w:eastAsia="Calibri"/>
          <w:sz w:val="22"/>
          <w:szCs w:val="22"/>
        </w:rPr>
        <w:lastRenderedPageBreak/>
        <w:t>a</w:t>
      </w:r>
      <w:proofErr w:type="gramEnd"/>
      <w:r w:rsidRPr="00A65E9D">
        <w:rPr>
          <w:rFonts w:eastAsia="Calibri"/>
          <w:sz w:val="22"/>
          <w:szCs w:val="22"/>
        </w:rPr>
        <w:t xml:space="preserve">) belföldön megjelent független hivatkozás hivatkozásonként 1 pont, </w:t>
      </w:r>
    </w:p>
    <w:p w14:paraId="72970AFE" w14:textId="77777777" w:rsidR="00FD0545" w:rsidRPr="00A65E9D" w:rsidRDefault="00FD0545" w:rsidP="00FD0545">
      <w:pPr>
        <w:ind w:firstLine="567"/>
        <w:contextualSpacing/>
        <w:jc w:val="both"/>
        <w:rPr>
          <w:rFonts w:eastAsia="Calibri"/>
          <w:sz w:val="22"/>
          <w:szCs w:val="22"/>
        </w:rPr>
      </w:pPr>
      <w:r w:rsidRPr="00A65E9D">
        <w:rPr>
          <w:rFonts w:eastAsia="Calibri"/>
          <w:sz w:val="22"/>
          <w:szCs w:val="22"/>
        </w:rPr>
        <w:t xml:space="preserve">b) külföldön megjelent független hivatkozás hivatkozásonként 2 pont. </w:t>
      </w:r>
    </w:p>
    <w:p w14:paraId="278DA85D" w14:textId="77777777" w:rsidR="00FD0545" w:rsidRPr="00A65E9D" w:rsidRDefault="00FD0545" w:rsidP="00FD0545">
      <w:pPr>
        <w:contextualSpacing/>
        <w:jc w:val="both"/>
        <w:rPr>
          <w:rFonts w:eastAsia="Calibri"/>
          <w:sz w:val="22"/>
          <w:szCs w:val="22"/>
        </w:rPr>
      </w:pPr>
    </w:p>
    <w:p w14:paraId="0080B575"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(4) Az oktató értékelésébe PhD fokozatnál 5 pont, habilitáció esetén további 5 pont, az MTA Doktora címnél újabb 5 pont kerül. Ezeket a pontokat a fokozatszerzés évétől függetlenül minden évben hozzá kell adni az oktató pontszámához. Az MTA levelező és rendes tagja 20, illetőleg 30 ponttal értékelendő. </w:t>
      </w:r>
    </w:p>
    <w:p w14:paraId="64BDE96C" w14:textId="77777777" w:rsidR="00FD0545" w:rsidRPr="00A65E9D" w:rsidRDefault="00FD0545" w:rsidP="00FD0545">
      <w:pPr>
        <w:contextualSpacing/>
        <w:jc w:val="both"/>
        <w:rPr>
          <w:rFonts w:eastAsia="Calibri"/>
          <w:sz w:val="22"/>
          <w:szCs w:val="22"/>
        </w:rPr>
      </w:pPr>
    </w:p>
    <w:p w14:paraId="64B0BC9C" w14:textId="77777777" w:rsidR="00FD0545" w:rsidRPr="00A65E9D" w:rsidRDefault="00FD0545" w:rsidP="00FD0545">
      <w:pPr>
        <w:contextualSpacing/>
        <w:jc w:val="both"/>
        <w:rPr>
          <w:rFonts w:eastAsia="Calibri"/>
          <w:sz w:val="22"/>
          <w:szCs w:val="22"/>
        </w:rPr>
      </w:pPr>
      <w:r w:rsidRPr="00A65E9D">
        <w:rPr>
          <w:rFonts w:eastAsia="Calibri"/>
          <w:b/>
          <w:sz w:val="22"/>
          <w:szCs w:val="22"/>
        </w:rPr>
        <w:t>5. §</w:t>
      </w:r>
      <w:r w:rsidRPr="00A65E9D">
        <w:rPr>
          <w:rFonts w:eastAsia="Calibri"/>
          <w:sz w:val="22"/>
          <w:szCs w:val="22"/>
        </w:rPr>
        <w:t xml:space="preserve"> (1) A fiatal oktatók tudományos munkájának vezetése során legfeljebb 20 pont írható jóvá az alábbi szempontok figyelembevételével: </w:t>
      </w:r>
    </w:p>
    <w:p w14:paraId="6B4092F2"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három éven belül témavezetése mellett PhD fokozatot szerzett hallgatónként 10 pont, </w:t>
      </w:r>
    </w:p>
    <w:p w14:paraId="27524BCC"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három éven belül témavezetése mellett PhD abszolutóriumot szerzett hallgatónként 5 pont, </w:t>
      </w:r>
    </w:p>
    <w:p w14:paraId="1B328A95"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fokozattal nem rendelkező oktatókkal vagy doktoranduszokkal közösen megjelentetett </w:t>
      </w:r>
      <w:proofErr w:type="gramStart"/>
      <w:r w:rsidRPr="00A65E9D">
        <w:rPr>
          <w:rFonts w:eastAsia="Calibri"/>
          <w:sz w:val="22"/>
          <w:szCs w:val="22"/>
        </w:rPr>
        <w:t>publikációnként</w:t>
      </w:r>
      <w:proofErr w:type="gramEnd"/>
      <w:r w:rsidRPr="00A65E9D">
        <w:rPr>
          <w:rFonts w:eastAsia="Calibri"/>
          <w:sz w:val="22"/>
          <w:szCs w:val="22"/>
        </w:rPr>
        <w:t xml:space="preserve"> ívenként 5 pont, amennyiben az oktató a publikációt a 4. § alapján még nem számolta el. </w:t>
      </w:r>
    </w:p>
    <w:p w14:paraId="7CFB35D1" w14:textId="77777777" w:rsidR="00FD0545" w:rsidRPr="00A65E9D" w:rsidRDefault="00FD0545" w:rsidP="00FD0545">
      <w:pPr>
        <w:contextualSpacing/>
        <w:jc w:val="both"/>
        <w:rPr>
          <w:rFonts w:eastAsia="Calibri"/>
          <w:sz w:val="22"/>
          <w:szCs w:val="22"/>
        </w:rPr>
      </w:pPr>
    </w:p>
    <w:p w14:paraId="4C4C7BE6"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Nyelvtanárok esetében az oktatók idegen nyelvű publikációinak támogatása körében </w:t>
      </w:r>
    </w:p>
    <w:p w14:paraId="2D3A12D4"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tanulmány, szakcikk, könyv, tankönyv, illetve azok egy részének fordításáért ívenként 2 pont, </w:t>
      </w:r>
    </w:p>
    <w:p w14:paraId="27F1148D"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tanulmány, szakcikk, könyv, tankönyv, illetve azok egy részének lektorálásáért ívenként 1 pont korlátlan </w:t>
      </w:r>
      <w:proofErr w:type="spellStart"/>
      <w:r w:rsidRPr="00A65E9D">
        <w:rPr>
          <w:rFonts w:eastAsia="Calibri"/>
          <w:sz w:val="22"/>
          <w:szCs w:val="22"/>
        </w:rPr>
        <w:t>összpontszámban</w:t>
      </w:r>
      <w:proofErr w:type="spellEnd"/>
      <w:r w:rsidRPr="00A65E9D">
        <w:rPr>
          <w:rFonts w:eastAsia="Calibri"/>
          <w:sz w:val="22"/>
          <w:szCs w:val="22"/>
        </w:rPr>
        <w:t xml:space="preserve"> számolható el. </w:t>
      </w:r>
    </w:p>
    <w:p w14:paraId="66AE2E47" w14:textId="77777777" w:rsidR="00FD0545" w:rsidRPr="00A65E9D" w:rsidRDefault="00FD0545" w:rsidP="00FD0545">
      <w:pPr>
        <w:contextualSpacing/>
        <w:jc w:val="both"/>
        <w:rPr>
          <w:rFonts w:eastAsia="Calibri"/>
          <w:sz w:val="22"/>
          <w:szCs w:val="22"/>
        </w:rPr>
      </w:pPr>
    </w:p>
    <w:p w14:paraId="43323774" w14:textId="77777777" w:rsidR="00FD0545" w:rsidRPr="00A65E9D" w:rsidRDefault="00FD0545" w:rsidP="00FD0545">
      <w:pPr>
        <w:contextualSpacing/>
        <w:jc w:val="both"/>
        <w:rPr>
          <w:rFonts w:eastAsia="Calibri"/>
          <w:sz w:val="22"/>
          <w:szCs w:val="22"/>
        </w:rPr>
      </w:pPr>
      <w:r w:rsidRPr="00A65E9D">
        <w:rPr>
          <w:rFonts w:eastAsia="Calibri"/>
          <w:b/>
          <w:sz w:val="22"/>
          <w:szCs w:val="22"/>
        </w:rPr>
        <w:t>6. §</w:t>
      </w:r>
      <w:r w:rsidRPr="00A65E9D">
        <w:rPr>
          <w:rFonts w:eastAsia="Calibri"/>
          <w:sz w:val="22"/>
          <w:szCs w:val="22"/>
        </w:rPr>
        <w:t xml:space="preserve"> A kutatásszervezési eredményesség keretében, ha az oktató az elmúlt három évben </w:t>
      </w:r>
    </w:p>
    <w:p w14:paraId="788638ED"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eredményes tudományos pályázatokon vett részt (készített elő vagy vezetett), legfeljebb 15 ponttal, </w:t>
      </w:r>
    </w:p>
    <w:p w14:paraId="5042C97E"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rangos – hazai vagy külföldi – nemzetközi </w:t>
      </w:r>
      <w:proofErr w:type="gramStart"/>
      <w:r w:rsidRPr="00A65E9D">
        <w:rPr>
          <w:rFonts w:eastAsia="Calibri"/>
          <w:sz w:val="22"/>
          <w:szCs w:val="22"/>
        </w:rPr>
        <w:t>konferenciát</w:t>
      </w:r>
      <w:proofErr w:type="gramEnd"/>
      <w:r w:rsidRPr="00A65E9D">
        <w:rPr>
          <w:rFonts w:eastAsia="Calibri"/>
          <w:sz w:val="22"/>
          <w:szCs w:val="22"/>
        </w:rPr>
        <w:t xml:space="preserve"> szervezett, hazai konferencia esetében 5 ponttal, nemzetközi konferencia esetében 10 ponttal, </w:t>
      </w:r>
    </w:p>
    <w:p w14:paraId="2D38C81B"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tudományos folyóirat vagy periodika szerkesztője, sorozatszerkesztője és főszerkesztője 10 ponttal, </w:t>
      </w:r>
    </w:p>
    <w:p w14:paraId="76618BC5"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hitelt érdemlően igazolja részvételét a magyar szakmai-tudományos közéletben, legfeljebb 10 ponttal, mindösszesen legfeljebb 15 ponttal értékelhető. </w:t>
      </w:r>
    </w:p>
    <w:p w14:paraId="173C0E36" w14:textId="77777777" w:rsidR="00FD0545" w:rsidRPr="00A65E9D" w:rsidRDefault="00FD0545" w:rsidP="00FD0545">
      <w:pPr>
        <w:contextualSpacing/>
        <w:jc w:val="both"/>
        <w:rPr>
          <w:rFonts w:eastAsia="Calibri"/>
          <w:sz w:val="22"/>
          <w:szCs w:val="22"/>
        </w:rPr>
      </w:pPr>
    </w:p>
    <w:p w14:paraId="75F9FB04" w14:textId="77777777" w:rsidR="00FD0545" w:rsidRPr="00A65E9D" w:rsidRDefault="00FD0545" w:rsidP="00FD0545">
      <w:pPr>
        <w:contextualSpacing/>
        <w:jc w:val="both"/>
        <w:rPr>
          <w:rFonts w:eastAsia="Calibri"/>
          <w:sz w:val="22"/>
          <w:szCs w:val="22"/>
        </w:rPr>
      </w:pPr>
      <w:r w:rsidRPr="00A65E9D">
        <w:rPr>
          <w:rFonts w:eastAsia="Calibri"/>
          <w:b/>
          <w:sz w:val="22"/>
          <w:szCs w:val="22"/>
        </w:rPr>
        <w:t>7. §</w:t>
      </w:r>
      <w:r w:rsidRPr="00A65E9D">
        <w:rPr>
          <w:rFonts w:eastAsia="Calibri"/>
          <w:sz w:val="22"/>
          <w:szCs w:val="22"/>
        </w:rPr>
        <w:t xml:space="preserve"> (1) A nemzetközi ismertség, elismertség keretében legfeljebb 15 ponttal értékelhető, ha az oktató az elmúlt három évben </w:t>
      </w:r>
    </w:p>
    <w:p w14:paraId="121FBAA6"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a) nemzetközi </w:t>
      </w:r>
      <w:proofErr w:type="gramStart"/>
      <w:r w:rsidRPr="00A65E9D">
        <w:rPr>
          <w:rFonts w:eastAsia="Calibri"/>
          <w:sz w:val="22"/>
          <w:szCs w:val="22"/>
        </w:rPr>
        <w:t>konferencia</w:t>
      </w:r>
      <w:proofErr w:type="gramEnd"/>
      <w:r w:rsidRPr="00A65E9D">
        <w:rPr>
          <w:rFonts w:eastAsia="Calibri"/>
          <w:sz w:val="22"/>
          <w:szCs w:val="22"/>
        </w:rPr>
        <w:t xml:space="preserve"> tisztségekre, plenáris előadásokra való felkérésben részesült; </w:t>
      </w:r>
    </w:p>
    <w:p w14:paraId="66481EE3"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választott rangos tisztséget, szakmai díjat, elismerést kapott; </w:t>
      </w:r>
    </w:p>
    <w:p w14:paraId="77D5C739"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nemzetközi tudományos folyóiratnál szerkesztő-bizottsági tagsággal rendelkezik, </w:t>
      </w:r>
    </w:p>
    <w:p w14:paraId="5F48D0F6"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nemzetközi szakmai fórumokon jelent meg vagy kapott díjakat. </w:t>
      </w:r>
    </w:p>
    <w:p w14:paraId="078565EE" w14:textId="77777777" w:rsidR="00FD0545" w:rsidRPr="00A65E9D" w:rsidRDefault="00FD0545" w:rsidP="00FD0545">
      <w:pPr>
        <w:contextualSpacing/>
        <w:jc w:val="both"/>
        <w:rPr>
          <w:rFonts w:eastAsia="Calibri"/>
          <w:sz w:val="22"/>
          <w:szCs w:val="22"/>
        </w:rPr>
      </w:pPr>
    </w:p>
    <w:p w14:paraId="23A418E7"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Az (1) bekezdés d) pontja alapján szakmai fórumonként legfeljebb 5 pont számolható el. </w:t>
      </w:r>
    </w:p>
    <w:p w14:paraId="695C2DA8" w14:textId="77777777" w:rsidR="00FD0545" w:rsidRPr="00A65E9D" w:rsidRDefault="00FD0545" w:rsidP="00FD0545">
      <w:pPr>
        <w:contextualSpacing/>
        <w:jc w:val="both"/>
        <w:rPr>
          <w:rFonts w:eastAsia="Calibri"/>
          <w:sz w:val="22"/>
          <w:szCs w:val="22"/>
        </w:rPr>
      </w:pPr>
    </w:p>
    <w:p w14:paraId="10507AC6" w14:textId="77777777" w:rsidR="00FD0545" w:rsidRPr="00A65E9D" w:rsidRDefault="00FD0545" w:rsidP="00FD0545">
      <w:pPr>
        <w:contextualSpacing/>
        <w:jc w:val="center"/>
        <w:rPr>
          <w:rFonts w:eastAsia="Calibri"/>
          <w:b/>
          <w:sz w:val="22"/>
          <w:szCs w:val="22"/>
        </w:rPr>
      </w:pPr>
      <w:r w:rsidRPr="00A65E9D">
        <w:rPr>
          <w:rFonts w:eastAsia="Calibri"/>
          <w:b/>
          <w:sz w:val="22"/>
          <w:szCs w:val="22"/>
        </w:rPr>
        <w:t>Oktatási-oktatásfejlesztési tevékenység</w:t>
      </w:r>
    </w:p>
    <w:p w14:paraId="7A82B141" w14:textId="77777777" w:rsidR="00FD0545" w:rsidRPr="00A65E9D" w:rsidRDefault="00FD0545" w:rsidP="00FD0545">
      <w:pPr>
        <w:contextualSpacing/>
        <w:jc w:val="center"/>
        <w:rPr>
          <w:rFonts w:eastAsia="Calibri"/>
          <w:sz w:val="22"/>
          <w:szCs w:val="22"/>
        </w:rPr>
      </w:pPr>
    </w:p>
    <w:p w14:paraId="02D6F4B7" w14:textId="77777777" w:rsidR="00FD0545" w:rsidRPr="00A65E9D" w:rsidRDefault="00FD0545" w:rsidP="00FD0545">
      <w:pPr>
        <w:contextualSpacing/>
        <w:jc w:val="both"/>
        <w:rPr>
          <w:rFonts w:eastAsia="Calibri"/>
          <w:sz w:val="22"/>
          <w:szCs w:val="22"/>
        </w:rPr>
      </w:pPr>
      <w:r w:rsidRPr="00A65E9D">
        <w:rPr>
          <w:rFonts w:eastAsia="Calibri"/>
          <w:b/>
          <w:sz w:val="22"/>
          <w:szCs w:val="22"/>
        </w:rPr>
        <w:t>8. §</w:t>
      </w:r>
      <w:r w:rsidRPr="00A65E9D">
        <w:rPr>
          <w:rFonts w:eastAsia="Calibri"/>
          <w:sz w:val="22"/>
          <w:szCs w:val="22"/>
        </w:rPr>
        <w:t xml:space="preserve"> Az oktatási-oktatásfejlesztési tevékenység fő értékelési szempontjai: </w:t>
      </w:r>
    </w:p>
    <w:p w14:paraId="0B76CBC1" w14:textId="77777777" w:rsidR="00FD0545" w:rsidRPr="00A65E9D" w:rsidRDefault="00FD0545" w:rsidP="00FD0545">
      <w:pPr>
        <w:ind w:firstLine="567"/>
        <w:contextualSpacing/>
        <w:jc w:val="both"/>
        <w:rPr>
          <w:rFonts w:eastAsia="Calibri"/>
          <w:sz w:val="22"/>
          <w:szCs w:val="22"/>
        </w:rPr>
      </w:pPr>
      <w:proofErr w:type="gramStart"/>
      <w:r w:rsidRPr="00A65E9D">
        <w:rPr>
          <w:rFonts w:eastAsia="Calibri"/>
          <w:sz w:val="22"/>
          <w:szCs w:val="22"/>
        </w:rPr>
        <w:t>a</w:t>
      </w:r>
      <w:proofErr w:type="gramEnd"/>
      <w:r w:rsidRPr="00A65E9D">
        <w:rPr>
          <w:rFonts w:eastAsia="Calibri"/>
          <w:sz w:val="22"/>
          <w:szCs w:val="22"/>
        </w:rPr>
        <w:t xml:space="preserve">) oktatási tapasztalat, hallgatók tanulmányi, tudományos munkájának vezetése, </w:t>
      </w:r>
    </w:p>
    <w:p w14:paraId="6773523A" w14:textId="77777777" w:rsidR="00FD0545" w:rsidRPr="00A65E9D" w:rsidRDefault="00FD0545" w:rsidP="00FD0545">
      <w:pPr>
        <w:ind w:firstLine="567"/>
        <w:contextualSpacing/>
        <w:jc w:val="both"/>
        <w:rPr>
          <w:rFonts w:eastAsia="Calibri"/>
          <w:sz w:val="22"/>
          <w:szCs w:val="22"/>
        </w:rPr>
      </w:pPr>
      <w:r w:rsidRPr="00A65E9D">
        <w:rPr>
          <w:rFonts w:eastAsia="Calibri"/>
          <w:sz w:val="22"/>
          <w:szCs w:val="22"/>
        </w:rPr>
        <w:t xml:space="preserve">b) idegen nyelvű előadás, </w:t>
      </w:r>
    </w:p>
    <w:p w14:paraId="4E2664DC" w14:textId="77777777" w:rsidR="00FD0545" w:rsidRPr="00A65E9D" w:rsidRDefault="00FD0545" w:rsidP="00FD0545">
      <w:pPr>
        <w:ind w:firstLine="567"/>
        <w:contextualSpacing/>
        <w:jc w:val="both"/>
        <w:rPr>
          <w:rFonts w:eastAsia="Calibri"/>
          <w:sz w:val="22"/>
          <w:szCs w:val="22"/>
        </w:rPr>
      </w:pPr>
      <w:r w:rsidRPr="00A65E9D">
        <w:rPr>
          <w:rFonts w:eastAsia="Calibri"/>
          <w:sz w:val="22"/>
          <w:szCs w:val="22"/>
        </w:rPr>
        <w:t xml:space="preserve">c) oktatásfejlesztési tevékenység. </w:t>
      </w:r>
    </w:p>
    <w:p w14:paraId="31F828C2" w14:textId="77777777" w:rsidR="00FD0545" w:rsidRPr="00A65E9D" w:rsidRDefault="00FD0545" w:rsidP="00FD0545">
      <w:pPr>
        <w:contextualSpacing/>
        <w:jc w:val="both"/>
        <w:rPr>
          <w:rFonts w:eastAsia="Calibri"/>
          <w:sz w:val="22"/>
          <w:szCs w:val="22"/>
        </w:rPr>
      </w:pPr>
    </w:p>
    <w:p w14:paraId="18407657" w14:textId="77777777" w:rsidR="00FD0545" w:rsidRPr="00A65E9D" w:rsidRDefault="00FD0545" w:rsidP="00FD0545">
      <w:pPr>
        <w:contextualSpacing/>
        <w:jc w:val="both"/>
        <w:rPr>
          <w:rFonts w:eastAsia="Calibri"/>
          <w:sz w:val="22"/>
          <w:szCs w:val="22"/>
        </w:rPr>
      </w:pPr>
      <w:r w:rsidRPr="00A65E9D">
        <w:rPr>
          <w:rFonts w:eastAsia="Calibri"/>
          <w:b/>
          <w:sz w:val="22"/>
          <w:szCs w:val="22"/>
        </w:rPr>
        <w:t>9. §</w:t>
      </w:r>
      <w:r w:rsidRPr="00A65E9D">
        <w:rPr>
          <w:rFonts w:eastAsia="Calibri"/>
          <w:sz w:val="22"/>
          <w:szCs w:val="22"/>
        </w:rPr>
        <w:t xml:space="preserve"> (1) Az oktatási tevékenység során összesen 40 pont szerezhető az alábbi bontásban: </w:t>
      </w:r>
    </w:p>
    <w:p w14:paraId="7C08B59A"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a) az adott tanévben valamennyi munkarenden 26 </w:t>
      </w:r>
      <w:proofErr w:type="gramStart"/>
      <w:r w:rsidRPr="00A65E9D">
        <w:rPr>
          <w:rFonts w:eastAsia="Calibri"/>
          <w:sz w:val="22"/>
          <w:szCs w:val="22"/>
        </w:rPr>
        <w:t>kontakt óránként</w:t>
      </w:r>
      <w:proofErr w:type="gramEnd"/>
      <w:r w:rsidRPr="00A65E9D">
        <w:rPr>
          <w:rFonts w:eastAsia="Calibri"/>
          <w:sz w:val="22"/>
          <w:szCs w:val="22"/>
        </w:rPr>
        <w:t xml:space="preserve"> 4 pont, </w:t>
      </w:r>
    </w:p>
    <w:p w14:paraId="752BD884"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b) vizsgáztatásért – ideértve a nem </w:t>
      </w:r>
      <w:proofErr w:type="gramStart"/>
      <w:r w:rsidRPr="00A65E9D">
        <w:rPr>
          <w:rFonts w:eastAsia="Calibri"/>
          <w:sz w:val="22"/>
          <w:szCs w:val="22"/>
        </w:rPr>
        <w:t>kontakt órák</w:t>
      </w:r>
      <w:proofErr w:type="gramEnd"/>
      <w:r w:rsidRPr="00A65E9D">
        <w:rPr>
          <w:rFonts w:eastAsia="Calibri"/>
          <w:sz w:val="22"/>
          <w:szCs w:val="22"/>
        </w:rPr>
        <w:t xml:space="preserve">, valamint a gyakorlati dolgozatok javítását is – vizsgáztatott 20 hallgatónként 1 pont, de legfeljebb 10 pont, </w:t>
      </w:r>
    </w:p>
    <w:p w14:paraId="2E1E3EA9"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c) a doktori iskola oktatójaként, tanórán kívüli foglalkozások, felzárkóztatás, tehetséggondozás terén hallgatónként 1, de legfeljebb 5 pont azzal, hogy OTDK-n díjazott témavezetés esetén az 5 pontot meg kell adni, </w:t>
      </w:r>
    </w:p>
    <w:p w14:paraId="595692DD"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t xml:space="preserve">d) szak- és évfolyam-dolgozat készítésével kapcsolatos konzultációért elkészült évfolyamdolgozatonként 0,5, szakdolgozatonként 1 pont, </w:t>
      </w:r>
    </w:p>
    <w:p w14:paraId="694D0E56" w14:textId="77777777" w:rsidR="00FD0545" w:rsidRPr="00A65E9D" w:rsidRDefault="00FD0545" w:rsidP="00FD0545">
      <w:pPr>
        <w:ind w:left="567"/>
        <w:contextualSpacing/>
        <w:jc w:val="both"/>
        <w:rPr>
          <w:rFonts w:eastAsia="Calibri"/>
          <w:sz w:val="22"/>
          <w:szCs w:val="22"/>
        </w:rPr>
      </w:pPr>
      <w:r w:rsidRPr="00A65E9D">
        <w:rPr>
          <w:rFonts w:eastAsia="Calibri"/>
          <w:sz w:val="22"/>
          <w:szCs w:val="22"/>
        </w:rPr>
        <w:lastRenderedPageBreak/>
        <w:t xml:space="preserve">e) doktori képzésben résztvevő hallgatóval folytatott </w:t>
      </w:r>
      <w:proofErr w:type="gramStart"/>
      <w:r w:rsidRPr="00A65E9D">
        <w:rPr>
          <w:rFonts w:eastAsia="Calibri"/>
          <w:sz w:val="22"/>
          <w:szCs w:val="22"/>
        </w:rPr>
        <w:t>konzultációt</w:t>
      </w:r>
      <w:proofErr w:type="gramEnd"/>
      <w:r w:rsidRPr="00A65E9D">
        <w:rPr>
          <w:rFonts w:eastAsia="Calibri"/>
          <w:sz w:val="22"/>
          <w:szCs w:val="22"/>
        </w:rPr>
        <w:t xml:space="preserve"> tanévenként 5 ponttal kell figyelembe venni (társ-témavezetés esetén mindkét témavezető részére),</w:t>
      </w:r>
    </w:p>
    <w:p w14:paraId="4C2BE237" w14:textId="77777777" w:rsidR="00FD0545" w:rsidRPr="00A65E9D" w:rsidRDefault="00FD0545" w:rsidP="00FD0545">
      <w:pPr>
        <w:ind w:left="567"/>
        <w:contextualSpacing/>
        <w:jc w:val="both"/>
        <w:rPr>
          <w:rFonts w:eastAsia="Calibri"/>
          <w:sz w:val="22"/>
          <w:szCs w:val="22"/>
        </w:rPr>
      </w:pPr>
      <w:proofErr w:type="gramStart"/>
      <w:r w:rsidRPr="00A65E9D">
        <w:rPr>
          <w:rFonts w:eastAsia="Calibri"/>
          <w:sz w:val="22"/>
          <w:szCs w:val="22"/>
        </w:rPr>
        <w:t>f</w:t>
      </w:r>
      <w:proofErr w:type="gramEnd"/>
      <w:r w:rsidRPr="00A65E9D">
        <w:rPr>
          <w:rFonts w:eastAsia="Calibri"/>
          <w:sz w:val="22"/>
          <w:szCs w:val="22"/>
        </w:rPr>
        <w:t xml:space="preserve">) a hallgatói elégedettség mérés alapján 80 százalékos eredmény felett 5 pont. </w:t>
      </w:r>
    </w:p>
    <w:p w14:paraId="4A92442D" w14:textId="77777777" w:rsidR="00FD0545" w:rsidRPr="00A65E9D" w:rsidRDefault="00FD0545" w:rsidP="00FD0545">
      <w:pPr>
        <w:contextualSpacing/>
        <w:jc w:val="both"/>
        <w:rPr>
          <w:rFonts w:eastAsia="Calibri"/>
          <w:sz w:val="22"/>
          <w:szCs w:val="22"/>
        </w:rPr>
      </w:pPr>
    </w:p>
    <w:p w14:paraId="684E5746"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Az egyetem más </w:t>
      </w:r>
      <w:proofErr w:type="spellStart"/>
      <w:r w:rsidRPr="00A65E9D">
        <w:rPr>
          <w:rFonts w:eastAsia="Calibri"/>
          <w:sz w:val="22"/>
          <w:szCs w:val="22"/>
        </w:rPr>
        <w:t>karain</w:t>
      </w:r>
      <w:proofErr w:type="spellEnd"/>
      <w:r w:rsidRPr="00A65E9D">
        <w:rPr>
          <w:rFonts w:eastAsia="Calibri"/>
          <w:sz w:val="22"/>
          <w:szCs w:val="22"/>
        </w:rPr>
        <w:t xml:space="preserve"> folytatott oktatási tevékenységet abban az esetben lehet figyelembe venni, ha az oktató e tevékenységért díjazásban nem részesül. </w:t>
      </w:r>
    </w:p>
    <w:p w14:paraId="20770BF9" w14:textId="77777777" w:rsidR="00FD0545" w:rsidRPr="00A65E9D" w:rsidRDefault="00FD0545" w:rsidP="00FD0545">
      <w:pPr>
        <w:contextualSpacing/>
        <w:jc w:val="both"/>
        <w:rPr>
          <w:rFonts w:eastAsia="Calibri"/>
          <w:sz w:val="22"/>
          <w:szCs w:val="22"/>
        </w:rPr>
      </w:pPr>
    </w:p>
    <w:p w14:paraId="12130662"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(3) A szakirányú továbbképzésben vagy a Kar által szervezett más ún. </w:t>
      </w:r>
      <w:proofErr w:type="gramStart"/>
      <w:r w:rsidRPr="00A65E9D">
        <w:rPr>
          <w:rFonts w:eastAsia="Calibri"/>
          <w:sz w:val="22"/>
          <w:szCs w:val="22"/>
        </w:rPr>
        <w:t>rövid</w:t>
      </w:r>
      <w:proofErr w:type="gramEnd"/>
      <w:r w:rsidRPr="00A65E9D">
        <w:rPr>
          <w:rFonts w:eastAsia="Calibri"/>
          <w:sz w:val="22"/>
          <w:szCs w:val="22"/>
        </w:rPr>
        <w:t xml:space="preserve"> tartamú képzésben teljesített tanításra fordított időt abban az esetben lehet figyelembe venni, ha az oktató e tevékenységért díjazásban nem részesül. </w:t>
      </w:r>
    </w:p>
    <w:p w14:paraId="7EE8968B" w14:textId="77777777" w:rsidR="00FD0545" w:rsidRPr="00A65E9D" w:rsidRDefault="00FD0545" w:rsidP="00FD0545">
      <w:pPr>
        <w:contextualSpacing/>
        <w:jc w:val="both"/>
        <w:rPr>
          <w:rFonts w:eastAsia="Calibri"/>
          <w:sz w:val="22"/>
          <w:szCs w:val="22"/>
        </w:rPr>
      </w:pPr>
    </w:p>
    <w:p w14:paraId="3BE4547F"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(4) Nyelvtanárok esetén az (1) bekezdés a) pontja alapján 40 pontnál több is elszámolható. </w:t>
      </w:r>
    </w:p>
    <w:p w14:paraId="418A6BAC" w14:textId="77777777" w:rsidR="00FD0545" w:rsidRPr="00A65E9D" w:rsidRDefault="00FD0545" w:rsidP="00FD0545">
      <w:pPr>
        <w:contextualSpacing/>
        <w:jc w:val="both"/>
        <w:rPr>
          <w:rFonts w:eastAsia="Calibri"/>
          <w:sz w:val="22"/>
          <w:szCs w:val="22"/>
        </w:rPr>
      </w:pPr>
    </w:p>
    <w:p w14:paraId="76516FA9"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(5) A dékán az (1) bekezdés d)-f) pontjában járó pontok megítélését megtagadja abban az esetben, ha az érintett oktató a hallgatókkal való kapcsolattartás szabályaira vonatkozó dékáni utasítás rendelkezéseit megszegte. </w:t>
      </w:r>
    </w:p>
    <w:p w14:paraId="2D359FDB" w14:textId="77777777" w:rsidR="00FD0545" w:rsidRPr="00A65E9D" w:rsidRDefault="00FD0545" w:rsidP="00FD0545">
      <w:pPr>
        <w:contextualSpacing/>
        <w:jc w:val="both"/>
        <w:rPr>
          <w:rFonts w:eastAsia="Calibri"/>
          <w:sz w:val="22"/>
          <w:szCs w:val="22"/>
        </w:rPr>
      </w:pPr>
    </w:p>
    <w:p w14:paraId="7D4258F7" w14:textId="77777777" w:rsidR="00FD0545" w:rsidRPr="00A65E9D" w:rsidRDefault="00FD0545" w:rsidP="00FD0545">
      <w:pPr>
        <w:contextualSpacing/>
        <w:jc w:val="both"/>
        <w:rPr>
          <w:rFonts w:eastAsia="Calibri"/>
          <w:sz w:val="22"/>
          <w:szCs w:val="22"/>
        </w:rPr>
      </w:pPr>
      <w:r w:rsidRPr="00A65E9D">
        <w:rPr>
          <w:rFonts w:eastAsia="Calibri"/>
          <w:b/>
          <w:sz w:val="22"/>
          <w:szCs w:val="22"/>
        </w:rPr>
        <w:t>10. §</w:t>
      </w:r>
      <w:r w:rsidRPr="00A65E9D">
        <w:rPr>
          <w:rFonts w:eastAsia="Calibri"/>
          <w:sz w:val="22"/>
          <w:szCs w:val="22"/>
        </w:rPr>
        <w:t xml:space="preserve"> Ha az oktató az értékelt időszakban legalább egy idegen nyelvű tárgyat oktatott heti 2 órában vagy külföldön oktatott legalább 5 órában, 20 pontot kap azzal, hogy az értékelt tanévben az e § szerinti tevékenységi körök közül kizárólag egy számolható el. </w:t>
      </w:r>
    </w:p>
    <w:p w14:paraId="755BF5B6" w14:textId="77777777" w:rsidR="00FD0545" w:rsidRPr="00A65E9D" w:rsidRDefault="00FD0545" w:rsidP="00FD0545">
      <w:pPr>
        <w:contextualSpacing/>
        <w:jc w:val="both"/>
        <w:rPr>
          <w:rFonts w:eastAsia="Calibri"/>
          <w:sz w:val="22"/>
          <w:szCs w:val="22"/>
        </w:rPr>
      </w:pPr>
    </w:p>
    <w:p w14:paraId="63EE3C3A" w14:textId="77777777" w:rsidR="00FD0545" w:rsidRPr="00A65E9D" w:rsidRDefault="00FD0545" w:rsidP="00FD0545">
      <w:pPr>
        <w:contextualSpacing/>
        <w:jc w:val="both"/>
        <w:rPr>
          <w:rFonts w:eastAsia="Calibri"/>
          <w:sz w:val="22"/>
          <w:szCs w:val="22"/>
        </w:rPr>
      </w:pPr>
      <w:r w:rsidRPr="00A65E9D">
        <w:rPr>
          <w:rFonts w:eastAsia="Calibri"/>
          <w:b/>
          <w:sz w:val="22"/>
          <w:szCs w:val="22"/>
        </w:rPr>
        <w:t>11. §</w:t>
      </w:r>
      <w:r w:rsidRPr="00A65E9D">
        <w:rPr>
          <w:rFonts w:eastAsia="Calibri"/>
          <w:sz w:val="22"/>
          <w:szCs w:val="22"/>
        </w:rPr>
        <w:t xml:space="preserve"> (1) Az oktatásfejlesztési tevékenység keretében az elmúlt 3 évben megjelent egyetemi jegyzetnél ívenként 2, idegen nyelvű jegyzetnél ívenként 3, egyetemi tankönyvnél ívenként 4 – idegen nyelvű tankönyv esetében 6 – pont jár. Az elmúlt 3 évben megjelent egyetemi jegyzet szerkesztéséért vagy lektorálásáért (terjedelemtől függetlenül) 5, egyetemi tankönyv esetén 10 pont jár. Ebben az esetben a publikáció a 4. § alapján nem számolható el. </w:t>
      </w:r>
    </w:p>
    <w:p w14:paraId="458979AD" w14:textId="77777777" w:rsidR="00FD0545" w:rsidRPr="00A65E9D" w:rsidRDefault="00FD0545" w:rsidP="00FD0545">
      <w:pPr>
        <w:contextualSpacing/>
        <w:jc w:val="both"/>
        <w:rPr>
          <w:rFonts w:eastAsia="Calibri"/>
          <w:sz w:val="22"/>
          <w:szCs w:val="22"/>
        </w:rPr>
      </w:pPr>
    </w:p>
    <w:p w14:paraId="460DBE4F"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Az oktatásfejlesztési tevékenység keretében beszámítható, ha az oktató az elmúlt három évben innovatív tematikákat, új módszereket vezetett be, új képzési programot vagy tantárgyat dolgozott ki, illetőleg oktatási segédletet készített. Új képzési program indításáért az indítást követő három évben 20 pontot, több elindított képzés esetben legfeljebb további 10 pontot lehet megítélni. </w:t>
      </w:r>
    </w:p>
    <w:p w14:paraId="184ABC16" w14:textId="77777777" w:rsidR="00FD0545" w:rsidRPr="00A65E9D" w:rsidRDefault="00FD0545" w:rsidP="00FD0545">
      <w:pPr>
        <w:contextualSpacing/>
        <w:jc w:val="both"/>
        <w:rPr>
          <w:rFonts w:eastAsia="Calibri"/>
          <w:sz w:val="22"/>
          <w:szCs w:val="22"/>
        </w:rPr>
      </w:pPr>
    </w:p>
    <w:p w14:paraId="061E543D"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(3) Amennyiben az oktató (nyelvtanár) az értékelt tanévben akkreditált szaknyelvi nyelvvizsga vizsgafeladatainak fejlesztésében (kidolgozásában vagy moderálásában) vett részt, vizsgarészenként 2 pont, de legfeljebb 10 pont számolható el. </w:t>
      </w:r>
    </w:p>
    <w:p w14:paraId="54925D22" w14:textId="77777777" w:rsidR="00FD0545" w:rsidRPr="00A65E9D" w:rsidRDefault="00FD0545" w:rsidP="00FD0545">
      <w:pPr>
        <w:contextualSpacing/>
        <w:jc w:val="both"/>
        <w:rPr>
          <w:rFonts w:eastAsia="Calibri"/>
          <w:sz w:val="22"/>
          <w:szCs w:val="22"/>
        </w:rPr>
      </w:pPr>
    </w:p>
    <w:p w14:paraId="0E0BCB4E"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(4) Az (1)-(3) bekezdés alapján az oktató összesen legfeljebb 40 pontot kaphat. </w:t>
      </w:r>
    </w:p>
    <w:p w14:paraId="75831CAA" w14:textId="77777777" w:rsidR="00FD0545" w:rsidRPr="00A65E9D" w:rsidRDefault="00FD0545" w:rsidP="00FD0545">
      <w:pPr>
        <w:contextualSpacing/>
        <w:jc w:val="both"/>
        <w:rPr>
          <w:rFonts w:eastAsia="Calibri"/>
          <w:sz w:val="22"/>
          <w:szCs w:val="22"/>
        </w:rPr>
      </w:pPr>
    </w:p>
    <w:p w14:paraId="41EFA1D7" w14:textId="77777777" w:rsidR="00FD0545" w:rsidRPr="00A65E9D" w:rsidRDefault="00FD0545" w:rsidP="00FD0545">
      <w:pPr>
        <w:contextualSpacing/>
        <w:jc w:val="both"/>
        <w:rPr>
          <w:rFonts w:eastAsia="Calibri"/>
          <w:sz w:val="22"/>
          <w:szCs w:val="22"/>
        </w:rPr>
      </w:pPr>
      <w:r w:rsidRPr="00A65E9D">
        <w:rPr>
          <w:rFonts w:eastAsia="Calibri"/>
          <w:b/>
          <w:sz w:val="22"/>
          <w:szCs w:val="22"/>
        </w:rPr>
        <w:t>12. §</w:t>
      </w:r>
      <w:r w:rsidRPr="00A65E9D">
        <w:rPr>
          <w:rFonts w:eastAsia="Calibri"/>
          <w:sz w:val="22"/>
          <w:szCs w:val="22"/>
        </w:rPr>
        <w:t xml:space="preserve"> (1) Az intézmény vagy a kar vezetése, tevékenységének szervezése körében végzett tevékenységet a (2)-(8) bekezdés szerint kell figyelembe venni. </w:t>
      </w:r>
    </w:p>
    <w:p w14:paraId="21208727" w14:textId="77777777" w:rsidR="00FD0545" w:rsidRPr="00A65E9D" w:rsidRDefault="00FD0545" w:rsidP="00FD0545">
      <w:pPr>
        <w:contextualSpacing/>
        <w:jc w:val="both"/>
        <w:rPr>
          <w:rFonts w:eastAsia="Calibri"/>
          <w:sz w:val="22"/>
          <w:szCs w:val="22"/>
        </w:rPr>
      </w:pPr>
    </w:p>
    <w:p w14:paraId="77EDB908"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A dékáni, rektori és rektor-helyettesi tevékenységet tanévenként 15 ponttal kell figyelembe venni. </w:t>
      </w:r>
    </w:p>
    <w:p w14:paraId="75E06E40" w14:textId="77777777" w:rsidR="00FD0545" w:rsidRPr="00A65E9D" w:rsidRDefault="00FD0545" w:rsidP="00FD0545">
      <w:pPr>
        <w:contextualSpacing/>
        <w:jc w:val="both"/>
        <w:rPr>
          <w:rFonts w:eastAsia="Calibri"/>
          <w:sz w:val="22"/>
          <w:szCs w:val="22"/>
        </w:rPr>
      </w:pPr>
    </w:p>
    <w:p w14:paraId="3DF28150"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(3) A dékán-helyettesi tevékenységet 10 ponttal kell figyelembe venni. </w:t>
      </w:r>
    </w:p>
    <w:p w14:paraId="1B57C1D7" w14:textId="77777777" w:rsidR="00FD0545" w:rsidRPr="00A65E9D" w:rsidRDefault="00FD0545" w:rsidP="00FD0545">
      <w:pPr>
        <w:contextualSpacing/>
        <w:jc w:val="both"/>
        <w:rPr>
          <w:rFonts w:eastAsia="Calibri"/>
          <w:sz w:val="22"/>
          <w:szCs w:val="22"/>
        </w:rPr>
      </w:pPr>
    </w:p>
    <w:p w14:paraId="10B41E8A"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(4) A tanszékvezetői tevékenységet 5 ponttal kell figyelembe venni. </w:t>
      </w:r>
    </w:p>
    <w:p w14:paraId="690447E8" w14:textId="77777777" w:rsidR="00FD0545" w:rsidRPr="00A65E9D" w:rsidRDefault="00FD0545" w:rsidP="00FD0545">
      <w:pPr>
        <w:contextualSpacing/>
        <w:jc w:val="both"/>
        <w:rPr>
          <w:rFonts w:eastAsia="Calibri"/>
          <w:sz w:val="22"/>
          <w:szCs w:val="22"/>
        </w:rPr>
      </w:pPr>
    </w:p>
    <w:p w14:paraId="64477CD3"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(5) A kari vagy intézményi (szenátusi) bizottsági elnökséget, illetőleg a kari csoportvezetői tevékenységet 5, a kari vagy intézményi (szenátusi) bizottsági tagságot 2 ponttal kell figyelembe venni azzal, hogy e bekezdésben szabályozott tevékenységekért legfeljebb 10 pont szerezhető. </w:t>
      </w:r>
    </w:p>
    <w:p w14:paraId="258C99EC"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(6) A szak (tagozat, szakirányú továbbképzési szak, hazai akkreditált vagy nemzetközi szaknyelvi nyelvvizsga) vezetésében vagy szervezésében kifejtett tevékenységet 10 ponttal kell figyelembe venni, azzal, hogy a pontszám legfeljebb két szak esetében számolható el. </w:t>
      </w:r>
    </w:p>
    <w:p w14:paraId="1DF9C276" w14:textId="77777777" w:rsidR="00FD0545" w:rsidRPr="00A65E9D" w:rsidRDefault="00FD0545" w:rsidP="00FD0545">
      <w:pPr>
        <w:contextualSpacing/>
        <w:jc w:val="both"/>
        <w:rPr>
          <w:rFonts w:eastAsia="Calibri"/>
          <w:sz w:val="22"/>
          <w:szCs w:val="22"/>
        </w:rPr>
      </w:pPr>
    </w:p>
    <w:p w14:paraId="11A5E689" w14:textId="77777777" w:rsidR="00FD0545" w:rsidRPr="00A65E9D" w:rsidRDefault="00FD0545" w:rsidP="00FD0545">
      <w:pPr>
        <w:contextualSpacing/>
        <w:jc w:val="both"/>
        <w:rPr>
          <w:rFonts w:eastAsia="Calibri"/>
          <w:sz w:val="22"/>
          <w:szCs w:val="22"/>
        </w:rPr>
      </w:pPr>
      <w:r w:rsidRPr="00A65E9D">
        <w:rPr>
          <w:rFonts w:eastAsia="Calibri"/>
          <w:sz w:val="22"/>
          <w:szCs w:val="22"/>
        </w:rPr>
        <w:lastRenderedPageBreak/>
        <w:t>(7) A dékán az e §-</w:t>
      </w:r>
      <w:proofErr w:type="spellStart"/>
      <w:r w:rsidRPr="00A65E9D">
        <w:rPr>
          <w:rFonts w:eastAsia="Calibri"/>
          <w:sz w:val="22"/>
          <w:szCs w:val="22"/>
        </w:rPr>
        <w:t>ban</w:t>
      </w:r>
      <w:proofErr w:type="spellEnd"/>
      <w:r w:rsidRPr="00A65E9D">
        <w:rPr>
          <w:rFonts w:eastAsia="Calibri"/>
          <w:sz w:val="22"/>
          <w:szCs w:val="22"/>
        </w:rPr>
        <w:t xml:space="preserve"> meghatározottakon túl, legfeljebb 10 pont értékben egyéb, a kar érdekében kifejtett, az (l) bekezdésben meghatározott tevékenységet is figyelembe venni rendelhet. E körben az Óriás Nándor Szakkollégiumban és a kari Kreditátviteli Bizottságban végzett elnöki tevékenységet 10 ponttal, a </w:t>
      </w:r>
      <w:proofErr w:type="gramStart"/>
      <w:r w:rsidRPr="00A65E9D">
        <w:rPr>
          <w:rFonts w:eastAsia="Calibri"/>
          <w:sz w:val="22"/>
          <w:szCs w:val="22"/>
        </w:rPr>
        <w:t>mentori</w:t>
      </w:r>
      <w:proofErr w:type="gramEnd"/>
      <w:r w:rsidRPr="00A65E9D">
        <w:rPr>
          <w:rFonts w:eastAsia="Calibri"/>
          <w:sz w:val="22"/>
          <w:szCs w:val="22"/>
        </w:rPr>
        <w:t xml:space="preserve"> és a kari Kreditátviteli Bizottságban végzett tagi tevékenységet 5 ponttal kell figyelembe venni. </w:t>
      </w:r>
    </w:p>
    <w:p w14:paraId="2489DC0E" w14:textId="77777777" w:rsidR="00FD0545" w:rsidRPr="00A65E9D" w:rsidRDefault="00FD0545" w:rsidP="00FD0545">
      <w:pPr>
        <w:contextualSpacing/>
        <w:jc w:val="both"/>
        <w:rPr>
          <w:rFonts w:eastAsia="Calibri"/>
          <w:sz w:val="22"/>
          <w:szCs w:val="22"/>
        </w:rPr>
      </w:pPr>
    </w:p>
    <w:p w14:paraId="57CBC719"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(8) Az e § szerint számított pontszámok közül mindösszesen legfeljebb 20 pontot lehet figyelembe venni. </w:t>
      </w:r>
    </w:p>
    <w:p w14:paraId="3FA1E4E5" w14:textId="77777777" w:rsidR="00FD0545" w:rsidRPr="00A65E9D" w:rsidRDefault="00FD0545" w:rsidP="00FD0545">
      <w:pPr>
        <w:contextualSpacing/>
        <w:jc w:val="both"/>
        <w:rPr>
          <w:rFonts w:eastAsia="Calibri"/>
          <w:sz w:val="22"/>
          <w:szCs w:val="22"/>
        </w:rPr>
      </w:pPr>
    </w:p>
    <w:p w14:paraId="40D704BA" w14:textId="77777777" w:rsidR="00FD0545" w:rsidRPr="00A65E9D" w:rsidRDefault="00FD0545" w:rsidP="00FD0545">
      <w:pPr>
        <w:contextualSpacing/>
        <w:jc w:val="both"/>
        <w:rPr>
          <w:rFonts w:eastAsia="Calibri"/>
          <w:sz w:val="22"/>
          <w:szCs w:val="22"/>
        </w:rPr>
      </w:pPr>
      <w:r w:rsidRPr="00A65E9D">
        <w:rPr>
          <w:rFonts w:eastAsia="Calibri"/>
          <w:b/>
          <w:sz w:val="22"/>
          <w:szCs w:val="22"/>
        </w:rPr>
        <w:t>13. §</w:t>
      </w:r>
      <w:r w:rsidRPr="00A65E9D">
        <w:rPr>
          <w:rFonts w:eastAsia="Calibri"/>
          <w:sz w:val="22"/>
          <w:szCs w:val="22"/>
        </w:rPr>
        <w:t xml:space="preserve"> (l) </w:t>
      </w:r>
      <w:proofErr w:type="gramStart"/>
      <w:r w:rsidRPr="00A65E9D">
        <w:rPr>
          <w:rFonts w:eastAsia="Calibri"/>
          <w:sz w:val="22"/>
          <w:szCs w:val="22"/>
        </w:rPr>
        <w:t>A</w:t>
      </w:r>
      <w:proofErr w:type="gramEnd"/>
      <w:r w:rsidRPr="00A65E9D">
        <w:rPr>
          <w:rFonts w:eastAsia="Calibri"/>
          <w:sz w:val="22"/>
          <w:szCs w:val="22"/>
        </w:rPr>
        <w:t xml:space="preserve"> Közalkalmazottak jogállásáról szóló 1992. évi XXXIII. törvény l. </w:t>
      </w:r>
      <w:proofErr w:type="gramStart"/>
      <w:r w:rsidRPr="00A65E9D">
        <w:rPr>
          <w:rFonts w:eastAsia="Calibri"/>
          <w:sz w:val="22"/>
          <w:szCs w:val="22"/>
        </w:rPr>
        <w:t>számú</w:t>
      </w:r>
      <w:proofErr w:type="gramEnd"/>
      <w:r w:rsidRPr="00A65E9D">
        <w:rPr>
          <w:rFonts w:eastAsia="Calibri"/>
          <w:sz w:val="22"/>
          <w:szCs w:val="22"/>
        </w:rPr>
        <w:t xml:space="preserve"> mellékletének 6. pontja szerint az egyetemi tanár munkakörben dolgozó oktató minősítése </w:t>
      </w:r>
    </w:p>
    <w:p w14:paraId="13DD1DC1"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 kiválóan alkalmas, ha pontszáma a 160-at meghaladja, </w:t>
      </w:r>
    </w:p>
    <w:p w14:paraId="24CB21D9"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 alkalmas, ha 121-160 pontot ért el, </w:t>
      </w:r>
    </w:p>
    <w:p w14:paraId="1FDE462B"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 kevéssé alkalmas, ha 81-120 pontot ért el, </w:t>
      </w:r>
    </w:p>
    <w:p w14:paraId="2D36AC46"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 alkalmatlan, ha nem haladja meg a 80 pontot. </w:t>
      </w:r>
    </w:p>
    <w:p w14:paraId="257BCC4D" w14:textId="77777777" w:rsidR="00FD0545" w:rsidRPr="00A65E9D" w:rsidRDefault="00FD0545" w:rsidP="00FD0545">
      <w:pPr>
        <w:contextualSpacing/>
        <w:jc w:val="both"/>
        <w:rPr>
          <w:rFonts w:eastAsia="Calibri"/>
          <w:sz w:val="22"/>
          <w:szCs w:val="22"/>
        </w:rPr>
      </w:pPr>
    </w:p>
    <w:p w14:paraId="19597BC5"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Egyetemi docens munkakörben dolgozó oktató esetében az (1) bekezdés szerinti minősítésekhez a jelzett pontszámok háromnegyedének, egyetemi adjunktus és nyelvtanár munkakörben dolgozó oktató esetében kétharmadának, egyetemi tanársegédek esetében a felének az elérése szükséges. </w:t>
      </w:r>
    </w:p>
    <w:p w14:paraId="18EDE738" w14:textId="77777777" w:rsidR="00FD0545" w:rsidRPr="00A65E9D" w:rsidRDefault="00FD0545" w:rsidP="00FD0545">
      <w:pPr>
        <w:contextualSpacing/>
        <w:jc w:val="both"/>
        <w:rPr>
          <w:rFonts w:eastAsia="Calibri"/>
          <w:sz w:val="22"/>
          <w:szCs w:val="22"/>
        </w:rPr>
      </w:pPr>
    </w:p>
    <w:p w14:paraId="79CC2116"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(3) A dékán megszüntetheti a közalkalmazotti jogviszonyt, illetve a rektornak erre irányuló javaslatot tehet abban az esetben, ha a közalkalmazott egymást követő két tanévben alkalmatlan minősítést szerzett. </w:t>
      </w:r>
    </w:p>
    <w:p w14:paraId="271E4FB7" w14:textId="77777777" w:rsidR="00FD0545" w:rsidRPr="00A65E9D" w:rsidRDefault="00FD0545" w:rsidP="00FD0545">
      <w:pPr>
        <w:contextualSpacing/>
        <w:jc w:val="both"/>
        <w:rPr>
          <w:rFonts w:eastAsia="Calibri"/>
          <w:sz w:val="22"/>
          <w:szCs w:val="22"/>
        </w:rPr>
      </w:pPr>
    </w:p>
    <w:p w14:paraId="50E4E9BC" w14:textId="77777777" w:rsidR="00FD0545" w:rsidRPr="00A65E9D" w:rsidRDefault="00FD0545" w:rsidP="00FD0545">
      <w:pPr>
        <w:contextualSpacing/>
        <w:jc w:val="both"/>
        <w:rPr>
          <w:rFonts w:eastAsia="Calibri"/>
          <w:sz w:val="22"/>
          <w:szCs w:val="22"/>
        </w:rPr>
      </w:pPr>
      <w:r w:rsidRPr="00A65E9D">
        <w:rPr>
          <w:rFonts w:eastAsia="Calibri"/>
          <w:b/>
          <w:sz w:val="22"/>
          <w:szCs w:val="22"/>
        </w:rPr>
        <w:t>14. §</w:t>
      </w:r>
      <w:r w:rsidRPr="00A65E9D">
        <w:rPr>
          <w:rFonts w:eastAsia="Calibri"/>
          <w:sz w:val="22"/>
          <w:szCs w:val="22"/>
        </w:rPr>
        <w:t xml:space="preserve"> (1) Az oktatási szervezeti egység vezetője a tanévben az oktató által elért pontszámot a jelen szabályzat végrehajtására elkészített táblázat kitöltésével a tanév befejezését követően 15 napon belül közli a dékánnal. </w:t>
      </w:r>
    </w:p>
    <w:p w14:paraId="78E7AB5C" w14:textId="77777777" w:rsidR="00FD0545" w:rsidRPr="00A65E9D" w:rsidRDefault="00FD0545" w:rsidP="00FD0545">
      <w:pPr>
        <w:contextualSpacing/>
        <w:jc w:val="both"/>
        <w:rPr>
          <w:rFonts w:eastAsia="Calibri"/>
          <w:sz w:val="22"/>
          <w:szCs w:val="22"/>
        </w:rPr>
      </w:pPr>
    </w:p>
    <w:p w14:paraId="6AA5CEFF"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A dékán az oktató teljesítményét tanévenként értékeli és erről minden tanévben tájékoztatja a Kari Tanácsot. </w:t>
      </w:r>
    </w:p>
    <w:p w14:paraId="76030019" w14:textId="77777777" w:rsidR="00FD0545" w:rsidRPr="00A65E9D" w:rsidRDefault="00FD0545" w:rsidP="00FD0545">
      <w:pPr>
        <w:contextualSpacing/>
        <w:jc w:val="both"/>
        <w:rPr>
          <w:rFonts w:eastAsia="Calibri"/>
          <w:sz w:val="22"/>
          <w:szCs w:val="22"/>
        </w:rPr>
      </w:pPr>
    </w:p>
    <w:p w14:paraId="6C27BBC3" w14:textId="77777777" w:rsidR="00FD0545" w:rsidRPr="00A65E9D" w:rsidRDefault="00FD0545" w:rsidP="00FD0545">
      <w:pPr>
        <w:contextualSpacing/>
        <w:jc w:val="both"/>
        <w:rPr>
          <w:rFonts w:eastAsia="Calibri"/>
          <w:sz w:val="22"/>
          <w:szCs w:val="22"/>
        </w:rPr>
      </w:pPr>
      <w:r w:rsidRPr="00A65E9D">
        <w:rPr>
          <w:rFonts w:eastAsia="Calibri"/>
          <w:b/>
          <w:sz w:val="22"/>
          <w:szCs w:val="22"/>
        </w:rPr>
        <w:t>15. §</w:t>
      </w:r>
      <w:r w:rsidRPr="00A65E9D">
        <w:rPr>
          <w:rFonts w:eastAsia="Calibri"/>
          <w:sz w:val="22"/>
          <w:szCs w:val="22"/>
        </w:rPr>
        <w:t xml:space="preserve"> Nem kell értékelni a közalkalmazott teljesítményét és őt minősíteni sem kell, ha a közalkalmazotti jogviszony létesítésére az értékeléssel érintett tanévben került sor vagy ebben az időszakban fizetés nélküli szabadságban részesült. </w:t>
      </w:r>
    </w:p>
    <w:p w14:paraId="4B5B0B45" w14:textId="77777777" w:rsidR="00FD0545" w:rsidRPr="00A65E9D" w:rsidRDefault="00FD0545" w:rsidP="00FD0545">
      <w:pPr>
        <w:contextualSpacing/>
        <w:jc w:val="both"/>
        <w:rPr>
          <w:rFonts w:eastAsia="Calibri"/>
          <w:sz w:val="22"/>
          <w:szCs w:val="22"/>
        </w:rPr>
      </w:pPr>
    </w:p>
    <w:p w14:paraId="7ECC3167" w14:textId="77777777" w:rsidR="00FD0545" w:rsidRDefault="00FD0545" w:rsidP="00FD0545">
      <w:pPr>
        <w:contextualSpacing/>
        <w:jc w:val="both"/>
        <w:rPr>
          <w:rFonts w:eastAsia="Calibri"/>
          <w:sz w:val="22"/>
          <w:szCs w:val="22"/>
        </w:rPr>
      </w:pPr>
      <w:r w:rsidRPr="00A65E9D">
        <w:rPr>
          <w:rFonts w:eastAsia="Calibri"/>
          <w:b/>
          <w:sz w:val="22"/>
          <w:szCs w:val="22"/>
        </w:rPr>
        <w:t>16. §</w:t>
      </w:r>
      <w:r w:rsidRPr="00A65E9D">
        <w:rPr>
          <w:rFonts w:eastAsia="Calibri"/>
          <w:sz w:val="22"/>
          <w:szCs w:val="22"/>
        </w:rPr>
        <w:t xml:space="preserve"> Csak az az oktató részesülhet az adott tárgyévben a közalkalmazotti jogviszonyra vonatkozó szabályban meghatározottakon felül jutalomban, aki az utóbbi két tanévben kiválóa</w:t>
      </w:r>
      <w:r>
        <w:rPr>
          <w:rFonts w:eastAsia="Calibri"/>
          <w:sz w:val="22"/>
          <w:szCs w:val="22"/>
        </w:rPr>
        <w:t>n alkalmas minősítést szerzett.</w:t>
      </w:r>
    </w:p>
    <w:p w14:paraId="7A90265D" w14:textId="77777777" w:rsidR="00FD0545" w:rsidRPr="00A65E9D" w:rsidRDefault="00FD0545" w:rsidP="00FD0545">
      <w:pPr>
        <w:contextualSpacing/>
        <w:jc w:val="both"/>
        <w:rPr>
          <w:rFonts w:eastAsia="Calibri"/>
          <w:sz w:val="22"/>
          <w:szCs w:val="22"/>
        </w:rPr>
      </w:pPr>
      <w:r>
        <w:rPr>
          <w:rFonts w:eastAsia="Calibri"/>
          <w:sz w:val="22"/>
          <w:szCs w:val="22"/>
        </w:rPr>
        <w:br w:type="page"/>
      </w:r>
    </w:p>
    <w:p w14:paraId="071CB7FF" w14:textId="77777777" w:rsidR="00FD0545" w:rsidRPr="00A65E9D" w:rsidRDefault="00FD0545" w:rsidP="00FD0545">
      <w:pPr>
        <w:contextualSpacing/>
        <w:jc w:val="center"/>
        <w:rPr>
          <w:rFonts w:eastAsia="Calibri"/>
          <w:b/>
          <w:sz w:val="22"/>
          <w:szCs w:val="22"/>
        </w:rPr>
      </w:pPr>
      <w:r w:rsidRPr="00A65E9D">
        <w:rPr>
          <w:rFonts w:eastAsia="Calibri"/>
          <w:b/>
          <w:sz w:val="22"/>
          <w:szCs w:val="22"/>
        </w:rPr>
        <w:lastRenderedPageBreak/>
        <w:t>Záró és hatályba léptető rendelkezések</w:t>
      </w:r>
    </w:p>
    <w:p w14:paraId="73CB6F00" w14:textId="77777777" w:rsidR="00FD0545" w:rsidRPr="00A65E9D" w:rsidRDefault="00FD0545" w:rsidP="00FD0545">
      <w:pPr>
        <w:contextualSpacing/>
        <w:jc w:val="center"/>
        <w:rPr>
          <w:rFonts w:eastAsia="Calibri"/>
          <w:sz w:val="22"/>
          <w:szCs w:val="22"/>
        </w:rPr>
      </w:pPr>
    </w:p>
    <w:p w14:paraId="5E6E4A22" w14:textId="77777777" w:rsidR="00FD0545" w:rsidRPr="00A65E9D" w:rsidRDefault="00FD0545" w:rsidP="00FD0545">
      <w:pPr>
        <w:contextualSpacing/>
        <w:jc w:val="both"/>
        <w:rPr>
          <w:rFonts w:eastAsia="Calibri"/>
          <w:sz w:val="22"/>
          <w:szCs w:val="22"/>
        </w:rPr>
      </w:pPr>
      <w:r w:rsidRPr="00A65E9D">
        <w:rPr>
          <w:rFonts w:eastAsia="Calibri"/>
          <w:b/>
          <w:sz w:val="22"/>
          <w:szCs w:val="22"/>
        </w:rPr>
        <w:t>17. §</w:t>
      </w:r>
      <w:r w:rsidRPr="00A65E9D">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481EF35C" w14:textId="77777777" w:rsidR="00FD0545" w:rsidRPr="00A65E9D" w:rsidRDefault="00FD0545" w:rsidP="00FD0545">
      <w:pPr>
        <w:contextualSpacing/>
        <w:jc w:val="both"/>
        <w:rPr>
          <w:rFonts w:eastAsia="Calibri"/>
          <w:sz w:val="22"/>
          <w:szCs w:val="22"/>
        </w:rPr>
      </w:pPr>
    </w:p>
    <w:p w14:paraId="666AF7AC" w14:textId="77777777" w:rsidR="00FD0545" w:rsidRPr="00A65E9D" w:rsidRDefault="00FD0545" w:rsidP="00FD0545">
      <w:pPr>
        <w:contextualSpacing/>
        <w:jc w:val="both"/>
        <w:rPr>
          <w:rFonts w:eastAsia="Calibri"/>
          <w:sz w:val="22"/>
          <w:szCs w:val="22"/>
        </w:rPr>
      </w:pPr>
      <w:r w:rsidRPr="00A65E9D">
        <w:rPr>
          <w:rFonts w:eastAsia="Calibri"/>
          <w:sz w:val="22"/>
          <w:szCs w:val="22"/>
        </w:rPr>
        <w:t xml:space="preserve">(2)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 tartalmáról a Kar dékáni utasításban rendelkezhet. </w:t>
      </w:r>
    </w:p>
    <w:p w14:paraId="30AC66DD" w14:textId="77777777" w:rsidR="00FD0545" w:rsidRPr="00E13CE5" w:rsidRDefault="00FD0545" w:rsidP="00FD0545">
      <w:pPr>
        <w:pStyle w:val="Cmsor1"/>
        <w:rPr>
          <w:rFonts w:eastAsia="Calibri"/>
        </w:rPr>
      </w:pPr>
      <w:r w:rsidRPr="00E13CE5">
        <w:rPr>
          <w:rFonts w:eastAsia="Calibri"/>
          <w:i/>
        </w:rPr>
        <w:br w:type="page"/>
      </w:r>
      <w:bookmarkStart w:id="348" w:name="_Toc21961964"/>
      <w:bookmarkStart w:id="349" w:name="_Toc58569572"/>
      <w:r w:rsidRPr="00E13CE5">
        <w:rPr>
          <w:rFonts w:eastAsia="Calibri"/>
        </w:rPr>
        <w:lastRenderedPageBreak/>
        <w:t>1/2. számú melléklet</w:t>
      </w:r>
      <w:bookmarkEnd w:id="348"/>
      <w:bookmarkEnd w:id="349"/>
    </w:p>
    <w:p w14:paraId="60F2FCE8" w14:textId="77777777" w:rsidR="00FD0545" w:rsidRPr="00631DA4" w:rsidRDefault="00FD0545" w:rsidP="00FD0545">
      <w:pPr>
        <w:pStyle w:val="Cmsor1"/>
        <w:spacing w:before="0" w:after="0"/>
        <w:rPr>
          <w:rFonts w:eastAsia="Calibri"/>
          <w:bCs/>
          <w:iCs/>
          <w:spacing w:val="5"/>
        </w:rPr>
      </w:pPr>
      <w:bookmarkStart w:id="350" w:name="_Toc21961965"/>
      <w:bookmarkStart w:id="351" w:name="_Toc58569573"/>
      <w:r w:rsidRPr="00631DA4">
        <w:rPr>
          <w:rFonts w:eastAsia="Calibri"/>
          <w:bCs/>
          <w:iCs/>
          <w:spacing w:val="5"/>
        </w:rPr>
        <w:t>A Pécsi Tudományegyetem Általános Orvostudományi Karának</w:t>
      </w:r>
      <w:r>
        <w:rPr>
          <w:rFonts w:eastAsia="Calibri"/>
          <w:bCs/>
          <w:iCs/>
          <w:spacing w:val="5"/>
          <w:lang w:val="hu-HU"/>
        </w:rPr>
        <w:t xml:space="preserve"> </w:t>
      </w:r>
      <w:r w:rsidRPr="00631DA4">
        <w:rPr>
          <w:rFonts w:eastAsia="Calibri"/>
          <w:bCs/>
          <w:iCs/>
          <w:spacing w:val="5"/>
        </w:rPr>
        <w:t>Teljesítményértékelési Szabályzata</w:t>
      </w:r>
      <w:bookmarkEnd w:id="350"/>
      <w:bookmarkEnd w:id="351"/>
    </w:p>
    <w:p w14:paraId="64DD3B34" w14:textId="77777777" w:rsidR="00FD0545" w:rsidRPr="00631DA4" w:rsidRDefault="00FD0545" w:rsidP="00FD0545">
      <w:pPr>
        <w:autoSpaceDE w:val="0"/>
        <w:autoSpaceDN w:val="0"/>
        <w:adjustRightInd w:val="0"/>
        <w:contextualSpacing/>
        <w:jc w:val="both"/>
        <w:rPr>
          <w:rFonts w:eastAsia="Calibri"/>
          <w:sz w:val="22"/>
          <w:szCs w:val="22"/>
        </w:rPr>
      </w:pPr>
    </w:p>
    <w:p w14:paraId="16351B73"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Az Általános Orvostudományi Kar (továbbiakban: ÁOK) kiemelt célja az egyéni életpályák folyamatos követése és segítése, valamint az oktatás-kutatás színvonalának folyamatos javítása. Az oktatói teljesítményértékelés (továbbiakban: TÉR) során a Kar azokat az elvárásokat, szempontokat fogalmazza meg, amelyek alapján a munkatársak teljesítménye évi rendszerességgel áttekintésre, értékelésre kerül. Az ÁOK oktatói és kutatói munkakörben foglalkoztatott, közalkalmazotti jogviszonyban álló dolgozói teljesítményének egységes értékelése céljából a minősítés szempontjainak alapjául szolgáló értékelési rendet jelen szabályzat tartalmazza.</w:t>
      </w:r>
    </w:p>
    <w:p w14:paraId="0E6AD14A" w14:textId="77777777" w:rsidR="00FD0545" w:rsidRPr="00631DA4" w:rsidRDefault="00FD0545" w:rsidP="00FD0545">
      <w:pPr>
        <w:autoSpaceDE w:val="0"/>
        <w:autoSpaceDN w:val="0"/>
        <w:adjustRightInd w:val="0"/>
        <w:contextualSpacing/>
        <w:jc w:val="both"/>
        <w:rPr>
          <w:rFonts w:eastAsia="Calibri"/>
          <w:sz w:val="22"/>
          <w:szCs w:val="22"/>
        </w:rPr>
      </w:pPr>
    </w:p>
    <w:p w14:paraId="32EBB470" w14:textId="77777777" w:rsidR="00FD0545" w:rsidRPr="00631DA4" w:rsidRDefault="00FD0545" w:rsidP="00FD0545">
      <w:pPr>
        <w:contextualSpacing/>
        <w:jc w:val="center"/>
        <w:rPr>
          <w:rFonts w:eastAsia="Calibri"/>
          <w:b/>
          <w:sz w:val="22"/>
          <w:szCs w:val="22"/>
        </w:rPr>
      </w:pPr>
      <w:r w:rsidRPr="00631DA4">
        <w:rPr>
          <w:rFonts w:eastAsia="Calibri"/>
          <w:b/>
          <w:sz w:val="22"/>
          <w:szCs w:val="22"/>
        </w:rPr>
        <w:t>A szabályzat célja</w:t>
      </w:r>
    </w:p>
    <w:p w14:paraId="1775FB24" w14:textId="77777777" w:rsidR="00FD0545" w:rsidRPr="00631DA4" w:rsidRDefault="00FD0545" w:rsidP="00FD0545">
      <w:pPr>
        <w:contextualSpacing/>
        <w:jc w:val="both"/>
        <w:rPr>
          <w:rFonts w:eastAsia="Calibri"/>
          <w:sz w:val="22"/>
          <w:szCs w:val="22"/>
        </w:rPr>
      </w:pPr>
    </w:p>
    <w:p w14:paraId="24304E60" w14:textId="77777777" w:rsidR="00FD0545" w:rsidRPr="00631DA4" w:rsidRDefault="00FD0545" w:rsidP="00FD0545">
      <w:pPr>
        <w:contextualSpacing/>
        <w:jc w:val="both"/>
        <w:rPr>
          <w:rFonts w:eastAsia="Calibri"/>
          <w:sz w:val="22"/>
          <w:szCs w:val="22"/>
        </w:rPr>
      </w:pPr>
      <w:r w:rsidRPr="00631DA4">
        <w:rPr>
          <w:rFonts w:eastAsia="Calibri"/>
          <w:b/>
          <w:sz w:val="22"/>
          <w:szCs w:val="22"/>
        </w:rPr>
        <w:t>1. §</w:t>
      </w:r>
      <w:r w:rsidRPr="00631DA4">
        <w:rPr>
          <w:rFonts w:eastAsia="Calibri"/>
          <w:sz w:val="22"/>
          <w:szCs w:val="22"/>
        </w:rPr>
        <w:t xml:space="preserve"> (1) Az ÁOK jelen szabályzat hatálya alá tartozó </w:t>
      </w:r>
      <w:proofErr w:type="spellStart"/>
      <w:r w:rsidRPr="00631DA4">
        <w:rPr>
          <w:rFonts w:eastAsia="Calibri"/>
          <w:sz w:val="22"/>
          <w:szCs w:val="22"/>
        </w:rPr>
        <w:t>közalkalmazottainak</w:t>
      </w:r>
      <w:proofErr w:type="spellEnd"/>
      <w:r w:rsidRPr="00631DA4">
        <w:rPr>
          <w:rFonts w:eastAsia="Calibri"/>
          <w:sz w:val="22"/>
          <w:szCs w:val="22"/>
        </w:rPr>
        <w:t xml:space="preserve"> munkakörük ellátásával, fejlődésükkel és </w:t>
      </w:r>
      <w:proofErr w:type="gramStart"/>
      <w:r w:rsidRPr="00631DA4">
        <w:rPr>
          <w:rFonts w:eastAsia="Calibri"/>
          <w:sz w:val="22"/>
          <w:szCs w:val="22"/>
        </w:rPr>
        <w:t>karrier</w:t>
      </w:r>
      <w:proofErr w:type="gramEnd"/>
      <w:r w:rsidRPr="00631DA4">
        <w:rPr>
          <w:rFonts w:eastAsia="Calibri"/>
          <w:sz w:val="22"/>
          <w:szCs w:val="22"/>
        </w:rPr>
        <w:t xml:space="preserve"> elképzeléseikkel kapcsolatos egyéni céljait a PTE ÁOK szervezeti céljaihoz szükséges igazítani annak érdekében, hogy a Kar szervezeti teljesítménye, kiemelten az oktatás és kutatás minősége optimális legyen. A TÉR alkalmazásával a munkatársak napi munkája, munkakörükhöz kapcsolódó feladatainak minősítése valósul meg. A TÉR alkalmazása biztosítja a Kar munkatársai számára a feladatok, célok eredményeinek rendszeres értékelését, továbbá hozzájárul a munkatársak motivációinak feltárásához, fejlődéséhez, valamint a vezető és a munkatárs közötti kapcsolat fejlesztéséhez.</w:t>
      </w:r>
    </w:p>
    <w:p w14:paraId="6C3B787D" w14:textId="77777777" w:rsidR="00FD0545" w:rsidRPr="00631DA4" w:rsidRDefault="00FD0545" w:rsidP="00FD0545">
      <w:pPr>
        <w:contextualSpacing/>
        <w:jc w:val="both"/>
        <w:rPr>
          <w:rFonts w:eastAsia="Calibri"/>
          <w:sz w:val="22"/>
          <w:szCs w:val="22"/>
        </w:rPr>
      </w:pPr>
    </w:p>
    <w:p w14:paraId="408A356B" w14:textId="77777777" w:rsidR="00FD0545" w:rsidRPr="00631DA4" w:rsidRDefault="00FD0545" w:rsidP="00FD0545">
      <w:pPr>
        <w:contextualSpacing/>
        <w:jc w:val="both"/>
        <w:rPr>
          <w:rFonts w:eastAsia="Calibri"/>
          <w:sz w:val="22"/>
          <w:szCs w:val="22"/>
        </w:rPr>
      </w:pPr>
      <w:r>
        <w:rPr>
          <w:rFonts w:eastAsia="Calibri"/>
          <w:sz w:val="22"/>
          <w:szCs w:val="22"/>
        </w:rPr>
        <w:t xml:space="preserve">(2) </w:t>
      </w:r>
      <w:r w:rsidRPr="00631DA4">
        <w:rPr>
          <w:rFonts w:eastAsia="Calibri"/>
          <w:sz w:val="22"/>
          <w:szCs w:val="22"/>
        </w:rPr>
        <w:t>Az értékelések eredménye megalapozza a vezetői döntéseket, a szervezeti kultúra fejlesztését, feltárja az egyéni fejlesztési lehetőségeket.</w:t>
      </w:r>
    </w:p>
    <w:p w14:paraId="113013D4" w14:textId="77777777" w:rsidR="00FD0545" w:rsidRPr="00631DA4" w:rsidRDefault="00FD0545" w:rsidP="00FD0545">
      <w:pPr>
        <w:autoSpaceDE w:val="0"/>
        <w:autoSpaceDN w:val="0"/>
        <w:adjustRightInd w:val="0"/>
        <w:contextualSpacing/>
        <w:jc w:val="both"/>
        <w:rPr>
          <w:rFonts w:eastAsia="Calibri"/>
          <w:sz w:val="22"/>
          <w:szCs w:val="22"/>
        </w:rPr>
      </w:pPr>
    </w:p>
    <w:p w14:paraId="7C756A34" w14:textId="77777777" w:rsidR="00FD0545" w:rsidRPr="00631DA4" w:rsidRDefault="00FD0545" w:rsidP="00FD0545">
      <w:pPr>
        <w:contextualSpacing/>
        <w:jc w:val="center"/>
        <w:rPr>
          <w:rFonts w:eastAsia="Calibri"/>
          <w:b/>
          <w:sz w:val="22"/>
          <w:szCs w:val="22"/>
        </w:rPr>
      </w:pPr>
      <w:r w:rsidRPr="00631DA4">
        <w:rPr>
          <w:rFonts w:eastAsia="Calibri"/>
          <w:b/>
          <w:sz w:val="22"/>
          <w:szCs w:val="22"/>
        </w:rPr>
        <w:t>A szabályzat személyi hatálya</w:t>
      </w:r>
    </w:p>
    <w:p w14:paraId="3F7843F4" w14:textId="77777777" w:rsidR="00FD0545" w:rsidRPr="00631DA4" w:rsidRDefault="00FD0545" w:rsidP="00FD0545">
      <w:pPr>
        <w:contextualSpacing/>
        <w:jc w:val="both"/>
        <w:rPr>
          <w:rFonts w:eastAsia="Calibri"/>
          <w:sz w:val="22"/>
          <w:szCs w:val="22"/>
        </w:rPr>
      </w:pPr>
    </w:p>
    <w:p w14:paraId="03D3B33F"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b/>
          <w:sz w:val="22"/>
          <w:szCs w:val="22"/>
        </w:rPr>
        <w:t>2. §</w:t>
      </w:r>
      <w:r w:rsidRPr="00631DA4">
        <w:rPr>
          <w:rFonts w:eastAsia="Calibri"/>
          <w:sz w:val="22"/>
          <w:szCs w:val="22"/>
        </w:rPr>
        <w:t xml:space="preserve"> (1) Jelen szabályzat személyi hatálya kiterjed a Karral közalkalmazotti jogviszonyban álló valamennyi oktató, illetve kutató munkakörben foglalkoztatott munkatársra.</w:t>
      </w:r>
    </w:p>
    <w:p w14:paraId="6B9035ED" w14:textId="77777777" w:rsidR="00FD0545" w:rsidRPr="00631DA4" w:rsidRDefault="00FD0545" w:rsidP="00FD0545">
      <w:pPr>
        <w:contextualSpacing/>
        <w:jc w:val="both"/>
        <w:rPr>
          <w:rFonts w:eastAsia="Calibri"/>
          <w:sz w:val="22"/>
          <w:szCs w:val="22"/>
        </w:rPr>
      </w:pPr>
    </w:p>
    <w:p w14:paraId="1671AE3A"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(2) Az (1) bekezdéstől eltérően a próbaidő alatt álló munkatársakra, a Kar állományába </w:t>
      </w:r>
      <w:proofErr w:type="gramStart"/>
      <w:r w:rsidRPr="00631DA4">
        <w:rPr>
          <w:rFonts w:eastAsia="Calibri"/>
          <w:sz w:val="22"/>
          <w:szCs w:val="22"/>
        </w:rPr>
        <w:t>sorolt</w:t>
      </w:r>
      <w:proofErr w:type="gramEnd"/>
      <w:r w:rsidRPr="00631DA4">
        <w:rPr>
          <w:rFonts w:eastAsia="Calibri"/>
          <w:sz w:val="22"/>
          <w:szCs w:val="22"/>
        </w:rPr>
        <w:t xml:space="preserve"> de tartósan pályázati státuszon foglalkoztatott munkatársakra, valamint a tartós távolléten tartózkodó közalkalmazottakra távollétük időtartama alatt az eljárásrend hatálya nem terjed ki.</w:t>
      </w:r>
    </w:p>
    <w:p w14:paraId="2235948E" w14:textId="77777777" w:rsidR="00FD0545" w:rsidRPr="00631DA4" w:rsidRDefault="00FD0545" w:rsidP="00FD0545">
      <w:pPr>
        <w:contextualSpacing/>
        <w:jc w:val="both"/>
        <w:rPr>
          <w:rFonts w:eastAsia="Calibri"/>
          <w:sz w:val="22"/>
          <w:szCs w:val="22"/>
        </w:rPr>
      </w:pPr>
    </w:p>
    <w:p w14:paraId="7C90C8E0"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(3) Továbbá, a szabályzat hatálya nem terjed ki az oktatási vagy kutatási tevékenységet végző, nem közalkalmazotti </w:t>
      </w:r>
      <w:proofErr w:type="gramStart"/>
      <w:r w:rsidRPr="00631DA4">
        <w:rPr>
          <w:rFonts w:eastAsia="Calibri"/>
          <w:sz w:val="22"/>
          <w:szCs w:val="22"/>
        </w:rPr>
        <w:t>státuszban</w:t>
      </w:r>
      <w:proofErr w:type="gramEnd"/>
      <w:r w:rsidRPr="00631DA4">
        <w:rPr>
          <w:rFonts w:eastAsia="Calibri"/>
          <w:sz w:val="22"/>
          <w:szCs w:val="22"/>
        </w:rPr>
        <w:t xml:space="preserve"> foglalkoztatottakra (pl. emeritus, megbízási szerződések).</w:t>
      </w:r>
    </w:p>
    <w:p w14:paraId="5977298B" w14:textId="77777777" w:rsidR="00FD0545" w:rsidRPr="00631DA4" w:rsidRDefault="00FD0545" w:rsidP="00FD0545">
      <w:pPr>
        <w:contextualSpacing/>
        <w:jc w:val="both"/>
        <w:rPr>
          <w:rFonts w:eastAsia="Calibri"/>
          <w:sz w:val="22"/>
          <w:szCs w:val="22"/>
        </w:rPr>
      </w:pPr>
    </w:p>
    <w:p w14:paraId="4B819030" w14:textId="77777777" w:rsidR="00FD0545" w:rsidRPr="00631DA4" w:rsidRDefault="00FD0545" w:rsidP="00FD0545">
      <w:pPr>
        <w:contextualSpacing/>
        <w:jc w:val="center"/>
        <w:rPr>
          <w:rFonts w:eastAsia="Calibri"/>
          <w:b/>
          <w:sz w:val="22"/>
          <w:szCs w:val="22"/>
        </w:rPr>
      </w:pPr>
      <w:r w:rsidRPr="00631DA4">
        <w:rPr>
          <w:rFonts w:eastAsia="Calibri"/>
          <w:b/>
          <w:sz w:val="22"/>
          <w:szCs w:val="22"/>
        </w:rPr>
        <w:t>A szabályzat tárgyi hatálya</w:t>
      </w:r>
    </w:p>
    <w:p w14:paraId="44856159" w14:textId="77777777" w:rsidR="00FD0545" w:rsidRPr="00631DA4" w:rsidRDefault="00FD0545" w:rsidP="00FD0545">
      <w:pPr>
        <w:contextualSpacing/>
        <w:jc w:val="both"/>
        <w:rPr>
          <w:rFonts w:eastAsia="Calibri"/>
          <w:sz w:val="22"/>
          <w:szCs w:val="22"/>
        </w:rPr>
      </w:pPr>
    </w:p>
    <w:p w14:paraId="4BF459FD" w14:textId="77777777" w:rsidR="00FD0545" w:rsidRPr="00631DA4" w:rsidRDefault="00FD0545" w:rsidP="00FD0545">
      <w:pPr>
        <w:contextualSpacing/>
        <w:jc w:val="both"/>
        <w:rPr>
          <w:rFonts w:eastAsia="Calibri"/>
          <w:sz w:val="22"/>
          <w:szCs w:val="22"/>
        </w:rPr>
      </w:pPr>
      <w:r w:rsidRPr="00631DA4">
        <w:rPr>
          <w:rFonts w:eastAsia="Calibri"/>
          <w:b/>
          <w:sz w:val="22"/>
          <w:szCs w:val="22"/>
        </w:rPr>
        <w:t>3. §</w:t>
      </w:r>
      <w:r w:rsidRPr="00631DA4">
        <w:rPr>
          <w:rFonts w:eastAsia="Calibri"/>
          <w:sz w:val="22"/>
          <w:szCs w:val="22"/>
        </w:rPr>
        <w:t xml:space="preserve"> (1) Jelen szabályzat tárgyi hatálya a TÉR-</w:t>
      </w:r>
      <w:proofErr w:type="spellStart"/>
      <w:r w:rsidRPr="00631DA4">
        <w:rPr>
          <w:rFonts w:eastAsia="Calibri"/>
          <w:sz w:val="22"/>
          <w:szCs w:val="22"/>
        </w:rPr>
        <w:t>nek</w:t>
      </w:r>
      <w:proofErr w:type="spellEnd"/>
      <w:r w:rsidRPr="00631DA4">
        <w:rPr>
          <w:rFonts w:eastAsia="Calibri"/>
          <w:sz w:val="22"/>
          <w:szCs w:val="22"/>
        </w:rPr>
        <w:t xml:space="preserve"> az ÁOK-</w:t>
      </w:r>
      <w:proofErr w:type="spellStart"/>
      <w:r w:rsidRPr="00631DA4">
        <w:rPr>
          <w:rFonts w:eastAsia="Calibri"/>
          <w:sz w:val="22"/>
          <w:szCs w:val="22"/>
        </w:rPr>
        <w:t>on</w:t>
      </w:r>
      <w:proofErr w:type="spellEnd"/>
      <w:r w:rsidRPr="00631DA4">
        <w:rPr>
          <w:rFonts w:eastAsia="Calibri"/>
          <w:sz w:val="22"/>
          <w:szCs w:val="22"/>
        </w:rPr>
        <w:t xml:space="preserve"> történő bevezetésére és működtetésére, az azzal kapcsolatos feladatok végrehajtására terjed ki.</w:t>
      </w:r>
    </w:p>
    <w:p w14:paraId="782D23C3" w14:textId="77777777" w:rsidR="00FD0545" w:rsidRPr="00631DA4" w:rsidRDefault="00FD0545" w:rsidP="00FD0545">
      <w:pPr>
        <w:autoSpaceDE w:val="0"/>
        <w:autoSpaceDN w:val="0"/>
        <w:adjustRightInd w:val="0"/>
        <w:contextualSpacing/>
        <w:jc w:val="both"/>
        <w:rPr>
          <w:rFonts w:eastAsia="Calibri"/>
          <w:sz w:val="22"/>
          <w:szCs w:val="22"/>
        </w:rPr>
      </w:pPr>
    </w:p>
    <w:p w14:paraId="76C1DC68" w14:textId="77777777" w:rsidR="00FD0545" w:rsidRPr="00631DA4" w:rsidRDefault="00FD0545" w:rsidP="00FD0545">
      <w:pPr>
        <w:autoSpaceDE w:val="0"/>
        <w:autoSpaceDN w:val="0"/>
        <w:adjustRightInd w:val="0"/>
        <w:contextualSpacing/>
        <w:jc w:val="both"/>
        <w:rPr>
          <w:sz w:val="22"/>
          <w:szCs w:val="22"/>
        </w:rPr>
      </w:pPr>
      <w:r w:rsidRPr="00631DA4">
        <w:rPr>
          <w:rFonts w:eastAsia="Calibri"/>
          <w:sz w:val="22"/>
          <w:szCs w:val="22"/>
        </w:rPr>
        <w:t xml:space="preserve">(2) Jelen szabályzat szerinti teljesítményértékelés megfelel a </w:t>
      </w:r>
      <w:r w:rsidRPr="00631DA4">
        <w:rPr>
          <w:sz w:val="22"/>
          <w:szCs w:val="22"/>
        </w:rPr>
        <w:t xml:space="preserve">Pécsi Tudományegyetem foglalkoztatási követelményrendszerének (a továbbiakban: </w:t>
      </w:r>
      <w:proofErr w:type="spellStart"/>
      <w:r w:rsidRPr="00631DA4">
        <w:rPr>
          <w:sz w:val="22"/>
          <w:szCs w:val="22"/>
        </w:rPr>
        <w:t>Fkr</w:t>
      </w:r>
      <w:proofErr w:type="spellEnd"/>
      <w:r w:rsidRPr="00631DA4">
        <w:rPr>
          <w:sz w:val="22"/>
          <w:szCs w:val="22"/>
        </w:rPr>
        <w:t xml:space="preserve">.) 52. §-a szerinti minősítésnek. </w:t>
      </w:r>
    </w:p>
    <w:p w14:paraId="063189A1" w14:textId="77777777" w:rsidR="00FD0545" w:rsidRPr="00631DA4" w:rsidRDefault="00FD0545" w:rsidP="00FD0545">
      <w:pPr>
        <w:contextualSpacing/>
        <w:rPr>
          <w:rFonts w:eastAsia="Calibri"/>
          <w:sz w:val="22"/>
          <w:szCs w:val="22"/>
        </w:rPr>
      </w:pPr>
    </w:p>
    <w:p w14:paraId="3579A51A" w14:textId="77777777" w:rsidR="00FD0545" w:rsidRPr="00631DA4" w:rsidRDefault="00FD0545" w:rsidP="00FD0545">
      <w:pPr>
        <w:contextualSpacing/>
        <w:jc w:val="center"/>
        <w:rPr>
          <w:rFonts w:eastAsia="Calibri"/>
          <w:b/>
          <w:sz w:val="22"/>
          <w:szCs w:val="22"/>
        </w:rPr>
      </w:pPr>
      <w:r w:rsidRPr="00631DA4">
        <w:rPr>
          <w:rFonts w:eastAsia="Calibri"/>
          <w:b/>
          <w:sz w:val="22"/>
          <w:szCs w:val="22"/>
        </w:rPr>
        <w:t>A teljesítményértékelés folyamata</w:t>
      </w:r>
    </w:p>
    <w:p w14:paraId="16BFB874" w14:textId="77777777" w:rsidR="00FD0545" w:rsidRPr="00631DA4" w:rsidRDefault="00FD0545" w:rsidP="00FD0545">
      <w:pPr>
        <w:contextualSpacing/>
        <w:jc w:val="both"/>
        <w:rPr>
          <w:rFonts w:eastAsia="Calibri"/>
          <w:sz w:val="22"/>
          <w:szCs w:val="22"/>
        </w:rPr>
      </w:pPr>
    </w:p>
    <w:p w14:paraId="54140418" w14:textId="77777777" w:rsidR="00FD0545" w:rsidRPr="00631DA4" w:rsidRDefault="00FD0545" w:rsidP="00FD0545">
      <w:pPr>
        <w:contextualSpacing/>
        <w:jc w:val="both"/>
        <w:rPr>
          <w:rFonts w:eastAsia="Calibri"/>
          <w:sz w:val="22"/>
          <w:szCs w:val="22"/>
        </w:rPr>
      </w:pPr>
      <w:r w:rsidRPr="00631DA4">
        <w:rPr>
          <w:rFonts w:eastAsia="Calibri"/>
          <w:b/>
          <w:sz w:val="22"/>
          <w:szCs w:val="22"/>
        </w:rPr>
        <w:t>4. §</w:t>
      </w:r>
      <w:r w:rsidRPr="00631DA4">
        <w:rPr>
          <w:rFonts w:eastAsia="Calibri"/>
          <w:sz w:val="22"/>
          <w:szCs w:val="22"/>
        </w:rPr>
        <w:t xml:space="preserve"> (1) A </w:t>
      </w:r>
      <w:proofErr w:type="spellStart"/>
      <w:r w:rsidRPr="00631DA4">
        <w:rPr>
          <w:rFonts w:eastAsia="Calibri"/>
          <w:sz w:val="22"/>
          <w:szCs w:val="22"/>
        </w:rPr>
        <w:t>Fkr</w:t>
      </w:r>
      <w:proofErr w:type="spellEnd"/>
      <w:r w:rsidRPr="00631DA4">
        <w:rPr>
          <w:rFonts w:eastAsia="Calibri"/>
          <w:sz w:val="22"/>
          <w:szCs w:val="22"/>
        </w:rPr>
        <w:t xml:space="preserve"> 52.§ (3) bekezdésétől eltérően a Kar munkatársainak teljesítménye a megelőző év vonatkozásában évente egyszer (március-április-május) kerül értékelésre.</w:t>
      </w:r>
    </w:p>
    <w:p w14:paraId="1EEDF146" w14:textId="77777777" w:rsidR="00FD0545" w:rsidRPr="00631DA4" w:rsidRDefault="00FD0545" w:rsidP="00FD0545">
      <w:pPr>
        <w:contextualSpacing/>
        <w:jc w:val="both"/>
        <w:rPr>
          <w:rFonts w:eastAsia="Calibri"/>
          <w:sz w:val="22"/>
          <w:szCs w:val="22"/>
        </w:rPr>
      </w:pPr>
    </w:p>
    <w:p w14:paraId="294DDB21" w14:textId="77777777" w:rsidR="00FD0545" w:rsidRPr="00631DA4" w:rsidRDefault="00FD0545" w:rsidP="00FD0545">
      <w:pPr>
        <w:contextualSpacing/>
        <w:jc w:val="both"/>
        <w:rPr>
          <w:rFonts w:eastAsia="Calibri"/>
          <w:sz w:val="22"/>
          <w:szCs w:val="22"/>
        </w:rPr>
      </w:pPr>
      <w:r w:rsidRPr="00631DA4">
        <w:rPr>
          <w:rFonts w:eastAsia="Calibri"/>
          <w:sz w:val="22"/>
          <w:szCs w:val="22"/>
        </w:rPr>
        <w:t>(2) Bizonyos kutatási és tehetséggondozási szempontok az elmúlt 3-5 év adataira épülnek. Az MTA doktori cím megszerzése a megszerzést követő 10 évben került beszámításra az értékelés során.</w:t>
      </w:r>
    </w:p>
    <w:p w14:paraId="2ADC4C85" w14:textId="77777777" w:rsidR="00FD0545" w:rsidRPr="00631DA4" w:rsidRDefault="00FD0545" w:rsidP="00FD0545">
      <w:pPr>
        <w:contextualSpacing/>
        <w:jc w:val="both"/>
        <w:rPr>
          <w:rFonts w:eastAsia="Calibri"/>
          <w:sz w:val="22"/>
          <w:szCs w:val="22"/>
        </w:rPr>
      </w:pPr>
    </w:p>
    <w:p w14:paraId="60704163"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lastRenderedPageBreak/>
        <w:t xml:space="preserve">(3) A Dékáni Hivatal munkatársai az adott év március 31-ig az oktatók és kutatók számára előkészítik a meglévő adatokból (adatforrások: </w:t>
      </w:r>
      <w:proofErr w:type="spellStart"/>
      <w:r w:rsidRPr="00631DA4">
        <w:rPr>
          <w:rFonts w:eastAsia="Calibri"/>
          <w:sz w:val="22"/>
          <w:szCs w:val="22"/>
        </w:rPr>
        <w:t>Neptun</w:t>
      </w:r>
      <w:proofErr w:type="spellEnd"/>
      <w:r w:rsidRPr="00631DA4">
        <w:rPr>
          <w:rFonts w:eastAsia="Calibri"/>
          <w:sz w:val="22"/>
          <w:szCs w:val="22"/>
        </w:rPr>
        <w:t xml:space="preserve">, MTMT, </w:t>
      </w:r>
      <w:proofErr w:type="spellStart"/>
      <w:r w:rsidRPr="00631DA4">
        <w:rPr>
          <w:rFonts w:eastAsia="Calibri"/>
          <w:sz w:val="22"/>
          <w:szCs w:val="22"/>
        </w:rPr>
        <w:t>Nexon</w:t>
      </w:r>
      <w:proofErr w:type="spellEnd"/>
      <w:r w:rsidRPr="00631DA4">
        <w:rPr>
          <w:rFonts w:eastAsia="Calibri"/>
          <w:sz w:val="22"/>
          <w:szCs w:val="22"/>
        </w:rPr>
        <w:t>, TDT és egyéb Dékáni Hivatalban nyilvántartott adatok) az önértékelő lapokat, melyek a Kar weboldalán elérhető teljesítményértékelési rendszerben érhetőek el (</w:t>
      </w:r>
      <w:hyperlink r:id="rId9" w:history="1">
        <w:r w:rsidRPr="00631DA4">
          <w:rPr>
            <w:rFonts w:eastAsia="Calibri"/>
            <w:sz w:val="22"/>
            <w:szCs w:val="22"/>
            <w:u w:val="single"/>
          </w:rPr>
          <w:t>http://</w:t>
        </w:r>
        <w:proofErr w:type="gramStart"/>
        <w:r w:rsidRPr="00631DA4">
          <w:rPr>
            <w:rFonts w:eastAsia="Calibri"/>
            <w:sz w:val="22"/>
            <w:szCs w:val="22"/>
            <w:u w:val="single"/>
          </w:rPr>
          <w:t>oktatoi-adatlap.aok.pte.hu</w:t>
        </w:r>
      </w:hyperlink>
      <w:r w:rsidRPr="00631DA4">
        <w:rPr>
          <w:rFonts w:eastAsia="Calibri"/>
          <w:sz w:val="22"/>
          <w:szCs w:val="22"/>
        </w:rPr>
        <w:t xml:space="preserve"> ).</w:t>
      </w:r>
      <w:proofErr w:type="gramEnd"/>
    </w:p>
    <w:p w14:paraId="4D896036" w14:textId="77777777" w:rsidR="00FD0545" w:rsidRPr="00631DA4" w:rsidRDefault="00FD0545" w:rsidP="00FD0545">
      <w:pPr>
        <w:autoSpaceDE w:val="0"/>
        <w:autoSpaceDN w:val="0"/>
        <w:adjustRightInd w:val="0"/>
        <w:contextualSpacing/>
        <w:jc w:val="both"/>
        <w:rPr>
          <w:rFonts w:eastAsia="Calibri"/>
          <w:sz w:val="22"/>
          <w:szCs w:val="22"/>
        </w:rPr>
      </w:pPr>
    </w:p>
    <w:p w14:paraId="2A3CCB04"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(4) Az oktatók és kutatók kötelesek a szabályzatban foglalt szempontrendszer alapján adott év áprilisában a megelőző évben nyújtott teljesítményükkel kapcsolatban áttekinteni a TÉR-</w:t>
      </w:r>
      <w:proofErr w:type="spellStart"/>
      <w:r w:rsidRPr="00631DA4">
        <w:rPr>
          <w:rFonts w:eastAsia="Calibri"/>
          <w:sz w:val="22"/>
          <w:szCs w:val="22"/>
        </w:rPr>
        <w:t>ben</w:t>
      </w:r>
      <w:proofErr w:type="spellEnd"/>
      <w:r w:rsidRPr="00631DA4">
        <w:rPr>
          <w:rFonts w:eastAsia="Calibri"/>
          <w:sz w:val="22"/>
          <w:szCs w:val="22"/>
        </w:rPr>
        <w:t xml:space="preserve"> rendelkezésre álló értékelő lapjukat és a szükséges, önbevallással megadható adatokat feltölteni, valamint, ha javításra van szükség, felkeresni a Dékáni Hivatal kijelölt kapcsolattartóját.</w:t>
      </w:r>
    </w:p>
    <w:p w14:paraId="7945124B" w14:textId="77777777" w:rsidR="00FD0545" w:rsidRPr="00631DA4" w:rsidRDefault="00FD0545" w:rsidP="00FD0545">
      <w:pPr>
        <w:autoSpaceDE w:val="0"/>
        <w:autoSpaceDN w:val="0"/>
        <w:adjustRightInd w:val="0"/>
        <w:contextualSpacing/>
        <w:jc w:val="both"/>
        <w:rPr>
          <w:rFonts w:eastAsia="Calibri"/>
          <w:sz w:val="22"/>
          <w:szCs w:val="22"/>
        </w:rPr>
      </w:pPr>
    </w:p>
    <w:p w14:paraId="69DBD023"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 xml:space="preserve">(5) Az oktatók és kutatók közvetlen munkahelyi vezetője (oktatók, kutatók esetében az adott intézet vezetője) köteles az adott év május 31-ig kialakítani a munkatárs által elvégzett online értékelés és a munkatársa vonatkozó vezetői értékelés alapján azt a közös teljesítményértékelési </w:t>
      </w:r>
      <w:proofErr w:type="gramStart"/>
      <w:r w:rsidRPr="00631DA4">
        <w:rPr>
          <w:rFonts w:eastAsia="Calibri"/>
          <w:sz w:val="22"/>
          <w:szCs w:val="22"/>
        </w:rPr>
        <w:t>dokumentumot</w:t>
      </w:r>
      <w:proofErr w:type="gramEnd"/>
      <w:r w:rsidRPr="00631DA4">
        <w:rPr>
          <w:rFonts w:eastAsia="Calibri"/>
          <w:sz w:val="22"/>
          <w:szCs w:val="22"/>
        </w:rPr>
        <w:t xml:space="preserve"> (minősítési lap), amely az év értékeléséül szolgál.</w:t>
      </w:r>
    </w:p>
    <w:p w14:paraId="30CCC986" w14:textId="77777777" w:rsidR="00FD0545" w:rsidRPr="00631DA4" w:rsidRDefault="00FD0545" w:rsidP="00FD0545">
      <w:pPr>
        <w:autoSpaceDE w:val="0"/>
        <w:autoSpaceDN w:val="0"/>
        <w:adjustRightInd w:val="0"/>
        <w:contextualSpacing/>
        <w:jc w:val="both"/>
        <w:rPr>
          <w:rFonts w:eastAsia="Calibri"/>
          <w:sz w:val="22"/>
          <w:szCs w:val="22"/>
        </w:rPr>
      </w:pPr>
    </w:p>
    <w:p w14:paraId="3B5BE85B"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(6) A végleges értékelés kialakítása az online rendszer segítségével történik oly módon, hogy a minősítő lapon az értékelő javaslatot tehet az egyes szempontok módosítására, valamint szöveges kiegészítést tehet a vezetői értékelés során. A két fél által kialakított közös minősítési lapot mindkét fél aláírása hitelesíti.</w:t>
      </w:r>
    </w:p>
    <w:p w14:paraId="4FEDBA42" w14:textId="77777777" w:rsidR="00FD0545" w:rsidRPr="00631DA4" w:rsidRDefault="00FD0545" w:rsidP="00FD0545">
      <w:pPr>
        <w:autoSpaceDE w:val="0"/>
        <w:autoSpaceDN w:val="0"/>
        <w:adjustRightInd w:val="0"/>
        <w:contextualSpacing/>
        <w:jc w:val="both"/>
        <w:rPr>
          <w:rFonts w:eastAsia="Calibri"/>
          <w:sz w:val="22"/>
          <w:szCs w:val="22"/>
        </w:rPr>
      </w:pPr>
    </w:p>
    <w:p w14:paraId="6E0F4F97"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(7) Az intézetvezetők esetében a Kar dékánja vagy általa kijelölt helyettese végzi el az online értékelést a (5)-(6) bekezdésben foglaltak szerint, melynek határideje az adott év július 31-e.</w:t>
      </w:r>
    </w:p>
    <w:p w14:paraId="5C6D36FC" w14:textId="77777777" w:rsidR="00FD0545" w:rsidRPr="00631DA4" w:rsidRDefault="00FD0545" w:rsidP="00FD0545">
      <w:pPr>
        <w:autoSpaceDE w:val="0"/>
        <w:autoSpaceDN w:val="0"/>
        <w:adjustRightInd w:val="0"/>
        <w:contextualSpacing/>
        <w:jc w:val="both"/>
        <w:rPr>
          <w:rFonts w:eastAsia="Calibri"/>
          <w:sz w:val="22"/>
          <w:szCs w:val="22"/>
        </w:rPr>
      </w:pPr>
    </w:p>
    <w:p w14:paraId="64E3475F"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(8) A jóváhagyott értékelőlapok két példányát az értékelők kötelesek a Kar dékánjának címezve a Dékáni Hivatalba eljuttatni legkésőbb július 31-ig. A Hivatal egy példányt a HR referensek segítségével eljuttat a Humánpolitikai Igazgatóságra.</w:t>
      </w:r>
    </w:p>
    <w:p w14:paraId="7E3601F1" w14:textId="77777777" w:rsidR="00FD0545" w:rsidRPr="00631DA4" w:rsidRDefault="00FD0545" w:rsidP="00FD0545">
      <w:pPr>
        <w:autoSpaceDE w:val="0"/>
        <w:autoSpaceDN w:val="0"/>
        <w:adjustRightInd w:val="0"/>
        <w:contextualSpacing/>
        <w:jc w:val="both"/>
        <w:rPr>
          <w:rFonts w:eastAsia="Calibri"/>
          <w:sz w:val="22"/>
          <w:szCs w:val="22"/>
        </w:rPr>
      </w:pPr>
    </w:p>
    <w:p w14:paraId="78F5731B" w14:textId="77777777" w:rsidR="00FD0545" w:rsidRPr="00631DA4" w:rsidRDefault="00FD0545" w:rsidP="00FD0545">
      <w:pPr>
        <w:autoSpaceDE w:val="0"/>
        <w:autoSpaceDN w:val="0"/>
        <w:adjustRightInd w:val="0"/>
        <w:contextualSpacing/>
        <w:jc w:val="center"/>
        <w:rPr>
          <w:rFonts w:eastAsia="Calibri"/>
          <w:b/>
          <w:sz w:val="22"/>
          <w:szCs w:val="22"/>
        </w:rPr>
      </w:pPr>
      <w:r w:rsidRPr="00631DA4">
        <w:rPr>
          <w:rFonts w:eastAsia="Calibri"/>
          <w:b/>
          <w:sz w:val="22"/>
          <w:szCs w:val="22"/>
        </w:rPr>
        <w:t>A teljesítményértékelés szempontjai</w:t>
      </w:r>
    </w:p>
    <w:p w14:paraId="7B4DDD0C" w14:textId="77777777" w:rsidR="00FD0545" w:rsidRPr="00631DA4" w:rsidRDefault="00FD0545" w:rsidP="00FD0545">
      <w:pPr>
        <w:autoSpaceDE w:val="0"/>
        <w:autoSpaceDN w:val="0"/>
        <w:adjustRightInd w:val="0"/>
        <w:contextualSpacing/>
        <w:jc w:val="both"/>
        <w:rPr>
          <w:rFonts w:eastAsia="Calibri"/>
          <w:sz w:val="22"/>
          <w:szCs w:val="22"/>
        </w:rPr>
      </w:pPr>
    </w:p>
    <w:p w14:paraId="75261A81"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b/>
          <w:sz w:val="22"/>
          <w:szCs w:val="22"/>
        </w:rPr>
        <w:t>5. §</w:t>
      </w:r>
      <w:r w:rsidRPr="00631DA4">
        <w:rPr>
          <w:rFonts w:eastAsia="Calibri"/>
          <w:sz w:val="22"/>
          <w:szCs w:val="22"/>
        </w:rPr>
        <w:t xml:space="preserve"> (1) Az értékelés szempontjai megegyeznek a minősítési lap szempontjaival, melyek az alábbiak:</w:t>
      </w:r>
    </w:p>
    <w:p w14:paraId="51D3BE86"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az oktatási, kutatási tevékenység ellátása,</w:t>
      </w:r>
    </w:p>
    <w:p w14:paraId="4340F7AA"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az oktatáshoz kapcsolódó egyéb tevékenység (így különösen szakdolgozati témavezetés, nemzetközi mobilitási programokban való részvétel és oktatás),</w:t>
      </w:r>
    </w:p>
    <w:p w14:paraId="2E6A1E8F"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 xml:space="preserve">tehetséggondozás, tudományos diákköri tevékenység, felzárkóztató tevékenység terén nyújtott </w:t>
      </w:r>
      <w:proofErr w:type="gramStart"/>
      <w:r w:rsidRPr="00631DA4">
        <w:rPr>
          <w:rFonts w:eastAsia="Calibri"/>
          <w:iCs/>
          <w:sz w:val="22"/>
          <w:szCs w:val="22"/>
        </w:rPr>
        <w:t>aktivitás</w:t>
      </w:r>
      <w:proofErr w:type="gramEnd"/>
      <w:r w:rsidRPr="00631DA4">
        <w:rPr>
          <w:rFonts w:eastAsia="Calibri"/>
          <w:iCs/>
          <w:sz w:val="22"/>
          <w:szCs w:val="22"/>
        </w:rPr>
        <w:t>,</w:t>
      </w:r>
    </w:p>
    <w:p w14:paraId="382319B5"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publikációs tevékenység valamint egyéb, szellemi tulajdon védelme alá eső eredmények, művészeti alkotás, sporttevékenységgel, sportszervezéssel kapcsolatos eredmények,</w:t>
      </w:r>
    </w:p>
    <w:p w14:paraId="359E12B7"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intézményi közéleti tevékenység,</w:t>
      </w:r>
    </w:p>
    <w:p w14:paraId="0C40C7C8"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 xml:space="preserve">tudománynépszerűsítési feladatok, </w:t>
      </w:r>
      <w:proofErr w:type="gramStart"/>
      <w:r w:rsidRPr="00631DA4">
        <w:rPr>
          <w:rFonts w:eastAsia="Calibri"/>
          <w:iCs/>
          <w:sz w:val="22"/>
          <w:szCs w:val="22"/>
        </w:rPr>
        <w:t>konferenciákon</w:t>
      </w:r>
      <w:proofErr w:type="gramEnd"/>
      <w:r w:rsidRPr="00631DA4">
        <w:rPr>
          <w:rFonts w:eastAsia="Calibri"/>
          <w:iCs/>
          <w:sz w:val="22"/>
          <w:szCs w:val="22"/>
        </w:rPr>
        <w:t xml:space="preserve"> való részvétel terén nyújtott aktivitás,</w:t>
      </w:r>
    </w:p>
    <w:p w14:paraId="2C3CFA35"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 xml:space="preserve">pályázatokban való részvétel terén nyújtott </w:t>
      </w:r>
      <w:proofErr w:type="gramStart"/>
      <w:r w:rsidRPr="00631DA4">
        <w:rPr>
          <w:rFonts w:eastAsia="Calibri"/>
          <w:iCs/>
          <w:sz w:val="22"/>
          <w:szCs w:val="22"/>
        </w:rPr>
        <w:t>aktivitás</w:t>
      </w:r>
      <w:proofErr w:type="gramEnd"/>
      <w:r w:rsidRPr="00631DA4">
        <w:rPr>
          <w:rFonts w:eastAsia="Calibri"/>
          <w:iCs/>
          <w:sz w:val="22"/>
          <w:szCs w:val="22"/>
        </w:rPr>
        <w:t xml:space="preserve"> és az ehhez kapcsolódó forrásteremtő képesség,</w:t>
      </w:r>
    </w:p>
    <w:p w14:paraId="3A577FB9"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doktori képzésben való tevékenység, tudományszervezési feladatokban való részvétel,</w:t>
      </w:r>
    </w:p>
    <w:p w14:paraId="49CBA616"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 xml:space="preserve">az oktatói </w:t>
      </w:r>
      <w:proofErr w:type="gramStart"/>
      <w:r w:rsidRPr="00631DA4">
        <w:rPr>
          <w:rFonts w:eastAsia="Calibri"/>
          <w:iCs/>
          <w:sz w:val="22"/>
          <w:szCs w:val="22"/>
        </w:rPr>
        <w:t>munka hallgatók</w:t>
      </w:r>
      <w:proofErr w:type="gramEnd"/>
      <w:r w:rsidRPr="00631DA4">
        <w:rPr>
          <w:rFonts w:eastAsia="Calibri"/>
          <w:iCs/>
          <w:sz w:val="22"/>
          <w:szCs w:val="22"/>
        </w:rPr>
        <w:t xml:space="preserve"> általi véleményezése, az oktatási tevékenység színvonalának általános megítélése,</w:t>
      </w:r>
    </w:p>
    <w:p w14:paraId="24AF7794" w14:textId="77777777" w:rsidR="00FD0545" w:rsidRPr="00631DA4" w:rsidRDefault="00FD0545" w:rsidP="00F83E93">
      <w:pPr>
        <w:numPr>
          <w:ilvl w:val="0"/>
          <w:numId w:val="172"/>
        </w:numPr>
        <w:contextualSpacing/>
        <w:jc w:val="both"/>
        <w:rPr>
          <w:rFonts w:eastAsia="Calibri"/>
          <w:iCs/>
          <w:sz w:val="22"/>
          <w:szCs w:val="22"/>
        </w:rPr>
      </w:pPr>
      <w:r w:rsidRPr="00631DA4">
        <w:rPr>
          <w:rFonts w:eastAsia="Calibri"/>
          <w:iCs/>
          <w:sz w:val="22"/>
          <w:szCs w:val="22"/>
        </w:rPr>
        <w:t xml:space="preserve">az oktatói </w:t>
      </w:r>
      <w:proofErr w:type="gramStart"/>
      <w:r w:rsidRPr="00631DA4">
        <w:rPr>
          <w:rFonts w:eastAsia="Calibri"/>
          <w:iCs/>
          <w:sz w:val="22"/>
          <w:szCs w:val="22"/>
        </w:rPr>
        <w:t>munka hallgatók</w:t>
      </w:r>
      <w:proofErr w:type="gramEnd"/>
      <w:r w:rsidRPr="00631DA4">
        <w:rPr>
          <w:rFonts w:eastAsia="Calibri"/>
          <w:iCs/>
          <w:sz w:val="22"/>
          <w:szCs w:val="22"/>
        </w:rPr>
        <w:t xml:space="preserve"> általi véleményezése, a hallgatók szakmai előmenetelét támogató tanári attitűd. </w:t>
      </w:r>
    </w:p>
    <w:p w14:paraId="7A8B3D95" w14:textId="77777777" w:rsidR="00FD0545" w:rsidRPr="00631DA4" w:rsidRDefault="00FD0545" w:rsidP="00FD0545">
      <w:pPr>
        <w:autoSpaceDE w:val="0"/>
        <w:autoSpaceDN w:val="0"/>
        <w:adjustRightInd w:val="0"/>
        <w:contextualSpacing/>
        <w:jc w:val="both"/>
        <w:rPr>
          <w:rFonts w:eastAsia="Calibri"/>
          <w:sz w:val="22"/>
          <w:szCs w:val="22"/>
        </w:rPr>
      </w:pPr>
    </w:p>
    <w:p w14:paraId="4AC66EA5"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(2) Az (1) bekezdés a) - b) pontjaiban meghatározott szempontokat az </w:t>
      </w:r>
      <w:proofErr w:type="spellStart"/>
      <w:r w:rsidRPr="00631DA4">
        <w:rPr>
          <w:rFonts w:eastAsia="Calibri"/>
          <w:sz w:val="22"/>
          <w:szCs w:val="22"/>
        </w:rPr>
        <w:t>Fkr</w:t>
      </w:r>
      <w:proofErr w:type="spellEnd"/>
      <w:r w:rsidRPr="00631DA4">
        <w:rPr>
          <w:rFonts w:eastAsia="Calibri"/>
          <w:sz w:val="22"/>
          <w:szCs w:val="22"/>
        </w:rPr>
        <w:t>. 83. §-</w:t>
      </w:r>
      <w:proofErr w:type="spellStart"/>
      <w:r w:rsidRPr="00631DA4">
        <w:rPr>
          <w:rFonts w:eastAsia="Calibri"/>
          <w:sz w:val="22"/>
          <w:szCs w:val="22"/>
        </w:rPr>
        <w:t>ban</w:t>
      </w:r>
      <w:proofErr w:type="spellEnd"/>
      <w:r w:rsidRPr="00631DA4">
        <w:rPr>
          <w:rFonts w:eastAsia="Calibri"/>
          <w:sz w:val="22"/>
          <w:szCs w:val="22"/>
        </w:rPr>
        <w:t xml:space="preserve"> foglaltakra tekintettel kell figyelembe venni azzal, hogy a Karon az idegen nyelven folytatott tanítási tevékenység elkülönülten nem kerül értékelésre.</w:t>
      </w:r>
    </w:p>
    <w:p w14:paraId="398F90F9" w14:textId="77777777" w:rsidR="00FD0545" w:rsidRPr="00631DA4" w:rsidRDefault="00FD0545" w:rsidP="00FD0545">
      <w:pPr>
        <w:contextualSpacing/>
        <w:jc w:val="both"/>
        <w:rPr>
          <w:rFonts w:eastAsia="Calibri"/>
          <w:sz w:val="22"/>
          <w:szCs w:val="22"/>
        </w:rPr>
      </w:pPr>
    </w:p>
    <w:p w14:paraId="53B982E9"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 xml:space="preserve">(3) Az (1) bekezdés d) pontja szerinti szemponttal kapcsolatban a publikációs tevékenység tekintetében a Magyar Tudományos Akadémiáról szóló 1994. évi XL. törvény 3. § (1) bekezdés o) pontjában meghatározott nemzeti tudományos bibliográfiai adatbázisban szereplő adatokat kell figyelembe venni. Az </w:t>
      </w:r>
      <w:proofErr w:type="spellStart"/>
      <w:r w:rsidRPr="00631DA4">
        <w:rPr>
          <w:rFonts w:eastAsia="Calibri"/>
          <w:sz w:val="22"/>
          <w:szCs w:val="22"/>
        </w:rPr>
        <w:t>Fkr</w:t>
      </w:r>
      <w:proofErr w:type="spellEnd"/>
      <w:r w:rsidRPr="00631DA4">
        <w:rPr>
          <w:rFonts w:eastAsia="Calibri"/>
          <w:sz w:val="22"/>
          <w:szCs w:val="22"/>
        </w:rPr>
        <w:t xml:space="preserve"> 52. § (5) bekezdéséről eltérően a Karon az értékelés során nem elkülönülten kerül </w:t>
      </w:r>
      <w:r w:rsidRPr="00631DA4">
        <w:rPr>
          <w:rFonts w:eastAsia="Calibri"/>
          <w:sz w:val="22"/>
          <w:szCs w:val="22"/>
        </w:rPr>
        <w:lastRenderedPageBreak/>
        <w:t>figyelembevételre az idegen nyelvű és a külföldön megjelent közlemények, valamint a közleményekre való független hivatkozások.</w:t>
      </w:r>
    </w:p>
    <w:p w14:paraId="0EE01869" w14:textId="77777777" w:rsidR="00FD0545" w:rsidRPr="00631DA4" w:rsidRDefault="00FD0545" w:rsidP="00FD0545">
      <w:pPr>
        <w:contextualSpacing/>
        <w:jc w:val="both"/>
        <w:rPr>
          <w:rFonts w:eastAsia="Calibri"/>
          <w:sz w:val="22"/>
          <w:szCs w:val="22"/>
        </w:rPr>
      </w:pPr>
    </w:p>
    <w:p w14:paraId="46153FF9"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(4) Az (1) bekezdés e) pontja szerinti szempont értékelése során figyelembe kell venni az egyetem és a </w:t>
      </w:r>
      <w:proofErr w:type="gramStart"/>
      <w:r w:rsidRPr="00631DA4">
        <w:rPr>
          <w:rFonts w:eastAsia="Calibri"/>
          <w:sz w:val="22"/>
          <w:szCs w:val="22"/>
        </w:rPr>
        <w:t>Kar vezető</w:t>
      </w:r>
      <w:proofErr w:type="gramEnd"/>
      <w:r w:rsidRPr="00631DA4">
        <w:rPr>
          <w:rFonts w:eastAsia="Calibri"/>
          <w:sz w:val="22"/>
          <w:szCs w:val="22"/>
        </w:rPr>
        <w:t xml:space="preserve"> testületeiben, ezek bizottságaiban viselt tagságot, valamint az egyetemi vagy kari magasabb vezetői és vezetői tevékenységet.</w:t>
      </w:r>
    </w:p>
    <w:p w14:paraId="38440667" w14:textId="77777777" w:rsidR="00FD0545" w:rsidRPr="00631DA4" w:rsidRDefault="00FD0545" w:rsidP="00FD0545">
      <w:pPr>
        <w:contextualSpacing/>
        <w:jc w:val="both"/>
        <w:rPr>
          <w:rFonts w:eastAsia="Calibri"/>
          <w:sz w:val="22"/>
          <w:szCs w:val="22"/>
        </w:rPr>
      </w:pPr>
    </w:p>
    <w:p w14:paraId="24B67A2E" w14:textId="77777777" w:rsidR="00FD0545" w:rsidRPr="00631DA4" w:rsidRDefault="00FD0545" w:rsidP="00FD0545">
      <w:pPr>
        <w:contextualSpacing/>
        <w:jc w:val="both"/>
        <w:rPr>
          <w:rFonts w:eastAsia="Calibri"/>
          <w:sz w:val="22"/>
          <w:szCs w:val="22"/>
        </w:rPr>
      </w:pPr>
      <w:r w:rsidRPr="00631DA4">
        <w:rPr>
          <w:rFonts w:eastAsia="Calibri"/>
          <w:sz w:val="22"/>
          <w:szCs w:val="22"/>
        </w:rPr>
        <w:t>(5) Az (1) bekezdés c) pontja szerinti szempont értékelésekor figyelembe kell venni az Országos Tudományos Diákköri Konferencia programjának körében végzett tevékenységet.</w:t>
      </w:r>
    </w:p>
    <w:p w14:paraId="077A0B9C" w14:textId="77777777" w:rsidR="00FD0545" w:rsidRPr="00631DA4" w:rsidRDefault="00FD0545" w:rsidP="00FD0545">
      <w:pPr>
        <w:contextualSpacing/>
        <w:jc w:val="both"/>
        <w:rPr>
          <w:rFonts w:eastAsia="Calibri"/>
          <w:sz w:val="22"/>
          <w:szCs w:val="22"/>
        </w:rPr>
      </w:pPr>
    </w:p>
    <w:p w14:paraId="701C0B6D" w14:textId="77777777" w:rsidR="00FD0545" w:rsidRPr="00631DA4" w:rsidRDefault="00FD0545" w:rsidP="00FD0545">
      <w:pPr>
        <w:contextualSpacing/>
        <w:jc w:val="both"/>
        <w:rPr>
          <w:rFonts w:eastAsia="Calibri"/>
          <w:sz w:val="22"/>
          <w:szCs w:val="22"/>
        </w:rPr>
      </w:pPr>
      <w:r w:rsidRPr="00631DA4">
        <w:rPr>
          <w:rFonts w:eastAsia="Calibri"/>
          <w:sz w:val="22"/>
          <w:szCs w:val="22"/>
        </w:rPr>
        <w:t>(6) Az (1) bekezdés h) pontjában meghatározott szempontok értékelése során – a Kar szabályzatának rendelkezése szerint – figyelembe kell venni a doktori témavezetői tevékenységet, a doktori fokozatot szerzett hallgatók számát, a doktori és habilitációs cselekményekben való részvételt, ideértve más felsőoktatási intézményekben folytatott tevékenységet is.</w:t>
      </w:r>
    </w:p>
    <w:p w14:paraId="7EEF57CB" w14:textId="77777777" w:rsidR="00FD0545" w:rsidRPr="00631DA4" w:rsidRDefault="00FD0545" w:rsidP="00FD0545">
      <w:pPr>
        <w:contextualSpacing/>
        <w:jc w:val="both"/>
        <w:rPr>
          <w:rFonts w:eastAsia="Calibri"/>
          <w:iCs/>
          <w:sz w:val="22"/>
          <w:szCs w:val="22"/>
        </w:rPr>
      </w:pPr>
    </w:p>
    <w:p w14:paraId="3F08090C" w14:textId="77777777" w:rsidR="00FD0545" w:rsidRPr="00631DA4" w:rsidRDefault="00FD0545" w:rsidP="00FD0545">
      <w:pPr>
        <w:contextualSpacing/>
        <w:jc w:val="both"/>
        <w:rPr>
          <w:rFonts w:eastAsia="Calibri"/>
          <w:iCs/>
          <w:sz w:val="22"/>
          <w:szCs w:val="22"/>
        </w:rPr>
      </w:pPr>
      <w:r w:rsidRPr="00631DA4">
        <w:rPr>
          <w:rFonts w:eastAsia="Calibri"/>
          <w:iCs/>
          <w:sz w:val="22"/>
          <w:szCs w:val="22"/>
        </w:rPr>
        <w:t xml:space="preserve">(7) A (1) bekezdés i) és j) pontja szerinti szempontokat az oktatói munka hallgatói véleményezésének a Karon meghatározott rendje alapján kell figyelembe venni. </w:t>
      </w:r>
    </w:p>
    <w:p w14:paraId="324FE667" w14:textId="77777777" w:rsidR="00FD0545" w:rsidRPr="00631DA4" w:rsidRDefault="00FD0545" w:rsidP="00FD0545">
      <w:pPr>
        <w:contextualSpacing/>
        <w:jc w:val="both"/>
        <w:rPr>
          <w:rFonts w:eastAsia="Calibri"/>
          <w:sz w:val="22"/>
          <w:szCs w:val="22"/>
        </w:rPr>
      </w:pPr>
    </w:p>
    <w:p w14:paraId="3E46DD7A" w14:textId="77777777" w:rsidR="00FD0545" w:rsidRPr="00631DA4" w:rsidRDefault="00FD0545" w:rsidP="00FD0545">
      <w:pPr>
        <w:contextualSpacing/>
        <w:jc w:val="both"/>
        <w:rPr>
          <w:rFonts w:eastAsia="Calibri"/>
          <w:sz w:val="22"/>
          <w:szCs w:val="22"/>
        </w:rPr>
      </w:pPr>
      <w:r w:rsidRPr="00631DA4">
        <w:rPr>
          <w:rFonts w:eastAsia="Calibri"/>
          <w:sz w:val="22"/>
          <w:szCs w:val="22"/>
        </w:rPr>
        <w:t>(8) Az oktatói és kutatói teljesítményértékelés részletes szempontjai az online rendszerben tekinthetők meg, csoportosításuk a TÉR szempontjait figyelembe véve a következőképpen valósul meg:</w:t>
      </w:r>
    </w:p>
    <w:p w14:paraId="3FAB65EA" w14:textId="77777777" w:rsidR="00FD0545" w:rsidRPr="00631DA4" w:rsidRDefault="00FD0545" w:rsidP="00FD0545">
      <w:pPr>
        <w:autoSpaceDE w:val="0"/>
        <w:autoSpaceDN w:val="0"/>
        <w:adjustRightInd w:val="0"/>
        <w:contextualSpacing/>
        <w:jc w:val="both"/>
        <w:rPr>
          <w:rFonts w:eastAsia="Calibri"/>
          <w:sz w:val="22"/>
          <w:szCs w:val="22"/>
        </w:rPr>
      </w:pPr>
    </w:p>
    <w:p w14:paraId="2D719E9F"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I. oktatói tevékenység: a), b), c), </w:t>
      </w:r>
    </w:p>
    <w:p w14:paraId="7ADF00B7"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II. tudományos tevékenység: d), f), g), h), </w:t>
      </w:r>
    </w:p>
    <w:p w14:paraId="582B6D35" w14:textId="77777777" w:rsidR="00FD0545" w:rsidRPr="00631DA4" w:rsidRDefault="00FD0545" w:rsidP="00FD0545">
      <w:pPr>
        <w:contextualSpacing/>
        <w:jc w:val="both"/>
        <w:rPr>
          <w:rFonts w:eastAsia="Calibri"/>
          <w:sz w:val="22"/>
          <w:szCs w:val="22"/>
        </w:rPr>
      </w:pPr>
      <w:r w:rsidRPr="00631DA4">
        <w:rPr>
          <w:rFonts w:eastAsia="Calibri"/>
          <w:sz w:val="22"/>
          <w:szCs w:val="22"/>
        </w:rPr>
        <w:t>III. közéleti tevékenység: e),</w:t>
      </w:r>
    </w:p>
    <w:p w14:paraId="1509667E" w14:textId="77777777" w:rsidR="00FD0545" w:rsidRPr="00631DA4" w:rsidRDefault="00FD0545" w:rsidP="00FD0545">
      <w:pPr>
        <w:contextualSpacing/>
        <w:jc w:val="both"/>
        <w:rPr>
          <w:rFonts w:eastAsia="Calibri"/>
          <w:sz w:val="22"/>
          <w:szCs w:val="22"/>
        </w:rPr>
      </w:pPr>
      <w:r w:rsidRPr="00631DA4">
        <w:rPr>
          <w:rFonts w:eastAsia="Calibri"/>
          <w:sz w:val="22"/>
          <w:szCs w:val="22"/>
        </w:rPr>
        <w:t>IV. oktatói munka hallgatói véleményezése: i), j).</w:t>
      </w:r>
    </w:p>
    <w:p w14:paraId="24ADBA41" w14:textId="77777777" w:rsidR="00FD0545" w:rsidRPr="00631DA4" w:rsidRDefault="00FD0545" w:rsidP="00FD0545">
      <w:pPr>
        <w:contextualSpacing/>
        <w:jc w:val="both"/>
        <w:rPr>
          <w:rFonts w:eastAsia="Calibri"/>
          <w:sz w:val="22"/>
          <w:szCs w:val="22"/>
        </w:rPr>
      </w:pPr>
    </w:p>
    <w:p w14:paraId="37CF1838"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(9) Vezetői megbízással rendelkező munkatárs esetében a (1) bekezdés a következő </w:t>
      </w:r>
      <w:r w:rsidRPr="00631DA4">
        <w:rPr>
          <w:rFonts w:eastAsia="Calibri"/>
          <w:iCs/>
          <w:sz w:val="22"/>
          <w:szCs w:val="22"/>
        </w:rPr>
        <w:t>szempontokkal egészül ki:</w:t>
      </w:r>
    </w:p>
    <w:p w14:paraId="1EE0F68F" w14:textId="77777777" w:rsidR="00FD0545" w:rsidRPr="00631DA4" w:rsidRDefault="00FD0545" w:rsidP="00F83E93">
      <w:pPr>
        <w:numPr>
          <w:ilvl w:val="0"/>
          <w:numId w:val="142"/>
        </w:numPr>
        <w:ind w:left="567" w:hanging="283"/>
        <w:contextualSpacing/>
        <w:jc w:val="both"/>
        <w:rPr>
          <w:rFonts w:eastAsia="Calibri"/>
          <w:iCs/>
          <w:sz w:val="22"/>
          <w:szCs w:val="22"/>
        </w:rPr>
      </w:pPr>
      <w:r w:rsidRPr="00631DA4">
        <w:rPr>
          <w:rFonts w:eastAsia="Calibri"/>
          <w:iCs/>
          <w:sz w:val="22"/>
          <w:szCs w:val="22"/>
        </w:rPr>
        <w:t>A vezető által irányított szervezeti egység/intézmény munkájának színvonala</w:t>
      </w:r>
    </w:p>
    <w:p w14:paraId="375F9A1A" w14:textId="77777777" w:rsidR="00FD0545" w:rsidRPr="00631DA4" w:rsidRDefault="00FD0545" w:rsidP="00F83E93">
      <w:pPr>
        <w:numPr>
          <w:ilvl w:val="0"/>
          <w:numId w:val="142"/>
        </w:numPr>
        <w:ind w:left="567" w:hanging="283"/>
        <w:contextualSpacing/>
        <w:jc w:val="both"/>
        <w:rPr>
          <w:rFonts w:eastAsia="Calibri"/>
          <w:iCs/>
          <w:sz w:val="22"/>
          <w:szCs w:val="22"/>
        </w:rPr>
      </w:pPr>
      <w:r w:rsidRPr="00631DA4">
        <w:rPr>
          <w:rFonts w:eastAsia="Calibri"/>
          <w:iCs/>
          <w:sz w:val="22"/>
          <w:szCs w:val="22"/>
        </w:rPr>
        <w:t>A vezető által irányított szervezeti egység/intézmény munkavégzésének szervezése.</w:t>
      </w:r>
    </w:p>
    <w:p w14:paraId="69A79C3A" w14:textId="77777777" w:rsidR="00FD0545" w:rsidRPr="00631DA4" w:rsidRDefault="00FD0545" w:rsidP="00FD0545">
      <w:pPr>
        <w:ind w:left="360"/>
        <w:contextualSpacing/>
        <w:jc w:val="both"/>
        <w:rPr>
          <w:rFonts w:eastAsia="Calibri"/>
          <w:iCs/>
          <w:sz w:val="22"/>
          <w:szCs w:val="22"/>
        </w:rPr>
      </w:pPr>
    </w:p>
    <w:p w14:paraId="5E215388" w14:textId="77777777" w:rsidR="00FD0545" w:rsidRPr="00631DA4" w:rsidRDefault="00FD0545" w:rsidP="00FD0545">
      <w:pPr>
        <w:contextualSpacing/>
        <w:jc w:val="center"/>
        <w:rPr>
          <w:rFonts w:eastAsia="Calibri"/>
          <w:b/>
          <w:iCs/>
          <w:sz w:val="22"/>
          <w:szCs w:val="22"/>
        </w:rPr>
      </w:pPr>
      <w:r w:rsidRPr="00631DA4">
        <w:rPr>
          <w:rFonts w:eastAsia="Calibri"/>
          <w:b/>
          <w:iCs/>
          <w:sz w:val="22"/>
          <w:szCs w:val="22"/>
        </w:rPr>
        <w:t>A minősítés</w:t>
      </w:r>
    </w:p>
    <w:p w14:paraId="3F8E68EA" w14:textId="77777777" w:rsidR="00FD0545" w:rsidRPr="00631DA4" w:rsidRDefault="00FD0545" w:rsidP="00FD0545">
      <w:pPr>
        <w:contextualSpacing/>
        <w:jc w:val="both"/>
        <w:rPr>
          <w:rFonts w:eastAsia="Calibri"/>
          <w:b/>
          <w:iCs/>
          <w:sz w:val="22"/>
          <w:szCs w:val="22"/>
        </w:rPr>
      </w:pPr>
    </w:p>
    <w:p w14:paraId="555BB10C" w14:textId="77777777" w:rsidR="00FD0545" w:rsidRPr="00631DA4" w:rsidRDefault="00FD0545" w:rsidP="00FD0545">
      <w:pPr>
        <w:contextualSpacing/>
        <w:jc w:val="both"/>
        <w:rPr>
          <w:rFonts w:eastAsia="Calibri"/>
          <w:sz w:val="22"/>
          <w:szCs w:val="22"/>
        </w:rPr>
      </w:pPr>
      <w:r w:rsidRPr="00631DA4">
        <w:rPr>
          <w:rFonts w:eastAsia="Calibri"/>
          <w:b/>
          <w:sz w:val="22"/>
          <w:szCs w:val="22"/>
        </w:rPr>
        <w:t>6. §</w:t>
      </w:r>
      <w:r>
        <w:rPr>
          <w:rFonts w:eastAsia="Calibri"/>
          <w:sz w:val="22"/>
          <w:szCs w:val="22"/>
        </w:rPr>
        <w:t xml:space="preserve"> (1) </w:t>
      </w:r>
      <w:r w:rsidRPr="00631DA4">
        <w:rPr>
          <w:rFonts w:eastAsia="Calibri"/>
          <w:sz w:val="22"/>
          <w:szCs w:val="22"/>
        </w:rPr>
        <w:t>A minősítés célja a közalkalmazott munkaköri feladatai ellátásának megítélése, az ezt befolyásoló ismeretek, képességek, személyi tulajdonságok, készségek, attitűdök, felelősség, önállóság értékelése, továbbá a szakmai fejlődés elősegítése.</w:t>
      </w:r>
    </w:p>
    <w:p w14:paraId="39A4039C" w14:textId="77777777" w:rsidR="00FD0545" w:rsidRPr="00631DA4" w:rsidRDefault="00FD0545" w:rsidP="00FD0545">
      <w:pPr>
        <w:contextualSpacing/>
        <w:jc w:val="both"/>
        <w:rPr>
          <w:rFonts w:eastAsia="Calibri"/>
          <w:sz w:val="22"/>
          <w:szCs w:val="22"/>
        </w:rPr>
      </w:pPr>
    </w:p>
    <w:p w14:paraId="642B40E0" w14:textId="77777777" w:rsidR="00FD0545" w:rsidRPr="00631DA4" w:rsidRDefault="00FD0545" w:rsidP="00FD0545">
      <w:pPr>
        <w:jc w:val="both"/>
        <w:rPr>
          <w:rFonts w:eastAsia="Calibri"/>
          <w:sz w:val="22"/>
          <w:szCs w:val="22"/>
        </w:rPr>
      </w:pPr>
      <w:r w:rsidRPr="00631DA4">
        <w:rPr>
          <w:rFonts w:eastAsia="Calibri"/>
          <w:sz w:val="22"/>
          <w:szCs w:val="22"/>
        </w:rPr>
        <w:t xml:space="preserve">(2) Az </w:t>
      </w:r>
      <w:proofErr w:type="spellStart"/>
      <w:r w:rsidRPr="00631DA4">
        <w:rPr>
          <w:rFonts w:eastAsia="Calibri"/>
          <w:sz w:val="22"/>
          <w:szCs w:val="22"/>
        </w:rPr>
        <w:t>Fkr</w:t>
      </w:r>
      <w:proofErr w:type="spellEnd"/>
      <w:r w:rsidRPr="00631DA4">
        <w:rPr>
          <w:rFonts w:eastAsia="Calibri"/>
          <w:sz w:val="22"/>
          <w:szCs w:val="22"/>
        </w:rPr>
        <w:t xml:space="preserve"> 52. §-</w:t>
      </w:r>
      <w:proofErr w:type="spellStart"/>
      <w:r w:rsidRPr="00631DA4">
        <w:rPr>
          <w:rFonts w:eastAsia="Calibri"/>
          <w:sz w:val="22"/>
          <w:szCs w:val="22"/>
        </w:rPr>
        <w:t>ban</w:t>
      </w:r>
      <w:proofErr w:type="spellEnd"/>
      <w:r w:rsidRPr="00631DA4">
        <w:rPr>
          <w:rFonts w:eastAsia="Calibri"/>
          <w:sz w:val="22"/>
          <w:szCs w:val="22"/>
        </w:rPr>
        <w:t xml:space="preserve"> meghatározott minősítések a következők:</w:t>
      </w:r>
    </w:p>
    <w:p w14:paraId="6A64BCF8" w14:textId="77777777" w:rsidR="00FD0545" w:rsidRPr="00631DA4" w:rsidRDefault="00FD0545" w:rsidP="00FD0545">
      <w:pPr>
        <w:jc w:val="both"/>
        <w:rPr>
          <w:rFonts w:eastAsia="Calibri"/>
          <w:sz w:val="22"/>
          <w:szCs w:val="22"/>
        </w:rPr>
      </w:pPr>
      <w:proofErr w:type="gramStart"/>
      <w:r w:rsidRPr="00631DA4">
        <w:rPr>
          <w:rFonts w:eastAsia="Calibri"/>
          <w:sz w:val="22"/>
          <w:szCs w:val="22"/>
        </w:rPr>
        <w:t>a</w:t>
      </w:r>
      <w:proofErr w:type="gramEnd"/>
      <w:r w:rsidRPr="00631DA4">
        <w:rPr>
          <w:rFonts w:eastAsia="Calibri"/>
          <w:sz w:val="22"/>
          <w:szCs w:val="22"/>
        </w:rPr>
        <w:t>) kiválóan alkalmas,</w:t>
      </w:r>
    </w:p>
    <w:p w14:paraId="35B27001" w14:textId="77777777" w:rsidR="00FD0545" w:rsidRPr="00631DA4" w:rsidRDefault="00FD0545" w:rsidP="00FD0545">
      <w:pPr>
        <w:jc w:val="both"/>
        <w:rPr>
          <w:rFonts w:eastAsia="Calibri"/>
          <w:sz w:val="22"/>
          <w:szCs w:val="22"/>
        </w:rPr>
      </w:pPr>
      <w:r w:rsidRPr="00631DA4">
        <w:rPr>
          <w:rFonts w:eastAsia="Calibri"/>
          <w:sz w:val="22"/>
          <w:szCs w:val="22"/>
        </w:rPr>
        <w:t>b) alkalmas,</w:t>
      </w:r>
    </w:p>
    <w:p w14:paraId="197F9E26" w14:textId="77777777" w:rsidR="00FD0545" w:rsidRPr="00631DA4" w:rsidRDefault="00FD0545" w:rsidP="00FD0545">
      <w:pPr>
        <w:jc w:val="both"/>
        <w:rPr>
          <w:rFonts w:eastAsia="Calibri"/>
          <w:sz w:val="22"/>
          <w:szCs w:val="22"/>
        </w:rPr>
      </w:pPr>
      <w:r w:rsidRPr="00631DA4">
        <w:rPr>
          <w:rFonts w:eastAsia="Calibri"/>
          <w:sz w:val="22"/>
          <w:szCs w:val="22"/>
        </w:rPr>
        <w:t>c) kevéssé alkalmas,</w:t>
      </w:r>
    </w:p>
    <w:p w14:paraId="4FE2CBBB" w14:textId="77777777" w:rsidR="00FD0545" w:rsidRPr="00631DA4" w:rsidRDefault="00FD0545" w:rsidP="00FD0545">
      <w:pPr>
        <w:jc w:val="both"/>
        <w:rPr>
          <w:rFonts w:eastAsia="Calibri"/>
          <w:sz w:val="22"/>
          <w:szCs w:val="22"/>
        </w:rPr>
      </w:pPr>
      <w:r w:rsidRPr="00631DA4">
        <w:rPr>
          <w:rFonts w:eastAsia="Calibri"/>
          <w:sz w:val="22"/>
          <w:szCs w:val="22"/>
        </w:rPr>
        <w:t>d) alkalmatlan.</w:t>
      </w:r>
    </w:p>
    <w:p w14:paraId="4AAE9A0D" w14:textId="77777777" w:rsidR="00FD0545" w:rsidRPr="00631DA4" w:rsidRDefault="00FD0545" w:rsidP="00FD0545">
      <w:pPr>
        <w:contextualSpacing/>
        <w:jc w:val="both"/>
        <w:rPr>
          <w:rFonts w:eastAsia="Calibri"/>
          <w:sz w:val="22"/>
          <w:szCs w:val="22"/>
        </w:rPr>
      </w:pPr>
    </w:p>
    <w:p w14:paraId="2758CBC0"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iCs/>
          <w:sz w:val="22"/>
          <w:szCs w:val="22"/>
        </w:rPr>
        <w:t xml:space="preserve">(3) </w:t>
      </w:r>
      <w:r w:rsidRPr="00631DA4">
        <w:rPr>
          <w:rFonts w:eastAsia="Calibri"/>
          <w:sz w:val="22"/>
          <w:szCs w:val="22"/>
        </w:rPr>
        <w:t>A TÉR-</w:t>
      </w:r>
      <w:proofErr w:type="spellStart"/>
      <w:r w:rsidRPr="00631DA4">
        <w:rPr>
          <w:rFonts w:eastAsia="Calibri"/>
          <w:sz w:val="22"/>
          <w:szCs w:val="22"/>
        </w:rPr>
        <w:t>ben</w:t>
      </w:r>
      <w:proofErr w:type="spellEnd"/>
      <w:r w:rsidRPr="00631DA4">
        <w:rPr>
          <w:rFonts w:eastAsia="Calibri"/>
          <w:sz w:val="22"/>
          <w:szCs w:val="22"/>
        </w:rPr>
        <w:t xml:space="preserve"> generálható minősítőlap pontszámítási alapja a z-érték </w:t>
      </w:r>
      <w:proofErr w:type="gramStart"/>
      <w:r w:rsidRPr="00631DA4">
        <w:rPr>
          <w:rFonts w:eastAsia="Calibri"/>
          <w:sz w:val="22"/>
          <w:szCs w:val="22"/>
        </w:rPr>
        <w:t>kalkulációjú</w:t>
      </w:r>
      <w:proofErr w:type="gramEnd"/>
      <w:r w:rsidRPr="00631DA4">
        <w:rPr>
          <w:rFonts w:eastAsia="Calibri"/>
          <w:sz w:val="22"/>
          <w:szCs w:val="22"/>
        </w:rPr>
        <w:t xml:space="preserve">/számítású standardizálás. A minősítési lap szempontjainak átlaga, szórása munkakörönként kerül kiszámításra. Az </w:t>
      </w:r>
      <w:proofErr w:type="gramStart"/>
      <w:r w:rsidRPr="00631DA4">
        <w:rPr>
          <w:rFonts w:eastAsia="Calibri"/>
          <w:sz w:val="22"/>
          <w:szCs w:val="22"/>
        </w:rPr>
        <w:t>értékelés minősítési</w:t>
      </w:r>
      <w:proofErr w:type="gramEnd"/>
      <w:r w:rsidRPr="00631DA4">
        <w:rPr>
          <w:rFonts w:eastAsia="Calibri"/>
          <w:sz w:val="22"/>
          <w:szCs w:val="22"/>
        </w:rPr>
        <w:t xml:space="preserve"> szempontonként kerül meghatározásra. </w:t>
      </w:r>
    </w:p>
    <w:p w14:paraId="148D553A"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Ha a (</w:t>
      </w:r>
      <w:proofErr w:type="spellStart"/>
      <w:r w:rsidRPr="00631DA4">
        <w:rPr>
          <w:rFonts w:eastAsia="Calibri"/>
          <w:sz w:val="22"/>
          <w:szCs w:val="22"/>
        </w:rPr>
        <w:t>minősített_pontszáma</w:t>
      </w:r>
      <w:proofErr w:type="spellEnd"/>
      <w:r w:rsidRPr="00631DA4">
        <w:rPr>
          <w:rFonts w:eastAsia="Calibri"/>
          <w:sz w:val="22"/>
          <w:szCs w:val="22"/>
        </w:rPr>
        <w:t xml:space="preserve"> – </w:t>
      </w:r>
      <w:proofErr w:type="spellStart"/>
      <w:r w:rsidRPr="00631DA4">
        <w:rPr>
          <w:rFonts w:eastAsia="Calibri"/>
          <w:sz w:val="22"/>
          <w:szCs w:val="22"/>
        </w:rPr>
        <w:t>a_munkak</w:t>
      </w:r>
      <w:r>
        <w:rPr>
          <w:rFonts w:eastAsia="Calibri"/>
          <w:sz w:val="22"/>
          <w:szCs w:val="22"/>
        </w:rPr>
        <w:t>ör_átlaga</w:t>
      </w:r>
      <w:proofErr w:type="spellEnd"/>
      <w:r>
        <w:rPr>
          <w:rFonts w:eastAsia="Calibri"/>
          <w:sz w:val="22"/>
          <w:szCs w:val="22"/>
        </w:rPr>
        <w:t xml:space="preserve">) / </w:t>
      </w:r>
      <w:proofErr w:type="spellStart"/>
      <w:r>
        <w:rPr>
          <w:rFonts w:eastAsia="Calibri"/>
          <w:sz w:val="22"/>
          <w:szCs w:val="22"/>
        </w:rPr>
        <w:t>munkakör_szórása</w:t>
      </w:r>
      <w:proofErr w:type="spellEnd"/>
      <w:r>
        <w:rPr>
          <w:rFonts w:eastAsia="Calibri"/>
          <w:sz w:val="22"/>
          <w:szCs w:val="22"/>
        </w:rPr>
        <w:t>):</w:t>
      </w:r>
      <w:r w:rsidRPr="00631DA4">
        <w:rPr>
          <w:rFonts w:eastAsia="Calibri"/>
          <w:sz w:val="22"/>
          <w:szCs w:val="22"/>
        </w:rPr>
        <w:br/>
        <w:t xml:space="preserve">z </w:t>
      </w:r>
      <w:proofErr w:type="gramStart"/>
      <w:r w:rsidRPr="00631DA4">
        <w:rPr>
          <w:rFonts w:eastAsia="Calibri"/>
          <w:sz w:val="22"/>
          <w:szCs w:val="22"/>
        </w:rPr>
        <w:t>&lt; -</w:t>
      </w:r>
      <w:proofErr w:type="gramEnd"/>
      <w:r w:rsidRPr="00631DA4">
        <w:rPr>
          <w:rFonts w:eastAsia="Calibri"/>
          <w:sz w:val="22"/>
          <w:szCs w:val="22"/>
        </w:rPr>
        <w:t xml:space="preserve">2 </w:t>
      </w:r>
      <w:r w:rsidRPr="00631DA4">
        <w:rPr>
          <w:rFonts w:eastAsia="Calibri"/>
          <w:sz w:val="22"/>
          <w:szCs w:val="22"/>
        </w:rPr>
        <w:tab/>
      </w:r>
      <w:r w:rsidRPr="00631DA4">
        <w:rPr>
          <w:rFonts w:eastAsia="Calibri"/>
          <w:sz w:val="22"/>
          <w:szCs w:val="22"/>
        </w:rPr>
        <w:tab/>
        <w:t>Értékelés: nem megfelelő</w:t>
      </w:r>
      <w:r w:rsidRPr="00631DA4">
        <w:rPr>
          <w:rFonts w:eastAsia="Calibri"/>
          <w:strike/>
          <w:sz w:val="22"/>
          <w:szCs w:val="22"/>
        </w:rPr>
        <w:t xml:space="preserve">  </w:t>
      </w:r>
    </w:p>
    <w:p w14:paraId="0D0B48B2"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-2 ≤ </w:t>
      </w:r>
      <w:proofErr w:type="gramStart"/>
      <w:r w:rsidRPr="00631DA4">
        <w:rPr>
          <w:rFonts w:eastAsia="Calibri"/>
          <w:sz w:val="22"/>
          <w:szCs w:val="22"/>
        </w:rPr>
        <w:t>z&lt; -</w:t>
      </w:r>
      <w:proofErr w:type="gramEnd"/>
      <w:r w:rsidRPr="00631DA4">
        <w:rPr>
          <w:rFonts w:eastAsia="Calibri"/>
          <w:sz w:val="22"/>
          <w:szCs w:val="22"/>
        </w:rPr>
        <w:t xml:space="preserve">1 </w:t>
      </w:r>
      <w:r w:rsidRPr="00631DA4">
        <w:rPr>
          <w:rFonts w:eastAsia="Calibri"/>
          <w:sz w:val="22"/>
          <w:szCs w:val="22"/>
        </w:rPr>
        <w:tab/>
        <w:t xml:space="preserve">Értékelés: kevéssé megfelelő </w:t>
      </w:r>
    </w:p>
    <w:p w14:paraId="04F0981A"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-1 ≤ </w:t>
      </w:r>
      <w:proofErr w:type="gramStart"/>
      <w:r w:rsidRPr="00631DA4">
        <w:rPr>
          <w:rFonts w:eastAsia="Calibri"/>
          <w:sz w:val="22"/>
          <w:szCs w:val="22"/>
        </w:rPr>
        <w:t>z&lt;</w:t>
      </w:r>
      <w:proofErr w:type="gramEnd"/>
      <w:r w:rsidRPr="00631DA4">
        <w:rPr>
          <w:rFonts w:eastAsia="Calibri"/>
          <w:sz w:val="22"/>
          <w:szCs w:val="22"/>
        </w:rPr>
        <w:t xml:space="preserve">0,2 </w:t>
      </w:r>
      <w:r w:rsidRPr="00631DA4">
        <w:rPr>
          <w:rFonts w:eastAsia="Calibri"/>
          <w:sz w:val="22"/>
          <w:szCs w:val="22"/>
        </w:rPr>
        <w:tab/>
        <w:t xml:space="preserve">Értékelés: megfelelő </w:t>
      </w:r>
    </w:p>
    <w:p w14:paraId="1D07E335"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z ≥ 0,2 </w:t>
      </w:r>
      <w:r w:rsidRPr="00631DA4">
        <w:rPr>
          <w:rFonts w:eastAsia="Calibri"/>
          <w:sz w:val="22"/>
          <w:szCs w:val="22"/>
        </w:rPr>
        <w:tab/>
        <w:t xml:space="preserve">Értékelés: kiemelkedő </w:t>
      </w:r>
    </w:p>
    <w:p w14:paraId="52A41FDA" w14:textId="77777777" w:rsidR="00FD0545" w:rsidRPr="00631DA4" w:rsidRDefault="00FD0545" w:rsidP="00FD0545">
      <w:pPr>
        <w:contextualSpacing/>
        <w:jc w:val="both"/>
        <w:rPr>
          <w:rFonts w:eastAsia="Calibri"/>
          <w:sz w:val="22"/>
          <w:szCs w:val="22"/>
        </w:rPr>
      </w:pPr>
    </w:p>
    <w:p w14:paraId="7D66BF7D" w14:textId="77777777" w:rsidR="00FD0545" w:rsidRPr="00631DA4" w:rsidRDefault="00FD0545" w:rsidP="00FD0545">
      <w:pPr>
        <w:rPr>
          <w:sz w:val="22"/>
          <w:szCs w:val="22"/>
        </w:rPr>
      </w:pPr>
      <w:r w:rsidRPr="00631DA4">
        <w:rPr>
          <w:sz w:val="22"/>
          <w:szCs w:val="22"/>
        </w:rPr>
        <w:t xml:space="preserve">(4) A minősítés során az egyes szempontok értékelésekor a következő pontszámokat kell alkalmazni: </w:t>
      </w:r>
    </w:p>
    <w:p w14:paraId="69CD21AF" w14:textId="77777777" w:rsidR="00FD0545" w:rsidRPr="00631DA4" w:rsidRDefault="00FD0545" w:rsidP="00FD0545">
      <w:pPr>
        <w:ind w:left="284"/>
        <w:rPr>
          <w:sz w:val="22"/>
          <w:szCs w:val="22"/>
        </w:rPr>
      </w:pPr>
      <w:proofErr w:type="gramStart"/>
      <w:r w:rsidRPr="00631DA4">
        <w:rPr>
          <w:sz w:val="22"/>
          <w:szCs w:val="22"/>
        </w:rPr>
        <w:t>a</w:t>
      </w:r>
      <w:proofErr w:type="gramEnd"/>
      <w:r w:rsidRPr="00631DA4">
        <w:rPr>
          <w:sz w:val="22"/>
          <w:szCs w:val="22"/>
        </w:rPr>
        <w:t xml:space="preserve">) kiemelkedő értékelés három pont, </w:t>
      </w:r>
    </w:p>
    <w:p w14:paraId="7D921967" w14:textId="77777777" w:rsidR="00FD0545" w:rsidRPr="00631DA4" w:rsidRDefault="00FD0545" w:rsidP="00FD0545">
      <w:pPr>
        <w:ind w:left="284"/>
        <w:rPr>
          <w:sz w:val="22"/>
          <w:szCs w:val="22"/>
        </w:rPr>
      </w:pPr>
      <w:r w:rsidRPr="00631DA4">
        <w:rPr>
          <w:sz w:val="22"/>
          <w:szCs w:val="22"/>
        </w:rPr>
        <w:t xml:space="preserve">b) megfelelő értékelés kettő pont, </w:t>
      </w:r>
    </w:p>
    <w:p w14:paraId="68E574A9" w14:textId="77777777" w:rsidR="00FD0545" w:rsidRPr="00631DA4" w:rsidRDefault="00FD0545" w:rsidP="00FD0545">
      <w:pPr>
        <w:ind w:left="284"/>
        <w:rPr>
          <w:sz w:val="22"/>
          <w:szCs w:val="22"/>
        </w:rPr>
      </w:pPr>
      <w:r w:rsidRPr="00631DA4">
        <w:rPr>
          <w:sz w:val="22"/>
          <w:szCs w:val="22"/>
        </w:rPr>
        <w:lastRenderedPageBreak/>
        <w:t xml:space="preserve">c) kevéssé megfelelő értékelés egy pont, </w:t>
      </w:r>
    </w:p>
    <w:p w14:paraId="45B95521" w14:textId="77777777" w:rsidR="00FD0545" w:rsidRPr="00631DA4" w:rsidRDefault="00FD0545" w:rsidP="00FD0545">
      <w:pPr>
        <w:ind w:left="284"/>
        <w:rPr>
          <w:sz w:val="22"/>
          <w:szCs w:val="22"/>
        </w:rPr>
      </w:pPr>
      <w:r w:rsidRPr="00631DA4">
        <w:rPr>
          <w:sz w:val="22"/>
          <w:szCs w:val="22"/>
        </w:rPr>
        <w:t>d) nem megfelelő értékelés nulla pont.</w:t>
      </w:r>
    </w:p>
    <w:p w14:paraId="7203B5BE" w14:textId="77777777" w:rsidR="00FD0545" w:rsidRPr="00631DA4" w:rsidRDefault="00FD0545" w:rsidP="00FD0545">
      <w:pPr>
        <w:rPr>
          <w:sz w:val="22"/>
          <w:szCs w:val="22"/>
        </w:rPr>
      </w:pPr>
    </w:p>
    <w:p w14:paraId="1360234D" w14:textId="77777777" w:rsidR="00FD0545" w:rsidRPr="00631DA4" w:rsidRDefault="00FD0545" w:rsidP="00FD0545">
      <w:pPr>
        <w:rPr>
          <w:sz w:val="22"/>
          <w:szCs w:val="22"/>
        </w:rPr>
      </w:pPr>
      <w:r w:rsidRPr="00631DA4">
        <w:rPr>
          <w:sz w:val="22"/>
          <w:szCs w:val="22"/>
        </w:rPr>
        <w:t xml:space="preserve">(5) A közalkalmazott a minősítés eredményeként kiválóan alkalmas, alkalmas, kevéssé alkalmas és alkalmatlan minősítést kaphat, mely az </w:t>
      </w:r>
      <w:proofErr w:type="spellStart"/>
      <w:r w:rsidRPr="00631DA4">
        <w:rPr>
          <w:sz w:val="22"/>
          <w:szCs w:val="22"/>
        </w:rPr>
        <w:t>Fkr</w:t>
      </w:r>
      <w:proofErr w:type="spellEnd"/>
      <w:r w:rsidRPr="00631DA4">
        <w:rPr>
          <w:sz w:val="22"/>
          <w:szCs w:val="22"/>
        </w:rPr>
        <w:t>. 51. § (8) szerint történő számítás szerint:</w:t>
      </w:r>
    </w:p>
    <w:p w14:paraId="6A36FC63" w14:textId="77777777" w:rsidR="00FD0545" w:rsidRPr="00631DA4" w:rsidRDefault="00FD0545" w:rsidP="00FD0545">
      <w:pPr>
        <w:ind w:left="284"/>
        <w:rPr>
          <w:sz w:val="22"/>
          <w:szCs w:val="22"/>
        </w:rPr>
      </w:pPr>
      <w:proofErr w:type="gramStart"/>
      <w:r w:rsidRPr="00631DA4">
        <w:rPr>
          <w:sz w:val="22"/>
          <w:szCs w:val="22"/>
        </w:rPr>
        <w:t>a</w:t>
      </w:r>
      <w:proofErr w:type="gramEnd"/>
      <w:r w:rsidRPr="00631DA4">
        <w:rPr>
          <w:sz w:val="22"/>
          <w:szCs w:val="22"/>
        </w:rPr>
        <w:t>) nyolcvantól száz százalékig kiválóan alkalmas,</w:t>
      </w:r>
    </w:p>
    <w:p w14:paraId="5A7D63BD" w14:textId="77777777" w:rsidR="00FD0545" w:rsidRPr="00631DA4" w:rsidRDefault="00FD0545" w:rsidP="00FD0545">
      <w:pPr>
        <w:ind w:left="284"/>
        <w:rPr>
          <w:sz w:val="22"/>
          <w:szCs w:val="22"/>
        </w:rPr>
      </w:pPr>
      <w:r w:rsidRPr="00631DA4">
        <w:rPr>
          <w:sz w:val="22"/>
          <w:szCs w:val="22"/>
        </w:rPr>
        <w:t xml:space="preserve">b) hatvantól hetvenkilenc százalékig alkalmas, </w:t>
      </w:r>
    </w:p>
    <w:p w14:paraId="17683A94" w14:textId="77777777" w:rsidR="00FD0545" w:rsidRPr="00631DA4" w:rsidRDefault="00FD0545" w:rsidP="00FD0545">
      <w:pPr>
        <w:ind w:left="284"/>
        <w:rPr>
          <w:sz w:val="22"/>
          <w:szCs w:val="22"/>
        </w:rPr>
      </w:pPr>
      <w:r w:rsidRPr="00631DA4">
        <w:rPr>
          <w:sz w:val="22"/>
          <w:szCs w:val="22"/>
        </w:rPr>
        <w:t>c) harminctól ötvenkilenc százalékig kevéssé alkalmas,</w:t>
      </w:r>
    </w:p>
    <w:p w14:paraId="149C0F58" w14:textId="77777777" w:rsidR="00FD0545" w:rsidRPr="00631DA4" w:rsidRDefault="00FD0545" w:rsidP="00FD0545">
      <w:pPr>
        <w:ind w:left="284"/>
        <w:rPr>
          <w:sz w:val="22"/>
          <w:szCs w:val="22"/>
        </w:rPr>
      </w:pPr>
      <w:r w:rsidRPr="00631DA4">
        <w:rPr>
          <w:sz w:val="22"/>
          <w:szCs w:val="22"/>
        </w:rPr>
        <w:t>d) harminc százalék alatt alkalmatlan.</w:t>
      </w:r>
    </w:p>
    <w:p w14:paraId="420552B3" w14:textId="77777777" w:rsidR="00FD0545" w:rsidRPr="00631DA4" w:rsidRDefault="00FD0545" w:rsidP="00FD0545">
      <w:pPr>
        <w:rPr>
          <w:sz w:val="22"/>
          <w:szCs w:val="22"/>
        </w:rPr>
      </w:pPr>
    </w:p>
    <w:p w14:paraId="61426B8D" w14:textId="77777777" w:rsidR="00FD0545" w:rsidRPr="00631DA4" w:rsidRDefault="00FD0545" w:rsidP="00FD0545">
      <w:pPr>
        <w:autoSpaceDE w:val="0"/>
        <w:autoSpaceDN w:val="0"/>
        <w:adjustRightInd w:val="0"/>
        <w:contextualSpacing/>
        <w:jc w:val="both"/>
        <w:rPr>
          <w:rFonts w:eastAsia="Calibri"/>
          <w:sz w:val="22"/>
          <w:szCs w:val="22"/>
        </w:rPr>
      </w:pPr>
      <w:r w:rsidRPr="00631DA4">
        <w:rPr>
          <w:rFonts w:eastAsia="Calibri"/>
          <w:sz w:val="22"/>
          <w:szCs w:val="22"/>
        </w:rPr>
        <w:t xml:space="preserve">(6) A </w:t>
      </w:r>
      <w:r w:rsidRPr="00631DA4">
        <w:rPr>
          <w:rFonts w:eastAsia="Calibri"/>
          <w:noProof/>
          <w:sz w:val="22"/>
          <w:szCs w:val="22"/>
        </w:rPr>
        <w:t xml:space="preserve">Fkr. 52. § (12) bekezdéssel összhangban </w:t>
      </w:r>
      <w:r w:rsidRPr="00631DA4">
        <w:rPr>
          <w:rFonts w:eastAsia="Calibri"/>
          <w:sz w:val="22"/>
          <w:szCs w:val="22"/>
        </w:rPr>
        <w:t>adjunktussá, egyetemi docenssé, egyetemi tanárrá, tudományos munkatárssá, tudományos főmunkatárssá, tudományos tanácsadóvá, kutatóprofesszorrá az a közalkalmazott nevezhető ki, akinek minősítése a kinevezést megelőző két egymást követő tanévben kiválóan alkalmas, vagy alkalmas volt.</w:t>
      </w:r>
    </w:p>
    <w:p w14:paraId="4C24E7D9" w14:textId="77777777" w:rsidR="00FD0545" w:rsidRPr="00631DA4" w:rsidRDefault="00FD0545" w:rsidP="00FD0545">
      <w:pPr>
        <w:contextualSpacing/>
        <w:jc w:val="both"/>
        <w:rPr>
          <w:rFonts w:eastAsia="Calibri"/>
          <w:sz w:val="22"/>
          <w:szCs w:val="22"/>
        </w:rPr>
      </w:pPr>
    </w:p>
    <w:p w14:paraId="3EDF51B0" w14:textId="77777777" w:rsidR="00FD0545" w:rsidRPr="00631DA4" w:rsidRDefault="00FD0545" w:rsidP="00FD0545">
      <w:pPr>
        <w:tabs>
          <w:tab w:val="left" w:pos="9781"/>
        </w:tabs>
        <w:contextualSpacing/>
        <w:jc w:val="both"/>
        <w:rPr>
          <w:rFonts w:eastAsia="Calibri"/>
          <w:sz w:val="22"/>
          <w:szCs w:val="22"/>
        </w:rPr>
      </w:pPr>
      <w:r w:rsidRPr="00631DA4">
        <w:rPr>
          <w:rFonts w:eastAsia="Calibri"/>
          <w:sz w:val="22"/>
          <w:szCs w:val="22"/>
        </w:rPr>
        <w:t xml:space="preserve">(7) Felmentéssel szüntethető meg a közalkalmazotti jogviszony, ha a közalkalmazott értékelése három egymást követő tanévben alkalmatlan. </w:t>
      </w:r>
    </w:p>
    <w:p w14:paraId="184DAF52" w14:textId="77777777" w:rsidR="00FD0545" w:rsidRPr="00631DA4" w:rsidRDefault="00FD0545" w:rsidP="00FD0545">
      <w:pPr>
        <w:autoSpaceDE w:val="0"/>
        <w:autoSpaceDN w:val="0"/>
        <w:adjustRightInd w:val="0"/>
        <w:contextualSpacing/>
        <w:jc w:val="both"/>
        <w:rPr>
          <w:rFonts w:eastAsia="Calibri"/>
          <w:sz w:val="22"/>
          <w:szCs w:val="22"/>
        </w:rPr>
      </w:pPr>
    </w:p>
    <w:p w14:paraId="774BA338" w14:textId="77777777" w:rsidR="00FD0545" w:rsidRPr="00631DA4" w:rsidRDefault="00FD0545" w:rsidP="00FD0545">
      <w:pPr>
        <w:autoSpaceDE w:val="0"/>
        <w:autoSpaceDN w:val="0"/>
        <w:adjustRightInd w:val="0"/>
        <w:contextualSpacing/>
        <w:jc w:val="center"/>
        <w:rPr>
          <w:rFonts w:eastAsia="Calibri"/>
          <w:b/>
          <w:sz w:val="22"/>
          <w:szCs w:val="22"/>
        </w:rPr>
      </w:pPr>
      <w:r w:rsidRPr="00631DA4">
        <w:rPr>
          <w:rFonts w:eastAsia="Calibri"/>
          <w:b/>
          <w:sz w:val="22"/>
          <w:szCs w:val="22"/>
        </w:rPr>
        <w:t>Teljesítményértékelés dokumentálása</w:t>
      </w:r>
    </w:p>
    <w:p w14:paraId="2BC191A8" w14:textId="77777777" w:rsidR="00FD0545" w:rsidRPr="00631DA4" w:rsidRDefault="00FD0545" w:rsidP="00FD0545">
      <w:pPr>
        <w:autoSpaceDE w:val="0"/>
        <w:autoSpaceDN w:val="0"/>
        <w:adjustRightInd w:val="0"/>
        <w:contextualSpacing/>
        <w:jc w:val="both"/>
        <w:rPr>
          <w:rFonts w:eastAsia="Calibri"/>
          <w:sz w:val="22"/>
          <w:szCs w:val="22"/>
        </w:rPr>
      </w:pPr>
    </w:p>
    <w:p w14:paraId="3BFDACAD" w14:textId="77777777" w:rsidR="00FD0545" w:rsidRPr="00631DA4" w:rsidRDefault="00FD0545" w:rsidP="00FD0545">
      <w:pPr>
        <w:contextualSpacing/>
        <w:jc w:val="both"/>
        <w:rPr>
          <w:rFonts w:eastAsia="Calibri"/>
          <w:sz w:val="22"/>
          <w:szCs w:val="22"/>
        </w:rPr>
      </w:pPr>
      <w:r w:rsidRPr="00631DA4">
        <w:rPr>
          <w:rFonts w:eastAsia="Calibri"/>
          <w:b/>
          <w:sz w:val="22"/>
          <w:szCs w:val="22"/>
        </w:rPr>
        <w:t>7. §</w:t>
      </w:r>
      <w:r w:rsidRPr="00631DA4">
        <w:rPr>
          <w:rFonts w:eastAsia="Calibri"/>
          <w:sz w:val="22"/>
          <w:szCs w:val="22"/>
        </w:rPr>
        <w:t xml:space="preserve"> (1) A TÉR </w:t>
      </w:r>
      <w:proofErr w:type="gramStart"/>
      <w:r w:rsidRPr="00631DA4">
        <w:rPr>
          <w:rFonts w:eastAsia="Calibri"/>
          <w:sz w:val="22"/>
          <w:szCs w:val="22"/>
        </w:rPr>
        <w:t>dokumentumai</w:t>
      </w:r>
      <w:proofErr w:type="gramEnd"/>
      <w:r w:rsidRPr="00631DA4">
        <w:rPr>
          <w:rFonts w:eastAsia="Calibri"/>
          <w:sz w:val="22"/>
          <w:szCs w:val="22"/>
        </w:rPr>
        <w:t xml:space="preserve"> a Pécsi Tudományegyetem Iratkezelési szabályzata szerint elektronikus iratnak minősülnek.</w:t>
      </w:r>
    </w:p>
    <w:p w14:paraId="0DD6501A" w14:textId="77777777" w:rsidR="00FD0545" w:rsidRPr="00631DA4" w:rsidRDefault="00FD0545" w:rsidP="00FD0545">
      <w:pPr>
        <w:contextualSpacing/>
        <w:jc w:val="both"/>
        <w:rPr>
          <w:rFonts w:eastAsia="Calibri"/>
          <w:sz w:val="22"/>
          <w:szCs w:val="22"/>
        </w:rPr>
      </w:pPr>
    </w:p>
    <w:p w14:paraId="71CBB475" w14:textId="3DE3C26E" w:rsidR="00FD0545" w:rsidRPr="00631DA4" w:rsidRDefault="00FD0545" w:rsidP="00FD0545">
      <w:pPr>
        <w:contextualSpacing/>
        <w:jc w:val="both"/>
        <w:rPr>
          <w:rFonts w:eastAsia="Calibri"/>
          <w:sz w:val="22"/>
          <w:szCs w:val="22"/>
        </w:rPr>
      </w:pPr>
      <w:r w:rsidRPr="00631DA4">
        <w:rPr>
          <w:rFonts w:eastAsia="Calibri"/>
          <w:sz w:val="22"/>
          <w:szCs w:val="22"/>
        </w:rPr>
        <w:t xml:space="preserve">(2) A Kar honlapján található TÉR felületén az értékelt, annak közvetlen felettese és a Dékán vagy általa kinevezett helyettese által jóváhagyott értékelőlapok első példánya elektronikus formában a munkavállalót, második példánya a Kar Dékáni Hivatalát, harmadik példánya a Humánpolitikai </w:t>
      </w:r>
      <w:r w:rsidR="008F3214" w:rsidRPr="006B3492">
        <w:rPr>
          <w:rFonts w:eastAsia="Calibri"/>
          <w:bCs/>
          <w:iCs/>
          <w:sz w:val="22"/>
          <w:szCs w:val="22"/>
        </w:rPr>
        <w:t>Főosztályt</w:t>
      </w:r>
      <w:r w:rsidR="008F3214">
        <w:rPr>
          <w:rFonts w:eastAsia="Calibri"/>
          <w:sz w:val="22"/>
          <w:szCs w:val="22"/>
        </w:rPr>
        <w:t xml:space="preserve"> </w:t>
      </w:r>
      <w:r w:rsidRPr="00631DA4">
        <w:rPr>
          <w:rFonts w:eastAsia="Calibri"/>
          <w:sz w:val="22"/>
          <w:szCs w:val="22"/>
        </w:rPr>
        <w:t>illeti.</w:t>
      </w:r>
    </w:p>
    <w:p w14:paraId="2ED6E37E" w14:textId="77777777" w:rsidR="00FD0545" w:rsidRPr="00631DA4" w:rsidRDefault="00FD0545" w:rsidP="00FD0545">
      <w:pPr>
        <w:contextualSpacing/>
        <w:jc w:val="both"/>
        <w:rPr>
          <w:rFonts w:eastAsia="Calibri"/>
          <w:sz w:val="22"/>
          <w:szCs w:val="22"/>
        </w:rPr>
      </w:pPr>
    </w:p>
    <w:p w14:paraId="04E21D56" w14:textId="77777777" w:rsidR="00FD0545" w:rsidRPr="00631DA4" w:rsidRDefault="00FD0545" w:rsidP="00FD0545">
      <w:pPr>
        <w:contextualSpacing/>
        <w:jc w:val="both"/>
        <w:rPr>
          <w:rFonts w:eastAsia="Calibri"/>
          <w:sz w:val="22"/>
          <w:szCs w:val="22"/>
        </w:rPr>
      </w:pPr>
      <w:r w:rsidRPr="00631DA4">
        <w:rPr>
          <w:rFonts w:eastAsia="Calibri"/>
          <w:sz w:val="22"/>
          <w:szCs w:val="22"/>
        </w:rPr>
        <w:t>(3) Az értékelőlapokról elektronikus archiválás készül minden adott értékelési év lezárását követő 30 napon belül, amelyért a Kar informatikai referense felelős.</w:t>
      </w:r>
    </w:p>
    <w:p w14:paraId="718C276F" w14:textId="77777777" w:rsidR="00FD0545" w:rsidRPr="00631DA4" w:rsidRDefault="00FD0545" w:rsidP="00FD0545">
      <w:pPr>
        <w:contextualSpacing/>
        <w:jc w:val="both"/>
        <w:rPr>
          <w:rFonts w:eastAsia="Calibri"/>
          <w:sz w:val="22"/>
          <w:szCs w:val="22"/>
        </w:rPr>
      </w:pPr>
    </w:p>
    <w:p w14:paraId="28D1BA32" w14:textId="77777777" w:rsidR="00FD0545" w:rsidRPr="00631DA4" w:rsidRDefault="00FD0545" w:rsidP="00FD0545">
      <w:pPr>
        <w:contextualSpacing/>
        <w:jc w:val="both"/>
        <w:rPr>
          <w:rFonts w:eastAsia="Calibri"/>
          <w:sz w:val="22"/>
          <w:szCs w:val="22"/>
        </w:rPr>
      </w:pPr>
      <w:r w:rsidRPr="00631DA4">
        <w:rPr>
          <w:rFonts w:eastAsia="Calibri"/>
          <w:sz w:val="22"/>
          <w:szCs w:val="22"/>
        </w:rPr>
        <w:t>(4) A biztonsági mentések megőrzése a Dékáni Hivatal Irattárában történik az Iratkezelési Szabályzatban foglaltaknak megfelelően.</w:t>
      </w:r>
    </w:p>
    <w:p w14:paraId="10E0E729" w14:textId="77777777" w:rsidR="00FD0545" w:rsidRPr="00631DA4" w:rsidRDefault="00FD0545" w:rsidP="00FD0545">
      <w:pPr>
        <w:contextualSpacing/>
        <w:jc w:val="both"/>
        <w:rPr>
          <w:rFonts w:eastAsia="Calibri"/>
          <w:sz w:val="22"/>
          <w:szCs w:val="22"/>
        </w:rPr>
      </w:pPr>
    </w:p>
    <w:p w14:paraId="1F10BEF4" w14:textId="77777777" w:rsidR="00FD0545" w:rsidRPr="00631DA4" w:rsidRDefault="00FD0545" w:rsidP="00FD0545">
      <w:pPr>
        <w:contextualSpacing/>
        <w:jc w:val="center"/>
        <w:rPr>
          <w:rFonts w:eastAsia="Calibri"/>
          <w:b/>
          <w:sz w:val="22"/>
          <w:szCs w:val="22"/>
        </w:rPr>
      </w:pPr>
      <w:r w:rsidRPr="00631DA4">
        <w:rPr>
          <w:rFonts w:eastAsia="Calibri"/>
          <w:b/>
          <w:sz w:val="22"/>
          <w:szCs w:val="22"/>
        </w:rPr>
        <w:t>Záró és hatályba léptető rendelkezések</w:t>
      </w:r>
    </w:p>
    <w:p w14:paraId="607A4CD0" w14:textId="77777777" w:rsidR="00FD0545" w:rsidRPr="00631DA4" w:rsidRDefault="00FD0545" w:rsidP="00FD0545">
      <w:pPr>
        <w:contextualSpacing/>
        <w:jc w:val="both"/>
        <w:rPr>
          <w:rFonts w:eastAsia="Calibri"/>
          <w:sz w:val="22"/>
          <w:szCs w:val="22"/>
        </w:rPr>
      </w:pPr>
    </w:p>
    <w:p w14:paraId="4EE1ADEA" w14:textId="77777777" w:rsidR="00FD0545" w:rsidRPr="00631DA4" w:rsidRDefault="00FD0545" w:rsidP="00FD0545">
      <w:pPr>
        <w:contextualSpacing/>
        <w:jc w:val="both"/>
        <w:rPr>
          <w:rFonts w:eastAsia="Calibri"/>
          <w:sz w:val="22"/>
          <w:szCs w:val="22"/>
        </w:rPr>
      </w:pPr>
      <w:r w:rsidRPr="00631DA4">
        <w:rPr>
          <w:rFonts w:eastAsia="Calibri"/>
          <w:b/>
          <w:sz w:val="22"/>
          <w:szCs w:val="22"/>
        </w:rPr>
        <w:t>8. §</w:t>
      </w:r>
      <w:r w:rsidRPr="00631DA4">
        <w:rPr>
          <w:rFonts w:eastAsia="Calibri"/>
          <w:sz w:val="22"/>
          <w:szCs w:val="22"/>
        </w:rPr>
        <w:t xml:space="preserve"> (1) Jelen szabályzat a Szenátus általi elfogadás napján lép hatályba, a szabályzatot első alkalommal a 2019/2020. tanév tekintetében kell alkalmazni azzal, hogy az első évben nem alkalmazhatók a minősítés eredményéhez kapcsolódóan meghatározott jogkövetkezmények.</w:t>
      </w:r>
    </w:p>
    <w:p w14:paraId="42D9C87E" w14:textId="77777777" w:rsidR="00FD0545" w:rsidRPr="00631DA4" w:rsidRDefault="00FD0545" w:rsidP="00FD0545">
      <w:pPr>
        <w:contextualSpacing/>
        <w:jc w:val="both"/>
        <w:rPr>
          <w:rFonts w:eastAsia="Calibri"/>
          <w:sz w:val="22"/>
          <w:szCs w:val="22"/>
        </w:rPr>
      </w:pPr>
    </w:p>
    <w:p w14:paraId="37ED657D" w14:textId="77777777" w:rsidR="00FD0545" w:rsidRPr="00631DA4" w:rsidRDefault="00FD0545" w:rsidP="00FD0545">
      <w:pPr>
        <w:contextualSpacing/>
        <w:jc w:val="both"/>
        <w:rPr>
          <w:rFonts w:eastAsia="Calibri"/>
          <w:sz w:val="22"/>
          <w:szCs w:val="22"/>
        </w:rPr>
      </w:pPr>
      <w:r w:rsidRPr="00631DA4">
        <w:rPr>
          <w:rFonts w:eastAsia="Calibri"/>
          <w:sz w:val="22"/>
          <w:szCs w:val="22"/>
        </w:rPr>
        <w:t xml:space="preserve">(2)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 tartalmáról a Kar dékáni utasításban rendelkezhet. </w:t>
      </w:r>
    </w:p>
    <w:p w14:paraId="295B2C7A" w14:textId="77777777" w:rsidR="00FD0545" w:rsidRPr="00631DA4" w:rsidRDefault="00FD0545" w:rsidP="00FD0545">
      <w:pPr>
        <w:contextualSpacing/>
        <w:jc w:val="both"/>
        <w:rPr>
          <w:rFonts w:eastAsia="Calibri"/>
          <w:sz w:val="22"/>
          <w:szCs w:val="22"/>
        </w:rPr>
      </w:pPr>
    </w:p>
    <w:p w14:paraId="29C60369" w14:textId="77777777" w:rsidR="00FD0545" w:rsidRPr="00631DA4" w:rsidRDefault="00FD0545" w:rsidP="00FD0545">
      <w:pPr>
        <w:contextualSpacing/>
        <w:jc w:val="both"/>
        <w:rPr>
          <w:rFonts w:eastAsia="Calibri"/>
          <w:sz w:val="22"/>
          <w:szCs w:val="22"/>
        </w:rPr>
      </w:pPr>
      <w:r w:rsidRPr="00631DA4">
        <w:rPr>
          <w:rFonts w:eastAsia="Calibri"/>
          <w:sz w:val="22"/>
          <w:szCs w:val="22"/>
        </w:rPr>
        <w:t>(3) A Kar a 2020. évtől kezdődően személyi célú kiadásainak legalább 5%-át az oktatók vagy kutatók minősítésének eredménye alapján használhatja fel olyan közalkalmazott díjazására, akinek minősítése kiválóan alkalmas. A díjazás részletes szabályait a Kari Tanács a későbbiekben határozza meg.</w:t>
      </w:r>
    </w:p>
    <w:p w14:paraId="2C7DAABD" w14:textId="77777777" w:rsidR="00FD0545" w:rsidRPr="00E13CE5" w:rsidRDefault="00FD0545" w:rsidP="00FD0545">
      <w:pPr>
        <w:contextualSpacing/>
        <w:jc w:val="both"/>
        <w:rPr>
          <w:b/>
          <w:i/>
          <w:sz w:val="22"/>
          <w:szCs w:val="22"/>
        </w:rPr>
      </w:pPr>
    </w:p>
    <w:p w14:paraId="6C0BD519" w14:textId="77777777" w:rsidR="00FD0545" w:rsidRPr="00E13CE5" w:rsidRDefault="00FD0545" w:rsidP="00FD0545">
      <w:pPr>
        <w:pStyle w:val="Cmsor1"/>
        <w:rPr>
          <w:rFonts w:eastAsia="Calibri"/>
        </w:rPr>
      </w:pPr>
      <w:r w:rsidRPr="00E13CE5">
        <w:rPr>
          <w:i/>
        </w:rPr>
        <w:br w:type="page"/>
      </w:r>
      <w:bookmarkStart w:id="352" w:name="_Toc21961966"/>
      <w:bookmarkStart w:id="353" w:name="_Toc58569574"/>
      <w:r w:rsidRPr="00E13CE5">
        <w:rPr>
          <w:rFonts w:eastAsia="Calibri"/>
        </w:rPr>
        <w:lastRenderedPageBreak/>
        <w:t>1/3. számú melléklet</w:t>
      </w:r>
      <w:bookmarkEnd w:id="352"/>
      <w:bookmarkEnd w:id="353"/>
    </w:p>
    <w:p w14:paraId="1CFB0204" w14:textId="77777777" w:rsidR="00FD0545" w:rsidRPr="00735D27" w:rsidRDefault="00FD0545" w:rsidP="00FD0545">
      <w:pPr>
        <w:pStyle w:val="Cmsor1"/>
        <w:spacing w:before="0" w:after="0"/>
        <w:rPr>
          <w:rFonts w:eastAsia="Calibri"/>
        </w:rPr>
      </w:pPr>
      <w:bookmarkStart w:id="354" w:name="_Toc21961967"/>
      <w:bookmarkStart w:id="355" w:name="_Toc58569575"/>
      <w:r w:rsidRPr="00735D27">
        <w:rPr>
          <w:rFonts w:eastAsia="Calibri"/>
        </w:rPr>
        <w:t>A Pécsi Tudományegyetem Bölcsészet</w:t>
      </w:r>
      <w:r w:rsidR="00A037FC" w:rsidRPr="00A037FC">
        <w:rPr>
          <w:rFonts w:eastAsia="Calibri"/>
          <w:i/>
          <w:lang w:val="hu-HU"/>
        </w:rPr>
        <w:t xml:space="preserve">- </w:t>
      </w:r>
      <w:r w:rsidR="00A037FC" w:rsidRPr="00995329">
        <w:rPr>
          <w:rFonts w:eastAsia="Calibri"/>
          <w:lang w:val="hu-HU"/>
        </w:rPr>
        <w:t>és Társadalom</w:t>
      </w:r>
      <w:r w:rsidRPr="00995329">
        <w:rPr>
          <w:rFonts w:eastAsia="Calibri"/>
        </w:rPr>
        <w:t>tudományi</w:t>
      </w:r>
      <w:r w:rsidRPr="00735D27">
        <w:rPr>
          <w:rFonts w:eastAsia="Calibri"/>
        </w:rPr>
        <w:t xml:space="preserve"> Karának</w:t>
      </w:r>
      <w:r>
        <w:rPr>
          <w:rFonts w:eastAsia="Calibri"/>
          <w:lang w:val="hu-HU"/>
        </w:rPr>
        <w:t xml:space="preserve"> </w:t>
      </w:r>
      <w:r w:rsidRPr="00735D27">
        <w:rPr>
          <w:rFonts w:eastAsia="Calibri"/>
        </w:rPr>
        <w:t>Teljesítményértékelési Szabályzata</w:t>
      </w:r>
      <w:bookmarkEnd w:id="354"/>
      <w:r w:rsidR="00A037FC">
        <w:rPr>
          <w:rStyle w:val="Lbjegyzet-hivatkozs"/>
          <w:rFonts w:eastAsia="Calibri"/>
        </w:rPr>
        <w:footnoteReference w:id="472"/>
      </w:r>
      <w:bookmarkEnd w:id="355"/>
    </w:p>
    <w:p w14:paraId="64891683" w14:textId="77777777" w:rsidR="00FD0545" w:rsidRPr="00735D27" w:rsidRDefault="00FD0545" w:rsidP="00FD0545">
      <w:pPr>
        <w:contextualSpacing/>
        <w:jc w:val="center"/>
        <w:rPr>
          <w:rFonts w:eastAsia="Calibri"/>
          <w:sz w:val="22"/>
          <w:szCs w:val="22"/>
        </w:rPr>
      </w:pPr>
    </w:p>
    <w:p w14:paraId="7A318F3B" w14:textId="77777777" w:rsidR="00FD0545" w:rsidRPr="00735D27" w:rsidRDefault="00FD0545" w:rsidP="00FD0545">
      <w:pPr>
        <w:contextualSpacing/>
        <w:jc w:val="center"/>
        <w:rPr>
          <w:rFonts w:eastAsia="Calibri"/>
          <w:b/>
          <w:sz w:val="22"/>
          <w:szCs w:val="22"/>
        </w:rPr>
      </w:pPr>
      <w:r w:rsidRPr="00735D27">
        <w:rPr>
          <w:rFonts w:eastAsia="Calibri"/>
          <w:b/>
          <w:sz w:val="22"/>
          <w:szCs w:val="22"/>
        </w:rPr>
        <w:t>A Szabályzat hatálya</w:t>
      </w:r>
    </w:p>
    <w:p w14:paraId="5A50BCFF" w14:textId="77777777" w:rsidR="00FD0545" w:rsidRPr="00735D27" w:rsidRDefault="00FD0545" w:rsidP="00FD0545">
      <w:pPr>
        <w:autoSpaceDE w:val="0"/>
        <w:autoSpaceDN w:val="0"/>
        <w:adjustRightInd w:val="0"/>
        <w:contextualSpacing/>
        <w:rPr>
          <w:rFonts w:eastAsia="Calibri"/>
          <w:bCs/>
          <w:sz w:val="22"/>
          <w:szCs w:val="22"/>
        </w:rPr>
      </w:pPr>
    </w:p>
    <w:p w14:paraId="666F787F" w14:textId="77777777" w:rsidR="00FD0545" w:rsidRPr="00735D27" w:rsidRDefault="00FD0545" w:rsidP="00FD0545">
      <w:pPr>
        <w:contextualSpacing/>
        <w:jc w:val="both"/>
        <w:rPr>
          <w:rFonts w:eastAsia="Calibri"/>
          <w:sz w:val="22"/>
          <w:szCs w:val="22"/>
        </w:rPr>
      </w:pPr>
      <w:r w:rsidRPr="00735D27">
        <w:rPr>
          <w:rFonts w:eastAsia="Calibri"/>
          <w:b/>
          <w:sz w:val="22"/>
          <w:szCs w:val="22"/>
        </w:rPr>
        <w:t>1. §</w:t>
      </w:r>
      <w:r w:rsidRPr="00735D27">
        <w:rPr>
          <w:rFonts w:eastAsia="Calibri"/>
          <w:sz w:val="22"/>
          <w:szCs w:val="22"/>
        </w:rPr>
        <w:t xml:space="preserve"> (1) A Szabályzat személyi hatálya kiterjed a Karral közalkalmazotti jogviszonyban álló valamennyi oktató és kutató munkakörb</w:t>
      </w:r>
      <w:r w:rsidRPr="00735D27">
        <w:rPr>
          <w:rFonts w:eastAsia="Calibri"/>
        </w:rPr>
        <w:t>en foglalkoztatott munkatársára</w:t>
      </w:r>
      <w:r w:rsidRPr="00735D27">
        <w:rPr>
          <w:rFonts w:eastAsia="Calibri"/>
          <w:sz w:val="22"/>
          <w:szCs w:val="22"/>
        </w:rPr>
        <w:t>, kivéve a próbaidő alatt álló és a tartós távolléten tartózkodó közalkalmazottakat.</w:t>
      </w:r>
    </w:p>
    <w:p w14:paraId="5D6E959F" w14:textId="77777777" w:rsidR="00FD0545" w:rsidRPr="00735D27" w:rsidRDefault="00FD0545" w:rsidP="00FD0545">
      <w:pPr>
        <w:contextualSpacing/>
        <w:jc w:val="both"/>
        <w:rPr>
          <w:rFonts w:eastAsia="Calibri"/>
          <w:sz w:val="22"/>
          <w:szCs w:val="22"/>
        </w:rPr>
      </w:pPr>
    </w:p>
    <w:p w14:paraId="766EEDC5" w14:textId="77777777" w:rsidR="00FD0545" w:rsidRPr="00735D27" w:rsidRDefault="00FD0545" w:rsidP="00FD0545">
      <w:pPr>
        <w:contextualSpacing/>
        <w:jc w:val="both"/>
        <w:rPr>
          <w:rFonts w:eastAsia="Calibri"/>
          <w:sz w:val="22"/>
          <w:szCs w:val="22"/>
        </w:rPr>
      </w:pPr>
      <w:r w:rsidRPr="00735D27">
        <w:rPr>
          <w:rFonts w:eastAsia="Calibri"/>
          <w:sz w:val="22"/>
          <w:szCs w:val="22"/>
        </w:rPr>
        <w:t>(2) Szabályzat tárgyi hatálya a Teljesítményértékelési Rendszernek (TÉR) a Karon történő működtetésére, az azzal kapcsolatos feladatok végrehajtására terjed ki.</w:t>
      </w:r>
    </w:p>
    <w:p w14:paraId="18A485D2" w14:textId="77777777" w:rsidR="00FD0545" w:rsidRPr="00735D27" w:rsidRDefault="00FD0545" w:rsidP="00FD0545">
      <w:pPr>
        <w:contextualSpacing/>
        <w:jc w:val="both"/>
        <w:rPr>
          <w:rFonts w:eastAsia="Calibri"/>
          <w:sz w:val="22"/>
          <w:szCs w:val="22"/>
        </w:rPr>
      </w:pPr>
    </w:p>
    <w:p w14:paraId="7AAE8873" w14:textId="77777777" w:rsidR="00FD0545" w:rsidRPr="00735D27" w:rsidRDefault="00FD0545" w:rsidP="00FD0545">
      <w:pPr>
        <w:contextualSpacing/>
        <w:jc w:val="center"/>
        <w:rPr>
          <w:rFonts w:eastAsia="Calibri"/>
          <w:b/>
          <w:sz w:val="22"/>
          <w:szCs w:val="22"/>
        </w:rPr>
      </w:pPr>
      <w:r w:rsidRPr="00735D27">
        <w:rPr>
          <w:rFonts w:eastAsia="Calibri"/>
          <w:b/>
          <w:sz w:val="22"/>
          <w:szCs w:val="22"/>
        </w:rPr>
        <w:t>A TÉR célja</w:t>
      </w:r>
    </w:p>
    <w:p w14:paraId="14B5A8B4" w14:textId="77777777" w:rsidR="00FD0545" w:rsidRPr="00735D27" w:rsidRDefault="00FD0545" w:rsidP="00FD0545">
      <w:pPr>
        <w:contextualSpacing/>
        <w:jc w:val="center"/>
        <w:rPr>
          <w:rFonts w:eastAsia="Calibri"/>
          <w:sz w:val="22"/>
          <w:szCs w:val="22"/>
        </w:rPr>
      </w:pPr>
    </w:p>
    <w:p w14:paraId="1815BDDC" w14:textId="77777777" w:rsidR="00FD0545" w:rsidRPr="00735D27" w:rsidRDefault="00FD0545" w:rsidP="00FD0545">
      <w:pPr>
        <w:contextualSpacing/>
        <w:jc w:val="both"/>
        <w:rPr>
          <w:rFonts w:eastAsia="Calibri"/>
          <w:sz w:val="22"/>
          <w:szCs w:val="22"/>
        </w:rPr>
      </w:pPr>
      <w:r w:rsidRPr="00735D27">
        <w:rPr>
          <w:rFonts w:eastAsia="Calibri"/>
          <w:b/>
          <w:sz w:val="22"/>
          <w:szCs w:val="22"/>
        </w:rPr>
        <w:t>2. §</w:t>
      </w:r>
      <w:r w:rsidRPr="00735D27">
        <w:rPr>
          <w:rFonts w:eastAsia="Calibri"/>
          <w:sz w:val="22"/>
          <w:szCs w:val="22"/>
        </w:rPr>
        <w:t xml:space="preserve"> (1) A TÉR lehetővé teszi a Kar oktatói és kutatói által folytatott munka </w:t>
      </w:r>
      <w:proofErr w:type="gramStart"/>
      <w:r w:rsidRPr="00735D27">
        <w:rPr>
          <w:rFonts w:eastAsia="Calibri"/>
          <w:sz w:val="22"/>
          <w:szCs w:val="22"/>
        </w:rPr>
        <w:t>objektívebb</w:t>
      </w:r>
      <w:proofErr w:type="gramEnd"/>
      <w:r w:rsidRPr="00735D27">
        <w:rPr>
          <w:rFonts w:eastAsia="Calibri"/>
          <w:sz w:val="22"/>
          <w:szCs w:val="22"/>
        </w:rPr>
        <w:t xml:space="preserve"> megítélését, alapjául tud szolgálni az oktatói előmenetelt meghatározó döntéseknek.</w:t>
      </w:r>
    </w:p>
    <w:p w14:paraId="15216ACE" w14:textId="77777777" w:rsidR="00FD0545" w:rsidRPr="00735D27" w:rsidRDefault="00FD0545" w:rsidP="00FD0545">
      <w:pPr>
        <w:contextualSpacing/>
        <w:jc w:val="both"/>
        <w:rPr>
          <w:rFonts w:eastAsia="Calibri"/>
          <w:sz w:val="22"/>
          <w:szCs w:val="22"/>
        </w:rPr>
      </w:pPr>
    </w:p>
    <w:p w14:paraId="3E0B180F" w14:textId="77777777" w:rsidR="00FD0545" w:rsidRPr="00735D27" w:rsidRDefault="00FD0545" w:rsidP="00FD0545">
      <w:pPr>
        <w:contextualSpacing/>
        <w:jc w:val="both"/>
        <w:rPr>
          <w:rFonts w:eastAsia="Calibri"/>
          <w:sz w:val="22"/>
          <w:szCs w:val="22"/>
        </w:rPr>
      </w:pPr>
      <w:r w:rsidRPr="00735D27">
        <w:rPr>
          <w:rFonts w:eastAsia="Calibri"/>
          <w:sz w:val="22"/>
          <w:szCs w:val="22"/>
        </w:rPr>
        <w:t>(2) A TÉR lehetőséget ad a differenciált értékelésre az oktatás, kutatás területén az egyes személyek, valamint szervezeti egységek kapcsán.</w:t>
      </w:r>
    </w:p>
    <w:p w14:paraId="4AA6CC45" w14:textId="77777777" w:rsidR="00FD0545" w:rsidRPr="00735D27" w:rsidRDefault="00FD0545" w:rsidP="00FD0545">
      <w:pPr>
        <w:contextualSpacing/>
        <w:jc w:val="both"/>
        <w:rPr>
          <w:rFonts w:eastAsia="Calibri"/>
          <w:sz w:val="22"/>
          <w:szCs w:val="22"/>
        </w:rPr>
      </w:pPr>
    </w:p>
    <w:p w14:paraId="7BF73E37"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(3) A TÉR figyelembe veszi az egyetemi oktató által a Kar érdekében végzett közösségi és </w:t>
      </w:r>
      <w:proofErr w:type="gramStart"/>
      <w:r w:rsidRPr="00735D27">
        <w:rPr>
          <w:rFonts w:eastAsia="Calibri"/>
          <w:sz w:val="22"/>
          <w:szCs w:val="22"/>
        </w:rPr>
        <w:t>adminisztrációs</w:t>
      </w:r>
      <w:proofErr w:type="gramEnd"/>
      <w:r w:rsidRPr="00735D27">
        <w:rPr>
          <w:rFonts w:eastAsia="Calibri"/>
          <w:sz w:val="22"/>
          <w:szCs w:val="22"/>
        </w:rPr>
        <w:t xml:space="preserve"> tevékenységet.</w:t>
      </w:r>
    </w:p>
    <w:p w14:paraId="571ACB4D" w14:textId="77777777" w:rsidR="00FD0545" w:rsidRPr="00735D27" w:rsidRDefault="00FD0545" w:rsidP="00FD0545">
      <w:pPr>
        <w:contextualSpacing/>
        <w:jc w:val="both"/>
        <w:rPr>
          <w:rFonts w:eastAsia="Calibri"/>
          <w:sz w:val="22"/>
          <w:szCs w:val="22"/>
        </w:rPr>
      </w:pPr>
    </w:p>
    <w:p w14:paraId="39F6249C" w14:textId="77777777" w:rsidR="00FD0545" w:rsidRPr="00735D27" w:rsidRDefault="00FD0545" w:rsidP="00FD0545">
      <w:pPr>
        <w:contextualSpacing/>
        <w:jc w:val="both"/>
        <w:rPr>
          <w:rFonts w:eastAsia="Calibri"/>
          <w:sz w:val="22"/>
          <w:szCs w:val="22"/>
        </w:rPr>
      </w:pPr>
      <w:r w:rsidRPr="00735D27">
        <w:rPr>
          <w:rFonts w:eastAsia="Calibri"/>
          <w:b/>
          <w:sz w:val="22"/>
          <w:szCs w:val="22"/>
        </w:rPr>
        <w:t>3. §</w:t>
      </w:r>
      <w:r w:rsidRPr="00735D27">
        <w:rPr>
          <w:rFonts w:eastAsia="Calibri"/>
          <w:sz w:val="22"/>
          <w:szCs w:val="22"/>
        </w:rPr>
        <w:t xml:space="preserve"> (1) A TÉR rendszer szabályait a Kar Minőségfejlesztési Bizottsága dolgozta ki.</w:t>
      </w:r>
    </w:p>
    <w:p w14:paraId="32E75422" w14:textId="77777777" w:rsidR="00FD0545" w:rsidRPr="00735D27" w:rsidRDefault="00FD0545" w:rsidP="00FD0545">
      <w:pPr>
        <w:contextualSpacing/>
        <w:jc w:val="both"/>
        <w:rPr>
          <w:rFonts w:eastAsia="Calibri"/>
          <w:sz w:val="22"/>
          <w:szCs w:val="22"/>
        </w:rPr>
      </w:pPr>
    </w:p>
    <w:p w14:paraId="6F935F8F"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(2) A TÉR adatait az oktatási tevékenységgel kapcsolatban a NEPTUN rendszer, a publikációs tevékenységgel kapcsolatban az MTMT szolgáltatja. </w:t>
      </w:r>
    </w:p>
    <w:p w14:paraId="03C5EE88" w14:textId="77777777" w:rsidR="00FD0545" w:rsidRPr="00735D27" w:rsidRDefault="00FD0545" w:rsidP="00FD0545">
      <w:pPr>
        <w:contextualSpacing/>
        <w:jc w:val="both"/>
        <w:rPr>
          <w:rFonts w:eastAsia="Calibri"/>
          <w:sz w:val="22"/>
          <w:szCs w:val="22"/>
        </w:rPr>
      </w:pPr>
    </w:p>
    <w:p w14:paraId="5B5C9B5D" w14:textId="77777777" w:rsidR="00FD0545" w:rsidRPr="00735D27" w:rsidRDefault="00FD0545" w:rsidP="00FD0545">
      <w:pPr>
        <w:contextualSpacing/>
        <w:jc w:val="center"/>
        <w:rPr>
          <w:rFonts w:eastAsia="Calibri"/>
          <w:b/>
          <w:sz w:val="22"/>
          <w:szCs w:val="22"/>
        </w:rPr>
      </w:pPr>
      <w:r w:rsidRPr="00735D27">
        <w:rPr>
          <w:rFonts w:eastAsia="Calibri"/>
          <w:b/>
          <w:sz w:val="22"/>
          <w:szCs w:val="22"/>
        </w:rPr>
        <w:t>A TÉR alapelvei</w:t>
      </w:r>
    </w:p>
    <w:p w14:paraId="0AC13553" w14:textId="77777777" w:rsidR="00FD0545" w:rsidRPr="00735D27" w:rsidRDefault="00FD0545" w:rsidP="00FD0545">
      <w:pPr>
        <w:ind w:left="1080"/>
        <w:contextualSpacing/>
        <w:rPr>
          <w:rFonts w:eastAsia="Calibri"/>
          <w:sz w:val="22"/>
          <w:szCs w:val="22"/>
        </w:rPr>
      </w:pPr>
    </w:p>
    <w:p w14:paraId="31277244" w14:textId="77777777" w:rsidR="00FD0545" w:rsidRPr="00735D27" w:rsidRDefault="00FD0545" w:rsidP="00FD0545">
      <w:pPr>
        <w:contextualSpacing/>
        <w:jc w:val="both"/>
        <w:rPr>
          <w:rFonts w:eastAsia="Calibri"/>
          <w:sz w:val="22"/>
          <w:szCs w:val="22"/>
        </w:rPr>
      </w:pPr>
      <w:r w:rsidRPr="00735D27">
        <w:rPr>
          <w:rFonts w:eastAsia="Calibri"/>
          <w:b/>
          <w:sz w:val="22"/>
          <w:szCs w:val="22"/>
        </w:rPr>
        <w:t>4. §</w:t>
      </w:r>
      <w:r w:rsidRPr="00735D27">
        <w:rPr>
          <w:rFonts w:eastAsia="Calibri"/>
          <w:sz w:val="22"/>
          <w:szCs w:val="22"/>
        </w:rPr>
        <w:t xml:space="preserve"> (1) A szabályozás lehetővé teszi a Kar oktatói és kutatói által végzett munka </w:t>
      </w:r>
      <w:proofErr w:type="gramStart"/>
      <w:r w:rsidRPr="00735D27">
        <w:rPr>
          <w:rFonts w:eastAsia="Calibri"/>
          <w:sz w:val="22"/>
          <w:szCs w:val="22"/>
        </w:rPr>
        <w:t>objektívebb</w:t>
      </w:r>
      <w:proofErr w:type="gramEnd"/>
      <w:r w:rsidRPr="00735D27">
        <w:rPr>
          <w:rFonts w:eastAsia="Calibri"/>
          <w:sz w:val="22"/>
          <w:szCs w:val="22"/>
        </w:rPr>
        <w:t xml:space="preserve"> megítélését, alapjául szolgál a Kar, valamint az egyes szervezeti egységek minőségcéljainak meghatározásához, a stratégiai tervezéshez, egy átfogó minőségkultúra kialakításához.</w:t>
      </w:r>
    </w:p>
    <w:p w14:paraId="51576E9F" w14:textId="77777777" w:rsidR="00FD0545" w:rsidRPr="00735D27" w:rsidRDefault="00FD0545" w:rsidP="00FD0545">
      <w:pPr>
        <w:contextualSpacing/>
        <w:jc w:val="both"/>
        <w:rPr>
          <w:rFonts w:eastAsia="Calibri"/>
          <w:sz w:val="22"/>
          <w:szCs w:val="22"/>
        </w:rPr>
      </w:pPr>
    </w:p>
    <w:p w14:paraId="223BB463" w14:textId="77777777" w:rsidR="00FD0545" w:rsidRPr="00735D27" w:rsidRDefault="00FD0545" w:rsidP="00FD0545">
      <w:pPr>
        <w:contextualSpacing/>
        <w:jc w:val="both"/>
        <w:rPr>
          <w:rFonts w:eastAsia="Calibri"/>
          <w:sz w:val="22"/>
          <w:szCs w:val="22"/>
        </w:rPr>
      </w:pPr>
      <w:r w:rsidRPr="00735D27">
        <w:rPr>
          <w:rFonts w:eastAsia="Calibri"/>
          <w:sz w:val="22"/>
          <w:szCs w:val="22"/>
        </w:rPr>
        <w:t>(2) A Kar minőségfejlesztési rendszerének kidolgozása során a „</w:t>
      </w:r>
      <w:proofErr w:type="spellStart"/>
      <w:r w:rsidRPr="00735D27">
        <w:rPr>
          <w:rFonts w:eastAsia="Calibri"/>
          <w:sz w:val="22"/>
          <w:szCs w:val="22"/>
        </w:rPr>
        <w:t>Standards</w:t>
      </w:r>
      <w:proofErr w:type="spellEnd"/>
      <w:r w:rsidRPr="00735D27">
        <w:rPr>
          <w:rFonts w:eastAsia="Calibri"/>
          <w:sz w:val="22"/>
          <w:szCs w:val="22"/>
        </w:rPr>
        <w:t xml:space="preserve"> and </w:t>
      </w:r>
      <w:proofErr w:type="spellStart"/>
      <w:r w:rsidRPr="00735D27">
        <w:rPr>
          <w:rFonts w:eastAsia="Calibri"/>
          <w:sz w:val="22"/>
          <w:szCs w:val="22"/>
        </w:rPr>
        <w:t>Guidelines</w:t>
      </w:r>
      <w:proofErr w:type="spellEnd"/>
      <w:r w:rsidRPr="00735D27">
        <w:rPr>
          <w:rFonts w:eastAsia="Calibri"/>
          <w:sz w:val="22"/>
          <w:szCs w:val="22"/>
        </w:rPr>
        <w:t xml:space="preserve"> </w:t>
      </w:r>
      <w:proofErr w:type="spellStart"/>
      <w:r w:rsidRPr="00735D27">
        <w:rPr>
          <w:rFonts w:eastAsia="Calibri"/>
          <w:sz w:val="22"/>
          <w:szCs w:val="22"/>
        </w:rPr>
        <w:t>for</w:t>
      </w:r>
      <w:proofErr w:type="spellEnd"/>
      <w:r w:rsidRPr="00735D27">
        <w:rPr>
          <w:rFonts w:eastAsia="Calibri"/>
          <w:sz w:val="22"/>
          <w:szCs w:val="22"/>
        </w:rPr>
        <w:t xml:space="preserve"> </w:t>
      </w:r>
      <w:proofErr w:type="spellStart"/>
      <w:r w:rsidRPr="00735D27">
        <w:rPr>
          <w:rFonts w:eastAsia="Calibri"/>
          <w:sz w:val="22"/>
          <w:szCs w:val="22"/>
        </w:rPr>
        <w:t>Quality</w:t>
      </w:r>
      <w:proofErr w:type="spellEnd"/>
      <w:r w:rsidRPr="00735D27">
        <w:rPr>
          <w:rFonts w:eastAsia="Calibri"/>
          <w:sz w:val="22"/>
          <w:szCs w:val="22"/>
        </w:rPr>
        <w:t xml:space="preserve"> </w:t>
      </w:r>
      <w:proofErr w:type="spellStart"/>
      <w:r w:rsidRPr="00735D27">
        <w:rPr>
          <w:rFonts w:eastAsia="Calibri"/>
          <w:sz w:val="22"/>
          <w:szCs w:val="22"/>
        </w:rPr>
        <w:t>Assurance</w:t>
      </w:r>
      <w:proofErr w:type="spellEnd"/>
      <w:r w:rsidRPr="00735D27">
        <w:rPr>
          <w:rFonts w:eastAsia="Calibri"/>
          <w:sz w:val="22"/>
          <w:szCs w:val="22"/>
        </w:rPr>
        <w:t xml:space="preserve"> in </w:t>
      </w:r>
      <w:proofErr w:type="spellStart"/>
      <w:r w:rsidRPr="00735D27">
        <w:rPr>
          <w:rFonts w:eastAsia="Calibri"/>
          <w:sz w:val="22"/>
          <w:szCs w:val="22"/>
        </w:rPr>
        <w:t>the</w:t>
      </w:r>
      <w:proofErr w:type="spellEnd"/>
      <w:r w:rsidRPr="00735D27">
        <w:rPr>
          <w:rFonts w:eastAsia="Calibri"/>
          <w:sz w:val="22"/>
          <w:szCs w:val="22"/>
        </w:rPr>
        <w:t xml:space="preserve"> European </w:t>
      </w:r>
      <w:proofErr w:type="spellStart"/>
      <w:r w:rsidRPr="00735D27">
        <w:rPr>
          <w:rFonts w:eastAsia="Calibri"/>
          <w:sz w:val="22"/>
          <w:szCs w:val="22"/>
        </w:rPr>
        <w:t>Higher</w:t>
      </w:r>
      <w:proofErr w:type="spellEnd"/>
      <w:r w:rsidRPr="00735D27">
        <w:rPr>
          <w:rFonts w:eastAsia="Calibri"/>
          <w:sz w:val="22"/>
          <w:szCs w:val="22"/>
        </w:rPr>
        <w:t xml:space="preserve"> Education </w:t>
      </w:r>
      <w:proofErr w:type="spellStart"/>
      <w:r w:rsidRPr="00735D27">
        <w:rPr>
          <w:rFonts w:eastAsia="Calibri"/>
          <w:sz w:val="22"/>
          <w:szCs w:val="22"/>
        </w:rPr>
        <w:t>Area</w:t>
      </w:r>
      <w:proofErr w:type="spellEnd"/>
      <w:r w:rsidRPr="00735D27">
        <w:rPr>
          <w:rFonts w:eastAsia="Calibri"/>
          <w:sz w:val="22"/>
          <w:szCs w:val="22"/>
        </w:rPr>
        <w:t xml:space="preserve">” (2015, Brüsszel, ESG) elvárásai, a Magyar Akkreditációs Bizottság tudományos előmenetelre vonatkozó </w:t>
      </w:r>
      <w:proofErr w:type="spellStart"/>
      <w:r w:rsidRPr="00735D27">
        <w:rPr>
          <w:rFonts w:eastAsia="Calibri"/>
          <w:sz w:val="22"/>
          <w:szCs w:val="22"/>
        </w:rPr>
        <w:t>követleményei</w:t>
      </w:r>
      <w:proofErr w:type="spellEnd"/>
      <w:r w:rsidRPr="00735D27">
        <w:rPr>
          <w:rFonts w:eastAsia="Calibri"/>
          <w:sz w:val="22"/>
          <w:szCs w:val="22"/>
        </w:rPr>
        <w:t>, a PTE, és különösen a Bölcsészet</w:t>
      </w:r>
      <w:r w:rsidR="00A037FC" w:rsidRPr="00995329">
        <w:rPr>
          <w:rFonts w:eastAsia="Calibri"/>
          <w:sz w:val="22"/>
          <w:szCs w:val="22"/>
        </w:rPr>
        <w:t>- és Társadalom</w:t>
      </w:r>
      <w:r w:rsidRPr="00995329">
        <w:rPr>
          <w:rFonts w:eastAsia="Calibri"/>
          <w:sz w:val="22"/>
          <w:szCs w:val="22"/>
        </w:rPr>
        <w:t>tudományi</w:t>
      </w:r>
      <w:r w:rsidRPr="00735D27">
        <w:rPr>
          <w:rFonts w:eastAsia="Calibri"/>
          <w:sz w:val="22"/>
          <w:szCs w:val="22"/>
        </w:rPr>
        <w:t xml:space="preserve"> Kar igényei, sajátosságai határozták meg a keretrendszer sarokpontjait.</w:t>
      </w:r>
    </w:p>
    <w:p w14:paraId="6783FFA5" w14:textId="77777777" w:rsidR="00FD0545" w:rsidRPr="00735D27" w:rsidRDefault="00FD0545" w:rsidP="00FD0545">
      <w:pPr>
        <w:contextualSpacing/>
        <w:jc w:val="both"/>
        <w:rPr>
          <w:rFonts w:eastAsia="Calibri"/>
          <w:sz w:val="22"/>
          <w:szCs w:val="22"/>
        </w:rPr>
      </w:pPr>
    </w:p>
    <w:p w14:paraId="4DF35A4C"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(3) A jelen utasításban közzétett TÉR differenciáltabb, </w:t>
      </w:r>
      <w:proofErr w:type="gramStart"/>
      <w:r w:rsidRPr="00735D27">
        <w:rPr>
          <w:rFonts w:eastAsia="Calibri"/>
          <w:sz w:val="22"/>
          <w:szCs w:val="22"/>
        </w:rPr>
        <w:t>komplexebb</w:t>
      </w:r>
      <w:proofErr w:type="gramEnd"/>
      <w:r w:rsidRPr="00735D27">
        <w:rPr>
          <w:rFonts w:eastAsia="Calibri"/>
          <w:sz w:val="22"/>
          <w:szCs w:val="22"/>
        </w:rPr>
        <w:t xml:space="preserve"> és átláthatóbb értékelést tesz lehetővé. </w:t>
      </w:r>
    </w:p>
    <w:p w14:paraId="0BDBEB08" w14:textId="77777777" w:rsidR="00FD0545" w:rsidRPr="00735D27" w:rsidRDefault="00FD0545" w:rsidP="00FD0545">
      <w:pPr>
        <w:contextualSpacing/>
        <w:jc w:val="both"/>
        <w:rPr>
          <w:rFonts w:eastAsia="Calibri"/>
          <w:sz w:val="22"/>
          <w:szCs w:val="22"/>
        </w:rPr>
      </w:pPr>
    </w:p>
    <w:p w14:paraId="0ED44815"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(4) A TÉR a Kar </w:t>
      </w:r>
      <w:proofErr w:type="spellStart"/>
      <w:r w:rsidRPr="00735D27">
        <w:rPr>
          <w:rFonts w:eastAsia="Calibri"/>
          <w:sz w:val="22"/>
          <w:szCs w:val="22"/>
        </w:rPr>
        <w:t>közalkalmazottai</w:t>
      </w:r>
      <w:proofErr w:type="spellEnd"/>
      <w:r w:rsidRPr="00735D27">
        <w:rPr>
          <w:rFonts w:eastAsia="Calibri"/>
          <w:sz w:val="22"/>
          <w:szCs w:val="22"/>
        </w:rPr>
        <w:t xml:space="preserve"> esetében az oktatói, a kutatói és az adminisztratív tevékenységét egyaránt méri és értékeli. Ez a három </w:t>
      </w:r>
      <w:proofErr w:type="gramStart"/>
      <w:r w:rsidRPr="00735D27">
        <w:rPr>
          <w:rFonts w:eastAsia="Calibri"/>
          <w:sz w:val="22"/>
          <w:szCs w:val="22"/>
        </w:rPr>
        <w:t>komponens</w:t>
      </w:r>
      <w:proofErr w:type="gramEnd"/>
      <w:r w:rsidRPr="00735D27">
        <w:rPr>
          <w:rFonts w:eastAsia="Calibri"/>
          <w:sz w:val="22"/>
          <w:szCs w:val="22"/>
        </w:rPr>
        <w:t xml:space="preserve"> azonos súllyal, vagyis 33%-</w:t>
      </w:r>
      <w:proofErr w:type="spellStart"/>
      <w:r w:rsidRPr="00735D27">
        <w:rPr>
          <w:rFonts w:eastAsia="Calibri"/>
          <w:sz w:val="22"/>
          <w:szCs w:val="22"/>
        </w:rPr>
        <w:t>os</w:t>
      </w:r>
      <w:proofErr w:type="spellEnd"/>
      <w:r w:rsidRPr="00735D27">
        <w:rPr>
          <w:rFonts w:eastAsia="Calibri"/>
          <w:sz w:val="22"/>
          <w:szCs w:val="22"/>
        </w:rPr>
        <w:t xml:space="preserve"> arányban szerepel a TÉR-</w:t>
      </w:r>
      <w:proofErr w:type="spellStart"/>
      <w:r w:rsidRPr="00735D27">
        <w:rPr>
          <w:rFonts w:eastAsia="Calibri"/>
          <w:sz w:val="22"/>
          <w:szCs w:val="22"/>
        </w:rPr>
        <w:t>ben</w:t>
      </w:r>
      <w:proofErr w:type="spellEnd"/>
      <w:r w:rsidRPr="00735D27">
        <w:rPr>
          <w:rFonts w:eastAsia="Calibri"/>
          <w:sz w:val="22"/>
          <w:szCs w:val="22"/>
        </w:rPr>
        <w:t>. A hármas felosztást és az arányos számítást az oktatói leterheltség optimális szintjének kialakítása és fenntartása érdekében alkalmazza a szabályozás.</w:t>
      </w:r>
    </w:p>
    <w:p w14:paraId="00DE0D9F" w14:textId="77777777" w:rsidR="00FD0545" w:rsidRPr="00735D27" w:rsidRDefault="00FD0545" w:rsidP="00FD0545">
      <w:pPr>
        <w:contextualSpacing/>
        <w:jc w:val="both"/>
        <w:rPr>
          <w:rFonts w:eastAsia="Calibri"/>
          <w:sz w:val="22"/>
          <w:szCs w:val="22"/>
        </w:rPr>
      </w:pPr>
    </w:p>
    <w:p w14:paraId="61BD44E2"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(5) A TÉR folyamatának során kialakuló, minimum kétszereplős diszkusszió elősegíti az egyes munkavállalók teljesítményének pontosabb felmérését, megismerését, a munkavállaló és közvetlen </w:t>
      </w:r>
      <w:r w:rsidRPr="00735D27">
        <w:rPr>
          <w:rFonts w:eastAsia="Calibri"/>
          <w:sz w:val="22"/>
          <w:szCs w:val="22"/>
        </w:rPr>
        <w:lastRenderedPageBreak/>
        <w:t xml:space="preserve">vezetője közötti </w:t>
      </w:r>
      <w:proofErr w:type="gramStart"/>
      <w:r w:rsidRPr="00735D27">
        <w:rPr>
          <w:rFonts w:eastAsia="Calibri"/>
          <w:sz w:val="22"/>
          <w:szCs w:val="22"/>
        </w:rPr>
        <w:t>kooperáció</w:t>
      </w:r>
      <w:proofErr w:type="gramEnd"/>
      <w:r w:rsidRPr="00735D27">
        <w:rPr>
          <w:rFonts w:eastAsia="Calibri"/>
          <w:sz w:val="22"/>
          <w:szCs w:val="22"/>
        </w:rPr>
        <w:t xml:space="preserve"> előmozdítását, az egyes szervezeti egységekben folyó munka átláthatóbbá, tervezhetőbbé válását, ezáltal a Kar minőségcéljainak  teljesítményének fejlődését.</w:t>
      </w:r>
    </w:p>
    <w:p w14:paraId="35086DD1" w14:textId="77777777" w:rsidR="00FD0545" w:rsidRDefault="00FD0545" w:rsidP="00FD0545">
      <w:pPr>
        <w:contextualSpacing/>
        <w:jc w:val="both"/>
        <w:rPr>
          <w:rFonts w:eastAsia="Calibri"/>
          <w:sz w:val="22"/>
          <w:szCs w:val="22"/>
        </w:rPr>
      </w:pPr>
    </w:p>
    <w:p w14:paraId="1F69B675"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(6) A TÉR kitöltéséhez az </w:t>
      </w:r>
      <w:proofErr w:type="spellStart"/>
      <w:r w:rsidRPr="00735D27">
        <w:rPr>
          <w:rFonts w:eastAsia="Calibri"/>
          <w:sz w:val="22"/>
          <w:szCs w:val="22"/>
        </w:rPr>
        <w:t>alapadatokat</w:t>
      </w:r>
      <w:proofErr w:type="spellEnd"/>
      <w:r w:rsidRPr="00735D27">
        <w:rPr>
          <w:rFonts w:eastAsia="Calibri"/>
          <w:sz w:val="22"/>
          <w:szCs w:val="22"/>
        </w:rPr>
        <w:t xml:space="preserve"> az oktatási és az </w:t>
      </w:r>
      <w:proofErr w:type="gramStart"/>
      <w:r w:rsidRPr="00735D27">
        <w:rPr>
          <w:rFonts w:eastAsia="Calibri"/>
          <w:sz w:val="22"/>
          <w:szCs w:val="22"/>
        </w:rPr>
        <w:t>adminisztrációs</w:t>
      </w:r>
      <w:proofErr w:type="gramEnd"/>
      <w:r w:rsidRPr="00735D27">
        <w:rPr>
          <w:rFonts w:eastAsia="Calibri"/>
          <w:sz w:val="22"/>
          <w:szCs w:val="22"/>
        </w:rPr>
        <w:t xml:space="preserve"> munka esetében a Kari Hivatal, a Tanulmányi Osztály és az egyes szervezeti egységek vezetői, illetve maga a közalkalmazott szolgáltatja. Az oktatási munka esetében a </w:t>
      </w:r>
      <w:proofErr w:type="spellStart"/>
      <w:r w:rsidRPr="00735D27">
        <w:rPr>
          <w:rFonts w:eastAsia="Calibri"/>
          <w:sz w:val="22"/>
          <w:szCs w:val="22"/>
        </w:rPr>
        <w:t>Neptun</w:t>
      </w:r>
      <w:proofErr w:type="spellEnd"/>
      <w:r w:rsidRPr="00735D27">
        <w:rPr>
          <w:rFonts w:eastAsia="Calibri"/>
          <w:sz w:val="22"/>
          <w:szCs w:val="22"/>
        </w:rPr>
        <w:t xml:space="preserve"> tanulmányi rendszer szolgáltat adatokat. A tudományos teljesítmény értékeléséhez szükséges adatok felvitele a közalkalmazott érdeke és feladata. E mérőszámok forrása részben az MTMT.</w:t>
      </w:r>
    </w:p>
    <w:p w14:paraId="35895D94" w14:textId="77777777" w:rsidR="00FD0545" w:rsidRPr="00735D27" w:rsidRDefault="00FD0545" w:rsidP="00FD0545">
      <w:pPr>
        <w:contextualSpacing/>
        <w:jc w:val="center"/>
        <w:rPr>
          <w:rFonts w:eastAsia="Calibri"/>
          <w:sz w:val="22"/>
          <w:szCs w:val="22"/>
        </w:rPr>
      </w:pPr>
    </w:p>
    <w:p w14:paraId="71D7BDA5" w14:textId="77777777" w:rsidR="00FD0545" w:rsidRPr="00735D27" w:rsidRDefault="00FD0545" w:rsidP="00FD0545">
      <w:pPr>
        <w:contextualSpacing/>
        <w:jc w:val="center"/>
        <w:rPr>
          <w:rFonts w:eastAsia="Calibri"/>
          <w:b/>
          <w:sz w:val="22"/>
          <w:szCs w:val="22"/>
        </w:rPr>
      </w:pPr>
      <w:r w:rsidRPr="00735D27">
        <w:rPr>
          <w:rFonts w:eastAsia="Calibri"/>
          <w:b/>
          <w:sz w:val="22"/>
          <w:szCs w:val="22"/>
        </w:rPr>
        <w:t>A kitöltési menetrend</w:t>
      </w:r>
    </w:p>
    <w:p w14:paraId="7C935CB2" w14:textId="77777777" w:rsidR="00FD0545" w:rsidRPr="00735D27" w:rsidRDefault="00FD0545" w:rsidP="00FD0545">
      <w:pPr>
        <w:ind w:left="1080"/>
        <w:contextualSpacing/>
        <w:rPr>
          <w:rFonts w:eastAsia="Calibri"/>
          <w:sz w:val="22"/>
          <w:szCs w:val="22"/>
        </w:rPr>
      </w:pPr>
    </w:p>
    <w:p w14:paraId="3C581F50" w14:textId="77777777" w:rsidR="00FD0545" w:rsidRPr="00735D27" w:rsidRDefault="00FD0545" w:rsidP="00FD0545">
      <w:pPr>
        <w:contextualSpacing/>
        <w:jc w:val="both"/>
        <w:rPr>
          <w:rFonts w:eastAsia="Calibri"/>
          <w:sz w:val="22"/>
          <w:szCs w:val="22"/>
        </w:rPr>
      </w:pPr>
      <w:r w:rsidRPr="00735D27">
        <w:rPr>
          <w:rFonts w:eastAsia="Calibri"/>
          <w:b/>
          <w:sz w:val="22"/>
          <w:szCs w:val="22"/>
        </w:rPr>
        <w:t>5. §</w:t>
      </w:r>
      <w:r w:rsidRPr="00735D27">
        <w:rPr>
          <w:rFonts w:eastAsia="Calibri"/>
          <w:sz w:val="22"/>
          <w:szCs w:val="22"/>
        </w:rPr>
        <w:t xml:space="preserve"> (1) Az online TÉR kitöltésének kezdete minden év július 1. (felelős: oktató)</w:t>
      </w:r>
    </w:p>
    <w:p w14:paraId="1BB60347" w14:textId="77777777" w:rsidR="00FD0545" w:rsidRPr="00735D27" w:rsidRDefault="00FD0545" w:rsidP="00FD0545">
      <w:pPr>
        <w:contextualSpacing/>
        <w:jc w:val="both"/>
        <w:rPr>
          <w:rFonts w:eastAsia="Calibri"/>
          <w:sz w:val="22"/>
          <w:szCs w:val="22"/>
        </w:rPr>
      </w:pPr>
    </w:p>
    <w:p w14:paraId="30A86BA6" w14:textId="77777777" w:rsidR="00FD0545" w:rsidRPr="00735D27" w:rsidRDefault="00FD0545" w:rsidP="00FD0545">
      <w:pPr>
        <w:contextualSpacing/>
        <w:jc w:val="both"/>
        <w:rPr>
          <w:rFonts w:eastAsia="Calibri"/>
          <w:sz w:val="22"/>
          <w:szCs w:val="22"/>
        </w:rPr>
      </w:pPr>
      <w:r w:rsidRPr="00735D27">
        <w:rPr>
          <w:rFonts w:eastAsia="Calibri"/>
          <w:sz w:val="22"/>
          <w:szCs w:val="22"/>
        </w:rPr>
        <w:t>(2) A felület kitöltésének a végső határideje minden év szeptember 15. (felelős: oktató)</w:t>
      </w:r>
    </w:p>
    <w:p w14:paraId="48368344" w14:textId="77777777" w:rsidR="00FD0545" w:rsidRPr="00735D27" w:rsidRDefault="00FD0545" w:rsidP="00FD0545">
      <w:pPr>
        <w:contextualSpacing/>
        <w:jc w:val="both"/>
        <w:rPr>
          <w:rFonts w:eastAsia="Calibri"/>
          <w:sz w:val="22"/>
          <w:szCs w:val="22"/>
        </w:rPr>
      </w:pPr>
    </w:p>
    <w:p w14:paraId="6E5697E0" w14:textId="77777777" w:rsidR="00FD0545" w:rsidRPr="00735D27" w:rsidRDefault="00FD0545" w:rsidP="00FD0545">
      <w:pPr>
        <w:contextualSpacing/>
        <w:jc w:val="both"/>
        <w:rPr>
          <w:rFonts w:eastAsia="Calibri"/>
          <w:sz w:val="22"/>
          <w:szCs w:val="22"/>
        </w:rPr>
      </w:pPr>
      <w:r w:rsidRPr="00735D27">
        <w:rPr>
          <w:rFonts w:eastAsia="Calibri"/>
          <w:sz w:val="22"/>
          <w:szCs w:val="22"/>
        </w:rPr>
        <w:t>(3) Az oktató által kitöltött online TÉR közvetlen felettes vezetői által történő jóváhagyása, vagy indoklással visszaküldött elutasításának végső határideje minden év szeptember 30. (felelős: oktató, közvetlen felettes)</w:t>
      </w:r>
    </w:p>
    <w:p w14:paraId="0B0D53DB" w14:textId="77777777" w:rsidR="00FD0545" w:rsidRPr="00735D27" w:rsidRDefault="00FD0545" w:rsidP="00FD0545">
      <w:pPr>
        <w:contextualSpacing/>
        <w:jc w:val="both"/>
        <w:rPr>
          <w:rFonts w:eastAsia="Calibri"/>
          <w:sz w:val="22"/>
          <w:szCs w:val="22"/>
        </w:rPr>
      </w:pPr>
    </w:p>
    <w:p w14:paraId="1956A631" w14:textId="77777777" w:rsidR="00FD0545" w:rsidRPr="00735D27" w:rsidRDefault="00FD0545" w:rsidP="00FD0545">
      <w:pPr>
        <w:contextualSpacing/>
        <w:jc w:val="both"/>
        <w:rPr>
          <w:rFonts w:eastAsia="Calibri"/>
          <w:sz w:val="22"/>
          <w:szCs w:val="22"/>
        </w:rPr>
      </w:pPr>
      <w:r w:rsidRPr="00735D27">
        <w:rPr>
          <w:rFonts w:eastAsia="Calibri"/>
          <w:sz w:val="22"/>
          <w:szCs w:val="22"/>
        </w:rPr>
        <w:t>(4) A közvetlen felettes és a közalkalmazott által kitöltött értékelés véglegesítésének végső határideje a TÉR rendszerében minden év október 15.(felelős: közvetlen felettes)</w:t>
      </w:r>
    </w:p>
    <w:p w14:paraId="2C327108" w14:textId="77777777" w:rsidR="00FD0545" w:rsidRPr="00735D27" w:rsidRDefault="00FD0545" w:rsidP="00FD0545">
      <w:pPr>
        <w:contextualSpacing/>
        <w:jc w:val="both"/>
        <w:rPr>
          <w:rFonts w:eastAsia="Calibri"/>
          <w:sz w:val="22"/>
          <w:szCs w:val="22"/>
        </w:rPr>
      </w:pPr>
    </w:p>
    <w:p w14:paraId="26270178"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(5) Amennyiben az adott tárgyév október 15-éig nem születik megegyezés, akkor a dékáni vezetésnek kötelessége kijelölni egy független harmadik felet, aki közvetít a vitás kérdésekben. A harmadik fél a mindenkor megbízott Minőségfejlesztési Bizottság egyik tagja. </w:t>
      </w:r>
    </w:p>
    <w:p w14:paraId="41702FF6" w14:textId="77777777" w:rsidR="00FD0545" w:rsidRPr="00735D27" w:rsidRDefault="00FD0545" w:rsidP="00FD0545">
      <w:pPr>
        <w:contextualSpacing/>
        <w:jc w:val="both"/>
        <w:rPr>
          <w:rFonts w:eastAsia="Calibri"/>
          <w:sz w:val="22"/>
          <w:szCs w:val="22"/>
        </w:rPr>
      </w:pPr>
    </w:p>
    <w:p w14:paraId="07ECC244"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(6) Amennyiben az oktató nem teljesíti tárgyév október 15-ig az előző időszakban megfogalmazott feltételeket, a nem önálló szervezeti egység vezető, mint közvetlen felettes, valamint az önálló szervezeti egység vezető egyeztet az érintett </w:t>
      </w:r>
      <w:proofErr w:type="gramStart"/>
      <w:r w:rsidRPr="00735D27">
        <w:rPr>
          <w:rFonts w:eastAsia="Calibri"/>
          <w:sz w:val="22"/>
          <w:szCs w:val="22"/>
        </w:rPr>
        <w:t>kollégával</w:t>
      </w:r>
      <w:proofErr w:type="gramEnd"/>
      <w:r w:rsidRPr="00735D27">
        <w:rPr>
          <w:rFonts w:eastAsia="Calibri"/>
          <w:sz w:val="22"/>
          <w:szCs w:val="22"/>
        </w:rPr>
        <w:t>, és felhívja figyelmét az adatok pótlására.</w:t>
      </w:r>
    </w:p>
    <w:p w14:paraId="20E572A3" w14:textId="77777777" w:rsidR="00FD0545" w:rsidRPr="00735D27" w:rsidRDefault="00FD0545" w:rsidP="00FD0545">
      <w:pPr>
        <w:contextualSpacing/>
        <w:jc w:val="both"/>
        <w:rPr>
          <w:rFonts w:eastAsia="Calibri"/>
          <w:sz w:val="22"/>
          <w:szCs w:val="22"/>
        </w:rPr>
      </w:pPr>
    </w:p>
    <w:p w14:paraId="1D6B9914" w14:textId="77777777" w:rsidR="00FD0545" w:rsidRPr="00735D27" w:rsidRDefault="00FD0545" w:rsidP="00FD0545">
      <w:pPr>
        <w:contextualSpacing/>
        <w:jc w:val="both"/>
        <w:rPr>
          <w:rFonts w:eastAsia="Calibri"/>
          <w:sz w:val="22"/>
          <w:szCs w:val="22"/>
        </w:rPr>
      </w:pPr>
      <w:r w:rsidRPr="00735D27">
        <w:rPr>
          <w:rFonts w:eastAsia="Calibri"/>
          <w:sz w:val="22"/>
          <w:szCs w:val="22"/>
        </w:rPr>
        <w:t>(7) A TÉR folyamatos működtetése a Kari Hivatal, mint felelős szervezeti egység, feladata.</w:t>
      </w:r>
    </w:p>
    <w:p w14:paraId="43DC6124" w14:textId="77777777" w:rsidR="00FD0545" w:rsidRPr="00735D27" w:rsidRDefault="00FD0545" w:rsidP="00FD0545">
      <w:pPr>
        <w:contextualSpacing/>
        <w:jc w:val="both"/>
        <w:rPr>
          <w:rFonts w:eastAsia="Calibri"/>
          <w:sz w:val="22"/>
          <w:szCs w:val="22"/>
        </w:rPr>
      </w:pPr>
    </w:p>
    <w:p w14:paraId="788789DA"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(8) A TÉR elérhetősége:  </w:t>
      </w:r>
      <w:hyperlink r:id="rId10" w:history="1">
        <w:r w:rsidRPr="00735D27">
          <w:rPr>
            <w:rFonts w:eastAsia="Calibri"/>
            <w:sz w:val="22"/>
            <w:szCs w:val="22"/>
            <w:u w:val="single"/>
          </w:rPr>
          <w:t>http://btk-ter-dev.pte.hu/site/login</w:t>
        </w:r>
      </w:hyperlink>
      <w:r w:rsidRPr="00735D27">
        <w:rPr>
          <w:rFonts w:eastAsia="Calibri"/>
          <w:sz w:val="22"/>
          <w:szCs w:val="22"/>
        </w:rPr>
        <w:t xml:space="preserve">, melyet https//btk.pte.hu oldal fejlécében található TÉR </w:t>
      </w:r>
      <w:proofErr w:type="gramStart"/>
      <w:r w:rsidRPr="00735D27">
        <w:rPr>
          <w:rFonts w:eastAsia="Calibri"/>
          <w:sz w:val="22"/>
          <w:szCs w:val="22"/>
        </w:rPr>
        <w:t>linkről</w:t>
      </w:r>
      <w:proofErr w:type="gramEnd"/>
      <w:r w:rsidRPr="00735D27">
        <w:rPr>
          <w:rFonts w:eastAsia="Calibri"/>
          <w:sz w:val="22"/>
          <w:szCs w:val="22"/>
        </w:rPr>
        <w:t xml:space="preserve"> lehet elérni. A rendszerbe az EHA kóddal és jelszóval tud belépni minden érintett.</w:t>
      </w:r>
    </w:p>
    <w:p w14:paraId="02C05FFE" w14:textId="77777777" w:rsidR="00FD0545" w:rsidRPr="00735D27" w:rsidRDefault="00FD0545" w:rsidP="00FD0545">
      <w:pPr>
        <w:contextualSpacing/>
        <w:jc w:val="both"/>
        <w:rPr>
          <w:rFonts w:eastAsia="Calibri"/>
          <w:sz w:val="22"/>
          <w:szCs w:val="22"/>
        </w:rPr>
      </w:pPr>
    </w:p>
    <w:p w14:paraId="292F470D" w14:textId="77777777" w:rsidR="00FD0545" w:rsidRPr="00735D27" w:rsidRDefault="00FD0545" w:rsidP="00FD0545">
      <w:pPr>
        <w:ind w:left="1080"/>
        <w:contextualSpacing/>
        <w:jc w:val="center"/>
        <w:rPr>
          <w:rFonts w:eastAsia="Calibri"/>
          <w:b/>
          <w:sz w:val="22"/>
          <w:szCs w:val="22"/>
        </w:rPr>
      </w:pPr>
      <w:r w:rsidRPr="00735D27">
        <w:rPr>
          <w:rFonts w:eastAsia="Calibri"/>
          <w:b/>
          <w:sz w:val="22"/>
          <w:szCs w:val="22"/>
        </w:rPr>
        <w:t>Az elért eredmények minősítése</w:t>
      </w:r>
    </w:p>
    <w:p w14:paraId="15C584E9" w14:textId="77777777" w:rsidR="00FD0545" w:rsidRPr="00735D27" w:rsidRDefault="00FD0545" w:rsidP="00FD0545">
      <w:pPr>
        <w:contextualSpacing/>
        <w:jc w:val="both"/>
        <w:rPr>
          <w:rFonts w:eastAsia="Calibri"/>
          <w:sz w:val="22"/>
          <w:szCs w:val="22"/>
        </w:rPr>
      </w:pPr>
    </w:p>
    <w:p w14:paraId="55889830" w14:textId="77777777" w:rsidR="00FD0545" w:rsidRPr="00735D27" w:rsidRDefault="00FD0545" w:rsidP="00FD0545">
      <w:pPr>
        <w:contextualSpacing/>
        <w:jc w:val="both"/>
        <w:rPr>
          <w:rFonts w:eastAsia="Calibri"/>
          <w:sz w:val="22"/>
          <w:szCs w:val="22"/>
        </w:rPr>
      </w:pPr>
      <w:r w:rsidRPr="00735D27">
        <w:rPr>
          <w:rFonts w:eastAsia="Calibri"/>
          <w:b/>
          <w:sz w:val="22"/>
          <w:szCs w:val="22"/>
        </w:rPr>
        <w:t>6. §</w:t>
      </w:r>
      <w:r w:rsidRPr="00735D27">
        <w:rPr>
          <w:rFonts w:eastAsia="Calibri"/>
          <w:sz w:val="22"/>
          <w:szCs w:val="22"/>
        </w:rPr>
        <w:t xml:space="preserve"> (1) Az értékelés négyes skálán történik, melyek meghatározása:</w:t>
      </w:r>
    </w:p>
    <w:p w14:paraId="74435675"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3 –kiemelkedő: az elvárt követelmények feletti, kimagasló teljesítmény</w:t>
      </w:r>
    </w:p>
    <w:p w14:paraId="5658AB5B"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2 –megfelelő: az elvárt követelményeknek teljesen megfelelő teljesítmény </w:t>
      </w:r>
    </w:p>
    <w:p w14:paraId="22B2AEC8"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1 –</w:t>
      </w:r>
      <w:proofErr w:type="spellStart"/>
      <w:r w:rsidRPr="00735D27">
        <w:rPr>
          <w:rFonts w:eastAsia="Calibri"/>
          <w:sz w:val="22"/>
          <w:szCs w:val="22"/>
        </w:rPr>
        <w:t>kevésssé</w:t>
      </w:r>
      <w:proofErr w:type="spellEnd"/>
      <w:r w:rsidRPr="00735D27">
        <w:rPr>
          <w:rFonts w:eastAsia="Calibri"/>
          <w:sz w:val="22"/>
          <w:szCs w:val="22"/>
        </w:rPr>
        <w:t xml:space="preserve"> megfelelő: az elvárt követelményeknek még megfelelő teljesítmény </w:t>
      </w:r>
    </w:p>
    <w:p w14:paraId="3BE7F7A3"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0 - nem megfelelő: az elvárt követelményeknek még részben sem megfelelő teljesítmény.</w:t>
      </w:r>
    </w:p>
    <w:p w14:paraId="4D13FEE8" w14:textId="77777777" w:rsidR="00FD0545" w:rsidRPr="00735D27" w:rsidRDefault="00FD0545" w:rsidP="00FD0545">
      <w:pPr>
        <w:contextualSpacing/>
        <w:jc w:val="both"/>
        <w:rPr>
          <w:rFonts w:eastAsia="Calibri"/>
          <w:sz w:val="22"/>
          <w:szCs w:val="22"/>
        </w:rPr>
      </w:pPr>
    </w:p>
    <w:p w14:paraId="1326EA31"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(2) A minősítés eredményeképpen </w:t>
      </w:r>
    </w:p>
    <w:p w14:paraId="56F32075" w14:textId="77777777" w:rsidR="00FD0545" w:rsidRPr="00735D27" w:rsidRDefault="00FD0545" w:rsidP="00F83E93">
      <w:pPr>
        <w:numPr>
          <w:ilvl w:val="0"/>
          <w:numId w:val="137"/>
        </w:numPr>
        <w:jc w:val="both"/>
        <w:rPr>
          <w:rFonts w:eastAsia="Calibri"/>
          <w:sz w:val="22"/>
          <w:szCs w:val="22"/>
        </w:rPr>
      </w:pPr>
      <w:r w:rsidRPr="00735D27">
        <w:rPr>
          <w:rFonts w:eastAsia="Calibri"/>
          <w:sz w:val="22"/>
          <w:szCs w:val="22"/>
        </w:rPr>
        <w:t>kiválóan alkalmas,</w:t>
      </w:r>
    </w:p>
    <w:p w14:paraId="48310D5B" w14:textId="77777777" w:rsidR="00FD0545" w:rsidRPr="00735D27" w:rsidRDefault="00FD0545" w:rsidP="00F83E93">
      <w:pPr>
        <w:numPr>
          <w:ilvl w:val="0"/>
          <w:numId w:val="137"/>
        </w:numPr>
        <w:jc w:val="both"/>
        <w:rPr>
          <w:rFonts w:eastAsia="Calibri"/>
          <w:sz w:val="22"/>
          <w:szCs w:val="22"/>
        </w:rPr>
      </w:pPr>
      <w:r w:rsidRPr="00735D27">
        <w:rPr>
          <w:rFonts w:eastAsia="Calibri"/>
          <w:sz w:val="22"/>
          <w:szCs w:val="22"/>
        </w:rPr>
        <w:t>alkalmas,</w:t>
      </w:r>
    </w:p>
    <w:p w14:paraId="1CDA48A2" w14:textId="77777777" w:rsidR="00FD0545" w:rsidRPr="00735D27" w:rsidRDefault="00FD0545" w:rsidP="00F83E93">
      <w:pPr>
        <w:numPr>
          <w:ilvl w:val="0"/>
          <w:numId w:val="137"/>
        </w:numPr>
        <w:jc w:val="both"/>
        <w:rPr>
          <w:rFonts w:eastAsia="Calibri"/>
          <w:sz w:val="22"/>
          <w:szCs w:val="22"/>
        </w:rPr>
      </w:pPr>
      <w:r w:rsidRPr="00735D27">
        <w:rPr>
          <w:rFonts w:eastAsia="Calibri"/>
          <w:sz w:val="22"/>
          <w:szCs w:val="22"/>
        </w:rPr>
        <w:t>kevéssé alkalmas,</w:t>
      </w:r>
    </w:p>
    <w:p w14:paraId="7D2129E4" w14:textId="77777777" w:rsidR="00FD0545" w:rsidRPr="00735D27" w:rsidRDefault="00FD0545" w:rsidP="00F83E93">
      <w:pPr>
        <w:numPr>
          <w:ilvl w:val="0"/>
          <w:numId w:val="137"/>
        </w:numPr>
        <w:jc w:val="both"/>
        <w:rPr>
          <w:rFonts w:eastAsia="Calibri"/>
          <w:sz w:val="22"/>
          <w:szCs w:val="22"/>
        </w:rPr>
      </w:pPr>
      <w:r w:rsidRPr="00735D27">
        <w:rPr>
          <w:rFonts w:eastAsia="Calibri"/>
          <w:sz w:val="22"/>
          <w:szCs w:val="22"/>
        </w:rPr>
        <w:t>alkalmatlan,</w:t>
      </w:r>
    </w:p>
    <w:p w14:paraId="7C51151F" w14:textId="77777777" w:rsidR="00FD0545" w:rsidRPr="00735D27" w:rsidRDefault="00FD0545" w:rsidP="00FD0545">
      <w:pPr>
        <w:tabs>
          <w:tab w:val="left" w:pos="9781"/>
        </w:tabs>
        <w:jc w:val="both"/>
        <w:rPr>
          <w:rFonts w:eastAsia="Calibri"/>
          <w:sz w:val="22"/>
          <w:szCs w:val="22"/>
        </w:rPr>
      </w:pPr>
      <w:proofErr w:type="gramStart"/>
      <w:r w:rsidRPr="00735D27">
        <w:rPr>
          <w:rFonts w:eastAsia="Calibri"/>
          <w:sz w:val="22"/>
          <w:szCs w:val="22"/>
        </w:rPr>
        <w:t>minősítés</w:t>
      </w:r>
      <w:proofErr w:type="gramEnd"/>
      <w:r w:rsidRPr="00735D27">
        <w:rPr>
          <w:rFonts w:eastAsia="Calibri"/>
          <w:sz w:val="22"/>
          <w:szCs w:val="22"/>
        </w:rPr>
        <w:t xml:space="preserve"> adható.</w:t>
      </w:r>
    </w:p>
    <w:p w14:paraId="4DA44BDC" w14:textId="77777777" w:rsidR="00FD0545" w:rsidRPr="00735D27" w:rsidRDefault="00FD0545" w:rsidP="00FD0545">
      <w:pPr>
        <w:contextualSpacing/>
        <w:jc w:val="both"/>
        <w:rPr>
          <w:rFonts w:eastAsia="Calibri"/>
          <w:sz w:val="22"/>
          <w:szCs w:val="22"/>
        </w:rPr>
      </w:pPr>
    </w:p>
    <w:p w14:paraId="32FF0BAB" w14:textId="77777777" w:rsidR="00FD0545" w:rsidRPr="00735D27" w:rsidRDefault="00FD0545" w:rsidP="00FD0545">
      <w:pPr>
        <w:contextualSpacing/>
        <w:jc w:val="both"/>
        <w:rPr>
          <w:rFonts w:eastAsia="Calibri"/>
          <w:sz w:val="22"/>
          <w:szCs w:val="22"/>
        </w:rPr>
      </w:pPr>
      <w:r w:rsidRPr="00735D27">
        <w:rPr>
          <w:rFonts w:eastAsia="Calibri"/>
          <w:sz w:val="22"/>
          <w:szCs w:val="22"/>
        </w:rPr>
        <w:t>(3) Az alkalmatlan minősítést kapott oktató esetében (amennyiben előzőleg dokumentáltan sor került szóbeli, írásbeli figyelmeztetésre, elmarasztalásra) a munkáltatói jogok gyakorlója (dékán, rektor) a hatályos jogszabályok alapján mérlegeli a jogkövetkezményeket.</w:t>
      </w:r>
    </w:p>
    <w:p w14:paraId="7D6F634D" w14:textId="77777777" w:rsidR="00995329" w:rsidRDefault="00995329">
      <w:pPr>
        <w:spacing w:after="160" w:line="259" w:lineRule="auto"/>
        <w:rPr>
          <w:rFonts w:eastAsia="Calibri"/>
          <w:sz w:val="22"/>
          <w:szCs w:val="22"/>
        </w:rPr>
      </w:pPr>
      <w:r>
        <w:rPr>
          <w:rFonts w:eastAsia="Calibri"/>
          <w:sz w:val="22"/>
          <w:szCs w:val="22"/>
        </w:rPr>
        <w:br w:type="page"/>
      </w:r>
    </w:p>
    <w:p w14:paraId="35418C6A" w14:textId="77777777" w:rsidR="00FD0545" w:rsidRPr="00735D27" w:rsidRDefault="00FD0545" w:rsidP="00FD0545">
      <w:pPr>
        <w:contextualSpacing/>
        <w:jc w:val="both"/>
        <w:rPr>
          <w:rFonts w:eastAsia="Calibri"/>
          <w:sz w:val="22"/>
          <w:szCs w:val="22"/>
        </w:rPr>
      </w:pPr>
    </w:p>
    <w:p w14:paraId="2EB499B2" w14:textId="77777777" w:rsidR="00FD0545" w:rsidRPr="00735D27" w:rsidRDefault="00FD0545" w:rsidP="00FD0545">
      <w:pPr>
        <w:ind w:left="1080"/>
        <w:contextualSpacing/>
        <w:jc w:val="center"/>
        <w:rPr>
          <w:rFonts w:eastAsia="Calibri"/>
          <w:b/>
          <w:sz w:val="22"/>
          <w:szCs w:val="22"/>
        </w:rPr>
      </w:pPr>
      <w:r w:rsidRPr="00735D27">
        <w:rPr>
          <w:rFonts w:eastAsia="Calibri"/>
          <w:b/>
          <w:sz w:val="22"/>
          <w:szCs w:val="22"/>
        </w:rPr>
        <w:t>Az egyes teljesítmény elemek számítási rendje</w:t>
      </w:r>
    </w:p>
    <w:p w14:paraId="61791DAD" w14:textId="77777777" w:rsidR="00FD0545" w:rsidRPr="00735D27" w:rsidRDefault="00FD0545" w:rsidP="00FD0545">
      <w:pPr>
        <w:contextualSpacing/>
        <w:jc w:val="both"/>
        <w:rPr>
          <w:rFonts w:eastAsia="Calibri"/>
          <w:sz w:val="22"/>
          <w:szCs w:val="22"/>
        </w:rPr>
      </w:pPr>
    </w:p>
    <w:p w14:paraId="7E7451C8" w14:textId="77777777" w:rsidR="00FD0545" w:rsidRPr="00735D27" w:rsidRDefault="00FD0545" w:rsidP="00FD0545">
      <w:pPr>
        <w:ind w:left="360" w:hanging="360"/>
        <w:contextualSpacing/>
        <w:rPr>
          <w:rFonts w:eastAsia="Calibri"/>
          <w:sz w:val="22"/>
          <w:szCs w:val="22"/>
        </w:rPr>
      </w:pPr>
      <w:r w:rsidRPr="00735D27">
        <w:rPr>
          <w:rFonts w:eastAsia="Calibri"/>
          <w:b/>
          <w:sz w:val="22"/>
          <w:szCs w:val="22"/>
        </w:rPr>
        <w:t>7. §</w:t>
      </w:r>
      <w:r w:rsidRPr="00735D27">
        <w:rPr>
          <w:rFonts w:eastAsia="Calibri"/>
          <w:sz w:val="22"/>
          <w:szCs w:val="22"/>
        </w:rPr>
        <w:t xml:space="preserve"> (1) Az Oktatási területen az értékelés a jelen §-</w:t>
      </w:r>
      <w:proofErr w:type="spellStart"/>
      <w:r w:rsidRPr="00735D27">
        <w:rPr>
          <w:rFonts w:eastAsia="Calibri"/>
          <w:sz w:val="22"/>
          <w:szCs w:val="22"/>
        </w:rPr>
        <w:t>ban</w:t>
      </w:r>
      <w:proofErr w:type="spellEnd"/>
      <w:r w:rsidRPr="00735D27">
        <w:rPr>
          <w:rFonts w:eastAsia="Calibri"/>
          <w:sz w:val="22"/>
          <w:szCs w:val="22"/>
        </w:rPr>
        <w:t xml:space="preserve"> foglaltak figyelembevételével történik.</w:t>
      </w:r>
    </w:p>
    <w:p w14:paraId="4F7260FD" w14:textId="77777777" w:rsidR="00FD0545" w:rsidRPr="00735D27" w:rsidRDefault="00FD0545" w:rsidP="00FD0545">
      <w:pPr>
        <w:contextualSpacing/>
        <w:rPr>
          <w:rFonts w:eastAsia="Calibri"/>
          <w:sz w:val="22"/>
          <w:szCs w:val="22"/>
        </w:rPr>
      </w:pPr>
      <w:r w:rsidRPr="00735D27">
        <w:rPr>
          <w:rFonts w:eastAsia="Calibri"/>
          <w:sz w:val="22"/>
          <w:szCs w:val="22"/>
        </w:rPr>
        <w:t xml:space="preserve">(2) Oktatott </w:t>
      </w:r>
      <w:proofErr w:type="gramStart"/>
      <w:r w:rsidRPr="00735D27">
        <w:rPr>
          <w:rFonts w:eastAsia="Calibri"/>
          <w:sz w:val="22"/>
          <w:szCs w:val="22"/>
        </w:rPr>
        <w:t>kurzusok</w:t>
      </w:r>
      <w:proofErr w:type="gramEnd"/>
      <w:r w:rsidRPr="00735D27">
        <w:rPr>
          <w:rFonts w:eastAsia="Calibri"/>
          <w:sz w:val="22"/>
          <w:szCs w:val="22"/>
        </w:rPr>
        <w:t xml:space="preserve"> nappali tagozat:</w:t>
      </w:r>
    </w:p>
    <w:p w14:paraId="71FFA32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az adatok a Tanulmányi Rendszerből (TR) </w:t>
      </w:r>
      <w:proofErr w:type="gramStart"/>
      <w:r w:rsidRPr="00735D27">
        <w:rPr>
          <w:rFonts w:eastAsia="Calibri"/>
          <w:sz w:val="22"/>
          <w:szCs w:val="22"/>
        </w:rPr>
        <w:t>importálódnak</w:t>
      </w:r>
      <w:proofErr w:type="gramEnd"/>
      <w:r w:rsidRPr="00735D27">
        <w:rPr>
          <w:rFonts w:eastAsia="Calibri"/>
          <w:sz w:val="22"/>
          <w:szCs w:val="22"/>
        </w:rPr>
        <w:t xml:space="preserve"> az értékelést megelőző két szemeszterből, tehát teljes tanév a számítások alapja</w:t>
      </w:r>
    </w:p>
    <w:p w14:paraId="7722CF7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csak azon </w:t>
      </w:r>
      <w:proofErr w:type="gramStart"/>
      <w:r w:rsidRPr="00735D27">
        <w:rPr>
          <w:rFonts w:eastAsia="Calibri"/>
          <w:sz w:val="22"/>
          <w:szCs w:val="22"/>
        </w:rPr>
        <w:t>kurzusok</w:t>
      </w:r>
      <w:proofErr w:type="gramEnd"/>
      <w:r w:rsidRPr="00735D27">
        <w:rPr>
          <w:rFonts w:eastAsia="Calibri"/>
          <w:sz w:val="22"/>
          <w:szCs w:val="22"/>
        </w:rPr>
        <w:t xml:space="preserve"> adatai jelennek meg, amelyek van órarendi információja; a heti és a féléves óraszám nem 0; nincs archív tulajdonsága; nincs ’nem indul’ tulajdonsága</w:t>
      </w:r>
    </w:p>
    <w:p w14:paraId="0D7D8FA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amennyiben a heti és a féléves óraszám oszlop is üres, úgy az alapértelmezett tárgy óraszáma jelenik meg</w:t>
      </w:r>
    </w:p>
    <w:p w14:paraId="24FCAC8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szorzók: idegen nyelvű szorzó: 1,3; kreditszorzó: ha 2 </w:t>
      </w:r>
      <w:proofErr w:type="spellStart"/>
      <w:r w:rsidRPr="00735D27">
        <w:rPr>
          <w:rFonts w:eastAsia="Calibri"/>
          <w:sz w:val="22"/>
          <w:szCs w:val="22"/>
        </w:rPr>
        <w:t>kr</w:t>
      </w:r>
      <w:proofErr w:type="spellEnd"/>
      <w:r w:rsidRPr="00735D27">
        <w:rPr>
          <w:rFonts w:eastAsia="Calibri"/>
          <w:sz w:val="22"/>
          <w:szCs w:val="22"/>
        </w:rPr>
        <w:t xml:space="preserve">&gt;= akkor 0,8; ha 3kr, akkor 1; ha </w:t>
      </w:r>
      <w:proofErr w:type="gramStart"/>
      <w:r w:rsidRPr="00735D27">
        <w:rPr>
          <w:rFonts w:eastAsia="Calibri"/>
          <w:sz w:val="22"/>
          <w:szCs w:val="22"/>
        </w:rPr>
        <w:t>4kr&lt;</w:t>
      </w:r>
      <w:proofErr w:type="gramEnd"/>
      <w:r w:rsidRPr="00735D27">
        <w:rPr>
          <w:rFonts w:eastAsia="Calibri"/>
          <w:sz w:val="22"/>
          <w:szCs w:val="22"/>
        </w:rPr>
        <w:t>= akkor 1,5; oktató százaléka; heti óraszám x 14</w:t>
      </w:r>
    </w:p>
    <w:p w14:paraId="0C74372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a számítás alapjául szolgáló kreditérték, a </w:t>
      </w:r>
      <w:proofErr w:type="gramStart"/>
      <w:r w:rsidRPr="00735D27">
        <w:rPr>
          <w:rFonts w:eastAsia="Calibri"/>
          <w:sz w:val="22"/>
          <w:szCs w:val="22"/>
        </w:rPr>
        <w:t>kurzus kapcsolódó</w:t>
      </w:r>
      <w:proofErr w:type="gramEnd"/>
      <w:r w:rsidRPr="00735D27">
        <w:rPr>
          <w:rFonts w:eastAsia="Calibri"/>
          <w:sz w:val="22"/>
          <w:szCs w:val="22"/>
        </w:rPr>
        <w:t xml:space="preserve"> tárgyainak legmagasabb kreditértéke, amin van hallgató</w:t>
      </w:r>
    </w:p>
    <w:p w14:paraId="617480CC" w14:textId="77777777" w:rsidR="00FD0545" w:rsidRPr="00735D27" w:rsidRDefault="00FD0545" w:rsidP="00FD0545">
      <w:pPr>
        <w:ind w:left="720"/>
        <w:contextualSpacing/>
        <w:jc w:val="both"/>
        <w:rPr>
          <w:rFonts w:eastAsia="Calibri"/>
          <w:sz w:val="22"/>
          <w:szCs w:val="22"/>
        </w:rPr>
      </w:pPr>
    </w:p>
    <w:p w14:paraId="4D7E03B3"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(3) Oktatott </w:t>
      </w:r>
      <w:proofErr w:type="gramStart"/>
      <w:r w:rsidRPr="00735D27">
        <w:rPr>
          <w:rFonts w:eastAsia="Calibri"/>
          <w:sz w:val="22"/>
          <w:szCs w:val="22"/>
        </w:rPr>
        <w:t>kurzusok</w:t>
      </w:r>
      <w:proofErr w:type="gramEnd"/>
      <w:r w:rsidRPr="00735D27">
        <w:rPr>
          <w:rFonts w:eastAsia="Calibri"/>
          <w:sz w:val="22"/>
          <w:szCs w:val="22"/>
        </w:rPr>
        <w:t xml:space="preserve"> levelező tagozat:</w:t>
      </w:r>
    </w:p>
    <w:p w14:paraId="7660D1F3"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az adatok a Tanulmányi Rendszerből (TR) </w:t>
      </w:r>
      <w:proofErr w:type="gramStart"/>
      <w:r w:rsidRPr="00735D27">
        <w:rPr>
          <w:rFonts w:eastAsia="Calibri"/>
          <w:sz w:val="22"/>
          <w:szCs w:val="22"/>
        </w:rPr>
        <w:t>importálódnak</w:t>
      </w:r>
      <w:proofErr w:type="gramEnd"/>
      <w:r w:rsidRPr="00735D27">
        <w:rPr>
          <w:rFonts w:eastAsia="Calibri"/>
          <w:sz w:val="22"/>
          <w:szCs w:val="22"/>
        </w:rPr>
        <w:t xml:space="preserve"> az értékelést megelőző két szemeszterből, tehát teljes tanév a számítások alapja</w:t>
      </w:r>
    </w:p>
    <w:p w14:paraId="7B635501"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csak azon </w:t>
      </w:r>
      <w:proofErr w:type="gramStart"/>
      <w:r w:rsidRPr="00735D27">
        <w:rPr>
          <w:rFonts w:eastAsia="Calibri"/>
          <w:sz w:val="22"/>
          <w:szCs w:val="22"/>
        </w:rPr>
        <w:t>kurzusok</w:t>
      </w:r>
      <w:proofErr w:type="gramEnd"/>
      <w:r w:rsidRPr="00735D27">
        <w:rPr>
          <w:rFonts w:eastAsia="Calibri"/>
          <w:sz w:val="22"/>
          <w:szCs w:val="22"/>
        </w:rPr>
        <w:t xml:space="preserve"> adatai jelennek meg, amelyek van órarendi információja; a heti és a féléves óraszám nem 0; nincs archív tulajdonsága; nincs ’nem indul’ tulajdonsága</w:t>
      </w:r>
    </w:p>
    <w:p w14:paraId="2CC0FFC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amennyiben a heti és a féléves óraszám oszlop is üres, úgy az alapértelmezett tárgy óraszáma jelenik meg</w:t>
      </w:r>
    </w:p>
    <w:p w14:paraId="032124E0"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szorzók: idegen nyelvű szorzó: 1,3; kreditszorzó: ha 2 </w:t>
      </w:r>
      <w:proofErr w:type="spellStart"/>
      <w:r w:rsidRPr="00735D27">
        <w:rPr>
          <w:rFonts w:eastAsia="Calibri"/>
          <w:sz w:val="22"/>
          <w:szCs w:val="22"/>
        </w:rPr>
        <w:t>kr</w:t>
      </w:r>
      <w:proofErr w:type="spellEnd"/>
      <w:r w:rsidRPr="00735D27">
        <w:rPr>
          <w:rFonts w:eastAsia="Calibri"/>
          <w:sz w:val="22"/>
          <w:szCs w:val="22"/>
        </w:rPr>
        <w:t xml:space="preserve">&gt;= akkor 0,8; ha 3kr, akkor 1; ha </w:t>
      </w:r>
      <w:proofErr w:type="gramStart"/>
      <w:r w:rsidRPr="00735D27">
        <w:rPr>
          <w:rFonts w:eastAsia="Calibri"/>
          <w:sz w:val="22"/>
          <w:szCs w:val="22"/>
        </w:rPr>
        <w:t>4kr&lt;</w:t>
      </w:r>
      <w:proofErr w:type="gramEnd"/>
      <w:r w:rsidRPr="00735D27">
        <w:rPr>
          <w:rFonts w:eastAsia="Calibri"/>
          <w:sz w:val="22"/>
          <w:szCs w:val="22"/>
        </w:rPr>
        <w:t>= akkor 1,5; oktató százaléka; féléves óraszám x 2</w:t>
      </w:r>
    </w:p>
    <w:p w14:paraId="299065F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a számítás alapjául szolgáló kreditérték, a </w:t>
      </w:r>
      <w:proofErr w:type="gramStart"/>
      <w:r w:rsidRPr="00735D27">
        <w:rPr>
          <w:rFonts w:eastAsia="Calibri"/>
          <w:sz w:val="22"/>
          <w:szCs w:val="22"/>
        </w:rPr>
        <w:t>kurzus kapcsolódó</w:t>
      </w:r>
      <w:proofErr w:type="gramEnd"/>
      <w:r w:rsidRPr="00735D27">
        <w:rPr>
          <w:rFonts w:eastAsia="Calibri"/>
          <w:sz w:val="22"/>
          <w:szCs w:val="22"/>
        </w:rPr>
        <w:t xml:space="preserve"> tárgyainak legmagasabb kreditértéke, amin van hallgató</w:t>
      </w:r>
    </w:p>
    <w:p w14:paraId="23A47E3D" w14:textId="77777777" w:rsidR="00FD0545" w:rsidRPr="00735D27" w:rsidRDefault="00FD0545" w:rsidP="00FD0545">
      <w:pPr>
        <w:ind w:left="720"/>
        <w:contextualSpacing/>
        <w:jc w:val="both"/>
        <w:rPr>
          <w:rFonts w:eastAsia="Calibri"/>
          <w:sz w:val="22"/>
          <w:szCs w:val="22"/>
        </w:rPr>
      </w:pPr>
    </w:p>
    <w:p w14:paraId="788BBBE7"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(4) Oktatott </w:t>
      </w:r>
      <w:proofErr w:type="gramStart"/>
      <w:r w:rsidRPr="00735D27">
        <w:rPr>
          <w:rFonts w:eastAsia="Calibri"/>
          <w:sz w:val="22"/>
          <w:szCs w:val="22"/>
        </w:rPr>
        <w:t>kurzusok</w:t>
      </w:r>
      <w:proofErr w:type="gramEnd"/>
      <w:r w:rsidRPr="00735D27">
        <w:rPr>
          <w:rFonts w:eastAsia="Calibri"/>
          <w:sz w:val="22"/>
          <w:szCs w:val="22"/>
        </w:rPr>
        <w:t xml:space="preserve"> Doktori Képzésben:</w:t>
      </w:r>
    </w:p>
    <w:p w14:paraId="23B493A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az adatok a Tanulmányi Rendszerből (TR) </w:t>
      </w:r>
      <w:proofErr w:type="gramStart"/>
      <w:r w:rsidRPr="00735D27">
        <w:rPr>
          <w:rFonts w:eastAsia="Calibri"/>
          <w:sz w:val="22"/>
          <w:szCs w:val="22"/>
        </w:rPr>
        <w:t>importálódnak</w:t>
      </w:r>
      <w:proofErr w:type="gramEnd"/>
      <w:r w:rsidRPr="00735D27">
        <w:rPr>
          <w:rFonts w:eastAsia="Calibri"/>
          <w:sz w:val="22"/>
          <w:szCs w:val="22"/>
        </w:rPr>
        <w:t xml:space="preserve"> az értékelést megelőző két szemeszterből, tehát teljes tanév a számítások alapja</w:t>
      </w:r>
    </w:p>
    <w:p w14:paraId="6190C4D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csak azon </w:t>
      </w:r>
      <w:proofErr w:type="gramStart"/>
      <w:r w:rsidRPr="00735D27">
        <w:rPr>
          <w:rFonts w:eastAsia="Calibri"/>
          <w:sz w:val="22"/>
          <w:szCs w:val="22"/>
        </w:rPr>
        <w:t>kurzusok</w:t>
      </w:r>
      <w:proofErr w:type="gramEnd"/>
      <w:r w:rsidRPr="00735D27">
        <w:rPr>
          <w:rFonts w:eastAsia="Calibri"/>
          <w:sz w:val="22"/>
          <w:szCs w:val="22"/>
        </w:rPr>
        <w:t xml:space="preserve"> adatai jelennek meg, amelyek van órarendi információja; a heti és a féléves óraszám nem 0; nincs archív tulajdonsága; nincs ’nem indul’ tulajdonsága</w:t>
      </w:r>
    </w:p>
    <w:p w14:paraId="09DBF972"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amennyiben a heti és a féléves óraszám oszlop is üres, úgy az alapértelmezett tárgy óraszáma jelenik meg</w:t>
      </w:r>
    </w:p>
    <w:p w14:paraId="56FD4AA0"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szorzók: idegen nyelvű szorzó: 1,3; heti óraszám x 14, vagy féléves óraszám x 2</w:t>
      </w:r>
    </w:p>
    <w:p w14:paraId="4E24CF84" w14:textId="77777777" w:rsidR="00FD0545" w:rsidRPr="00735D27" w:rsidRDefault="00FD0545" w:rsidP="00FD0545">
      <w:pPr>
        <w:ind w:left="720"/>
        <w:contextualSpacing/>
        <w:jc w:val="both"/>
        <w:rPr>
          <w:rFonts w:eastAsia="Calibri"/>
          <w:sz w:val="22"/>
          <w:szCs w:val="22"/>
        </w:rPr>
      </w:pPr>
    </w:p>
    <w:p w14:paraId="7539CA4D"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(5) </w:t>
      </w:r>
      <w:proofErr w:type="gramStart"/>
      <w:r w:rsidRPr="00735D27">
        <w:rPr>
          <w:rFonts w:eastAsia="Calibri"/>
          <w:sz w:val="22"/>
          <w:szCs w:val="22"/>
        </w:rPr>
        <w:t>Konzultáció</w:t>
      </w:r>
      <w:proofErr w:type="gramEnd"/>
      <w:r w:rsidRPr="00735D27">
        <w:rPr>
          <w:rFonts w:eastAsia="Calibri"/>
          <w:sz w:val="22"/>
          <w:szCs w:val="22"/>
        </w:rPr>
        <w:t xml:space="preserve">, </w:t>
      </w:r>
      <w:proofErr w:type="spellStart"/>
      <w:r w:rsidRPr="00735D27">
        <w:rPr>
          <w:rFonts w:eastAsia="Calibri"/>
          <w:sz w:val="22"/>
          <w:szCs w:val="22"/>
        </w:rPr>
        <w:t>mentorálás</w:t>
      </w:r>
      <w:proofErr w:type="spellEnd"/>
      <w:r w:rsidRPr="00735D27">
        <w:rPr>
          <w:rFonts w:eastAsia="Calibri"/>
          <w:sz w:val="22"/>
          <w:szCs w:val="22"/>
        </w:rPr>
        <w:t xml:space="preserve">, </w:t>
      </w:r>
      <w:proofErr w:type="spellStart"/>
      <w:r w:rsidRPr="00735D27">
        <w:rPr>
          <w:rFonts w:eastAsia="Calibri"/>
          <w:sz w:val="22"/>
          <w:szCs w:val="22"/>
        </w:rPr>
        <w:t>tutorálás</w:t>
      </w:r>
      <w:proofErr w:type="spellEnd"/>
      <w:r w:rsidRPr="00735D27">
        <w:rPr>
          <w:rFonts w:eastAsia="Calibri"/>
          <w:sz w:val="22"/>
          <w:szCs w:val="22"/>
        </w:rPr>
        <w:t xml:space="preserve"> (ESG szerint nem kurzus):</w:t>
      </w:r>
    </w:p>
    <w:p w14:paraId="4512D386" w14:textId="77777777" w:rsidR="00FD0545" w:rsidRPr="00735D27" w:rsidRDefault="00FD0545" w:rsidP="00F83E93">
      <w:pPr>
        <w:numPr>
          <w:ilvl w:val="0"/>
          <w:numId w:val="143"/>
        </w:numPr>
        <w:contextualSpacing/>
        <w:jc w:val="both"/>
        <w:rPr>
          <w:rFonts w:eastAsia="Calibri"/>
          <w:sz w:val="22"/>
          <w:szCs w:val="22"/>
        </w:rPr>
      </w:pPr>
      <w:proofErr w:type="spellStart"/>
      <w:r w:rsidRPr="00735D27">
        <w:rPr>
          <w:rFonts w:eastAsia="Calibri"/>
          <w:sz w:val="22"/>
          <w:szCs w:val="22"/>
        </w:rPr>
        <w:t>Mentorálás</w:t>
      </w:r>
      <w:proofErr w:type="spellEnd"/>
      <w:r w:rsidRPr="00735D27">
        <w:rPr>
          <w:rFonts w:eastAsia="Calibri"/>
          <w:sz w:val="22"/>
          <w:szCs w:val="22"/>
        </w:rPr>
        <w:t xml:space="preserve">, hátrányos helyzetű hallgatót segítő tevékenység; </w:t>
      </w:r>
      <w:proofErr w:type="spellStart"/>
      <w:r w:rsidRPr="00735D27">
        <w:rPr>
          <w:rFonts w:eastAsia="Calibri"/>
          <w:sz w:val="22"/>
          <w:szCs w:val="22"/>
        </w:rPr>
        <w:t>Tutorálás</w:t>
      </w:r>
      <w:proofErr w:type="spellEnd"/>
      <w:r w:rsidRPr="00735D27">
        <w:rPr>
          <w:rFonts w:eastAsia="Calibri"/>
          <w:sz w:val="22"/>
          <w:szCs w:val="22"/>
        </w:rPr>
        <w:t>, tehetséggondozás. Az elszámolás feltétele a tevékenység eredményének dokumentálása (pl. KTDK, OTDK, hallgatói portfólió, oktató-hallgató közös tanulmánya, a hallgató tanulmányi átlagának jelentős javulása)</w:t>
      </w:r>
    </w:p>
    <w:p w14:paraId="7E4996B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szorzók: idegen nyelvű szorzó: 1,3</w:t>
      </w:r>
    </w:p>
    <w:p w14:paraId="6827DEEB"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óránként 1 pont</w:t>
      </w:r>
    </w:p>
    <w:p w14:paraId="5C9FC1B3" w14:textId="77777777" w:rsidR="00FD0545" w:rsidRPr="00735D27" w:rsidRDefault="00FD0545" w:rsidP="00FD0545">
      <w:pPr>
        <w:ind w:left="720"/>
        <w:contextualSpacing/>
        <w:jc w:val="both"/>
        <w:rPr>
          <w:rFonts w:eastAsia="Calibri"/>
          <w:sz w:val="22"/>
          <w:szCs w:val="22"/>
        </w:rPr>
      </w:pPr>
    </w:p>
    <w:p w14:paraId="77D6D22E" w14:textId="77777777" w:rsidR="00FD0545" w:rsidRPr="00735D27" w:rsidRDefault="00FD0545" w:rsidP="00FD0545">
      <w:pPr>
        <w:contextualSpacing/>
        <w:jc w:val="both"/>
        <w:rPr>
          <w:rFonts w:eastAsia="Calibri"/>
          <w:sz w:val="22"/>
          <w:szCs w:val="22"/>
        </w:rPr>
      </w:pPr>
      <w:r w:rsidRPr="00735D27">
        <w:rPr>
          <w:rFonts w:eastAsia="Calibri"/>
          <w:sz w:val="22"/>
          <w:szCs w:val="22"/>
        </w:rPr>
        <w:t>(6) Felvételi bizottságban való részvétel:</w:t>
      </w:r>
    </w:p>
    <w:p w14:paraId="074A2CF8"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szorzók: idegen nyelvű szorzó: 1,3; létszám szorzó: 0-15 fő=1, 16 fő fölött 2</w:t>
      </w:r>
    </w:p>
    <w:p w14:paraId="43ABDC1E" w14:textId="77777777" w:rsidR="00FD0545" w:rsidRPr="00735D27" w:rsidRDefault="00FD0545" w:rsidP="00FD0545">
      <w:pPr>
        <w:contextualSpacing/>
        <w:jc w:val="both"/>
        <w:rPr>
          <w:rFonts w:eastAsia="Calibri"/>
          <w:sz w:val="22"/>
          <w:szCs w:val="22"/>
        </w:rPr>
      </w:pPr>
    </w:p>
    <w:p w14:paraId="33284351" w14:textId="77777777" w:rsidR="00FD0545" w:rsidRPr="00735D27" w:rsidRDefault="00FD0545" w:rsidP="00FD0545">
      <w:pPr>
        <w:contextualSpacing/>
        <w:jc w:val="both"/>
        <w:rPr>
          <w:rFonts w:eastAsia="Calibri"/>
          <w:sz w:val="22"/>
          <w:szCs w:val="22"/>
        </w:rPr>
      </w:pPr>
      <w:r w:rsidRPr="00735D27">
        <w:rPr>
          <w:rFonts w:eastAsia="Calibri"/>
          <w:sz w:val="22"/>
          <w:szCs w:val="22"/>
        </w:rPr>
        <w:t>(7) Felvételi foglalkozások, előadások a középiskolások számára:</w:t>
      </w:r>
    </w:p>
    <w:p w14:paraId="2AAB3AC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Az elszámolás feltétele a tevékenység dokumentálhatósága (pl.: meghívó).</w:t>
      </w:r>
    </w:p>
    <w:p w14:paraId="05FB325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szorzó: 0-3 óra=1; 4-6 óra=2; 7-10 óra=3; 10 óra fölött 4</w:t>
      </w:r>
    </w:p>
    <w:p w14:paraId="10C74771" w14:textId="77777777" w:rsidR="00FD0545" w:rsidRPr="00735D27" w:rsidRDefault="00FD0545" w:rsidP="00FD0545">
      <w:pPr>
        <w:contextualSpacing/>
        <w:jc w:val="both"/>
        <w:rPr>
          <w:rFonts w:eastAsia="Calibri"/>
          <w:sz w:val="22"/>
          <w:szCs w:val="22"/>
        </w:rPr>
      </w:pPr>
    </w:p>
    <w:p w14:paraId="480C7BFD" w14:textId="77777777" w:rsidR="00FD0545" w:rsidRPr="00735D27" w:rsidRDefault="00FD0545" w:rsidP="00FD0545">
      <w:pPr>
        <w:contextualSpacing/>
        <w:jc w:val="both"/>
        <w:rPr>
          <w:rFonts w:eastAsia="Calibri"/>
          <w:sz w:val="22"/>
          <w:szCs w:val="22"/>
        </w:rPr>
      </w:pPr>
      <w:r w:rsidRPr="00735D27">
        <w:rPr>
          <w:rFonts w:eastAsia="Calibri"/>
          <w:sz w:val="22"/>
          <w:szCs w:val="22"/>
        </w:rPr>
        <w:t>(8) Dolgozatok – Szakdolgozat, Portfólió:</w:t>
      </w:r>
    </w:p>
    <w:p w14:paraId="21FD6CC2"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Adott értékelési időszakban értékelt (</w:t>
      </w:r>
      <w:proofErr w:type="gramStart"/>
      <w:r w:rsidRPr="00735D27">
        <w:rPr>
          <w:rFonts w:eastAsia="Calibri"/>
          <w:sz w:val="22"/>
          <w:szCs w:val="22"/>
        </w:rPr>
        <w:t>konzulens</w:t>
      </w:r>
      <w:proofErr w:type="gramEnd"/>
      <w:r w:rsidRPr="00735D27">
        <w:rPr>
          <w:rFonts w:eastAsia="Calibri"/>
          <w:sz w:val="22"/>
          <w:szCs w:val="22"/>
        </w:rPr>
        <w:t>, opponens) szakdolgozatok száma.</w:t>
      </w:r>
    </w:p>
    <w:p w14:paraId="12420BC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szorzók: darabszám x 2; idegen nyelvű szorzó: 1,3; ’BA szakdolgozat’=1; ’MA szakdolgozat’=1,4; ’Portfólió’=1,2; ’Tanári szakdolgozat’=1,4</w:t>
      </w:r>
    </w:p>
    <w:p w14:paraId="0ACA4E60" w14:textId="77777777" w:rsidR="00FD0545" w:rsidRPr="00735D27" w:rsidRDefault="00FD0545" w:rsidP="00FD0545">
      <w:pPr>
        <w:contextualSpacing/>
        <w:jc w:val="both"/>
        <w:rPr>
          <w:rFonts w:eastAsia="Calibri"/>
          <w:sz w:val="22"/>
          <w:szCs w:val="22"/>
        </w:rPr>
      </w:pPr>
    </w:p>
    <w:p w14:paraId="0E2D6922" w14:textId="77777777" w:rsidR="00FD0545" w:rsidRPr="00735D27" w:rsidRDefault="00FD0545" w:rsidP="00FD0545">
      <w:pPr>
        <w:contextualSpacing/>
        <w:jc w:val="both"/>
        <w:rPr>
          <w:rFonts w:eastAsia="Calibri"/>
          <w:sz w:val="22"/>
          <w:szCs w:val="22"/>
        </w:rPr>
      </w:pPr>
      <w:r w:rsidRPr="00735D27">
        <w:rPr>
          <w:rFonts w:eastAsia="Calibri"/>
          <w:sz w:val="22"/>
          <w:szCs w:val="22"/>
        </w:rPr>
        <w:t>(9) Kutatótábor és tanulmányi kirándulás szervezése:</w:t>
      </w:r>
    </w:p>
    <w:p w14:paraId="7F26EFED"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Tanulmányi kirándulás: 1-2 nap, min. 5 fő; kutatótábor min. 3 nap, min.10 fő, dokumentálható módon elszámolva.</w:t>
      </w:r>
    </w:p>
    <w:p w14:paraId="13CF483E"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20 pont</w:t>
      </w:r>
    </w:p>
    <w:p w14:paraId="121330CB" w14:textId="77777777" w:rsidR="00FD0545" w:rsidRPr="00735D27" w:rsidRDefault="00FD0545" w:rsidP="00FD0545">
      <w:pPr>
        <w:contextualSpacing/>
        <w:jc w:val="both"/>
        <w:rPr>
          <w:rFonts w:eastAsia="Calibri"/>
          <w:sz w:val="22"/>
          <w:szCs w:val="22"/>
        </w:rPr>
      </w:pPr>
    </w:p>
    <w:p w14:paraId="05438D0E" w14:textId="77777777" w:rsidR="00FD0545" w:rsidRPr="00735D27" w:rsidRDefault="00FD0545" w:rsidP="00FD0545">
      <w:pPr>
        <w:contextualSpacing/>
        <w:jc w:val="both"/>
        <w:rPr>
          <w:rFonts w:eastAsia="Calibri"/>
          <w:sz w:val="22"/>
          <w:szCs w:val="22"/>
        </w:rPr>
      </w:pPr>
      <w:r w:rsidRPr="00735D27">
        <w:rPr>
          <w:rFonts w:eastAsia="Calibri"/>
          <w:sz w:val="22"/>
          <w:szCs w:val="22"/>
        </w:rPr>
        <w:t>(10) Értelmező rendelkezések:</w:t>
      </w:r>
    </w:p>
    <w:p w14:paraId="0B86F322" w14:textId="77777777" w:rsidR="00FD0545" w:rsidRPr="00735D27" w:rsidRDefault="00FD0545" w:rsidP="00FD0545">
      <w:pPr>
        <w:contextualSpacing/>
        <w:jc w:val="both"/>
        <w:rPr>
          <w:rFonts w:eastAsia="Calibri"/>
          <w:sz w:val="22"/>
          <w:szCs w:val="22"/>
        </w:rPr>
      </w:pPr>
      <w:r w:rsidRPr="00735D27">
        <w:rPr>
          <w:rFonts w:eastAsia="Calibri"/>
          <w:sz w:val="22"/>
          <w:szCs w:val="22"/>
        </w:rPr>
        <w:t>ÖSSZPONT: az oktatási területen összegyűjtött pontok összege</w:t>
      </w:r>
    </w:p>
    <w:p w14:paraId="532A16CC" w14:textId="77777777" w:rsidR="00FD0545" w:rsidRPr="00735D27" w:rsidRDefault="00FD0545" w:rsidP="00FD0545">
      <w:pPr>
        <w:contextualSpacing/>
        <w:jc w:val="both"/>
        <w:rPr>
          <w:rFonts w:eastAsia="Calibri"/>
          <w:sz w:val="22"/>
          <w:szCs w:val="22"/>
        </w:rPr>
      </w:pPr>
      <w:r w:rsidRPr="00735D27">
        <w:rPr>
          <w:rFonts w:eastAsia="Calibri"/>
          <w:sz w:val="22"/>
          <w:szCs w:val="22"/>
        </w:rPr>
        <w:t>PILLÉRPONT: besorolástól függően 0-3 pontig terjedő skálán</w:t>
      </w:r>
    </w:p>
    <w:p w14:paraId="10B979D6" w14:textId="77777777" w:rsidR="00FD0545" w:rsidRPr="00735D27" w:rsidRDefault="00FD0545" w:rsidP="00F83E93">
      <w:pPr>
        <w:numPr>
          <w:ilvl w:val="0"/>
          <w:numId w:val="144"/>
        </w:numPr>
        <w:ind w:left="714" w:hanging="357"/>
        <w:contextualSpacing/>
        <w:jc w:val="both"/>
        <w:rPr>
          <w:rFonts w:eastAsia="Calibri"/>
          <w:sz w:val="22"/>
          <w:szCs w:val="22"/>
        </w:rPr>
      </w:pPr>
      <w:r w:rsidRPr="00735D27">
        <w:rPr>
          <w:rFonts w:eastAsia="Calibri"/>
          <w:sz w:val="22"/>
          <w:szCs w:val="22"/>
        </w:rPr>
        <w:t xml:space="preserve">tanársegéd: </w:t>
      </w:r>
      <w:proofErr w:type="spellStart"/>
      <w:proofErr w:type="gramStart"/>
      <w:r w:rsidRPr="00735D27">
        <w:rPr>
          <w:rFonts w:eastAsia="Calibri"/>
          <w:sz w:val="22"/>
          <w:szCs w:val="22"/>
        </w:rPr>
        <w:t>összpontszám</w:t>
      </w:r>
      <w:proofErr w:type="spellEnd"/>
      <w:r w:rsidRPr="00735D27">
        <w:rPr>
          <w:rFonts w:eastAsia="Calibri"/>
          <w:sz w:val="22"/>
          <w:szCs w:val="22"/>
        </w:rPr>
        <w:t>&lt;</w:t>
      </w:r>
      <w:proofErr w:type="gramEnd"/>
      <w:r w:rsidRPr="00735D27">
        <w:rPr>
          <w:rFonts w:eastAsia="Calibri"/>
          <w:sz w:val="22"/>
          <w:szCs w:val="22"/>
        </w:rPr>
        <w:t>=300, akkor 0pont; 300&lt;</w:t>
      </w:r>
      <w:proofErr w:type="spellStart"/>
      <w:r w:rsidRPr="00735D27">
        <w:rPr>
          <w:rFonts w:eastAsia="Calibri"/>
          <w:sz w:val="22"/>
          <w:szCs w:val="22"/>
        </w:rPr>
        <w:t>összpontszám</w:t>
      </w:r>
      <w:proofErr w:type="spellEnd"/>
      <w:r w:rsidRPr="00735D27">
        <w:rPr>
          <w:rFonts w:eastAsia="Calibri"/>
          <w:sz w:val="22"/>
          <w:szCs w:val="22"/>
        </w:rPr>
        <w:t>&lt;=400, akkor 1pont; 400&lt;</w:t>
      </w:r>
      <w:proofErr w:type="spellStart"/>
      <w:r w:rsidRPr="00735D27">
        <w:rPr>
          <w:rFonts w:eastAsia="Calibri"/>
          <w:sz w:val="22"/>
          <w:szCs w:val="22"/>
        </w:rPr>
        <w:t>összpontszám</w:t>
      </w:r>
      <w:proofErr w:type="spellEnd"/>
      <w:r w:rsidRPr="00735D27">
        <w:rPr>
          <w:rFonts w:eastAsia="Calibri"/>
          <w:sz w:val="22"/>
          <w:szCs w:val="22"/>
        </w:rPr>
        <w:t xml:space="preserve">&lt;=500, akkor 2pont; </w:t>
      </w:r>
      <w:proofErr w:type="spellStart"/>
      <w:r w:rsidRPr="00735D27">
        <w:rPr>
          <w:rFonts w:eastAsia="Calibri"/>
          <w:sz w:val="22"/>
          <w:szCs w:val="22"/>
        </w:rPr>
        <w:t>összpontszám</w:t>
      </w:r>
      <w:proofErr w:type="spellEnd"/>
      <w:r w:rsidRPr="00735D27">
        <w:rPr>
          <w:rFonts w:eastAsia="Calibri"/>
          <w:sz w:val="22"/>
          <w:szCs w:val="22"/>
        </w:rPr>
        <w:t>&gt;=501, akkor 3pont.</w:t>
      </w:r>
    </w:p>
    <w:p w14:paraId="3683C588" w14:textId="77777777" w:rsidR="00FD0545" w:rsidRPr="00735D27" w:rsidRDefault="00FD0545" w:rsidP="00F83E93">
      <w:pPr>
        <w:numPr>
          <w:ilvl w:val="0"/>
          <w:numId w:val="144"/>
        </w:numPr>
        <w:ind w:left="714" w:hanging="357"/>
        <w:contextualSpacing/>
        <w:jc w:val="both"/>
        <w:rPr>
          <w:rFonts w:eastAsia="Calibri"/>
          <w:sz w:val="22"/>
          <w:szCs w:val="22"/>
        </w:rPr>
      </w:pPr>
      <w:r w:rsidRPr="00735D27">
        <w:rPr>
          <w:rFonts w:eastAsia="Calibri"/>
          <w:sz w:val="22"/>
          <w:szCs w:val="22"/>
        </w:rPr>
        <w:t xml:space="preserve">adjunktus: </w:t>
      </w:r>
      <w:proofErr w:type="spellStart"/>
      <w:proofErr w:type="gramStart"/>
      <w:r w:rsidRPr="00735D27">
        <w:rPr>
          <w:rFonts w:eastAsia="Calibri"/>
          <w:sz w:val="22"/>
          <w:szCs w:val="22"/>
        </w:rPr>
        <w:t>összpontszám</w:t>
      </w:r>
      <w:proofErr w:type="spellEnd"/>
      <w:r w:rsidRPr="00735D27">
        <w:rPr>
          <w:rFonts w:eastAsia="Calibri"/>
          <w:sz w:val="22"/>
          <w:szCs w:val="22"/>
        </w:rPr>
        <w:t>&lt;</w:t>
      </w:r>
      <w:proofErr w:type="gramEnd"/>
      <w:r w:rsidRPr="00735D27">
        <w:rPr>
          <w:rFonts w:eastAsia="Calibri"/>
          <w:sz w:val="22"/>
          <w:szCs w:val="22"/>
        </w:rPr>
        <w:t>=300, akkor 0pont; 300&lt;</w:t>
      </w:r>
      <w:proofErr w:type="spellStart"/>
      <w:r w:rsidRPr="00735D27">
        <w:rPr>
          <w:rFonts w:eastAsia="Calibri"/>
          <w:sz w:val="22"/>
          <w:szCs w:val="22"/>
        </w:rPr>
        <w:t>összpontszám</w:t>
      </w:r>
      <w:proofErr w:type="spellEnd"/>
      <w:r w:rsidRPr="00735D27">
        <w:rPr>
          <w:rFonts w:eastAsia="Calibri"/>
          <w:sz w:val="22"/>
          <w:szCs w:val="22"/>
        </w:rPr>
        <w:t>&lt;=400, akkor 1pont; 400&lt;</w:t>
      </w:r>
      <w:proofErr w:type="spellStart"/>
      <w:r w:rsidRPr="00735D27">
        <w:rPr>
          <w:rFonts w:eastAsia="Calibri"/>
          <w:sz w:val="22"/>
          <w:szCs w:val="22"/>
        </w:rPr>
        <w:t>összpontszám</w:t>
      </w:r>
      <w:proofErr w:type="spellEnd"/>
      <w:r w:rsidRPr="00735D27">
        <w:rPr>
          <w:rFonts w:eastAsia="Calibri"/>
          <w:sz w:val="22"/>
          <w:szCs w:val="22"/>
        </w:rPr>
        <w:t xml:space="preserve">&lt;=500, akkor 2pont; </w:t>
      </w:r>
      <w:proofErr w:type="spellStart"/>
      <w:r w:rsidRPr="00735D27">
        <w:rPr>
          <w:rFonts w:eastAsia="Calibri"/>
          <w:sz w:val="22"/>
          <w:szCs w:val="22"/>
        </w:rPr>
        <w:t>összpontszám</w:t>
      </w:r>
      <w:proofErr w:type="spellEnd"/>
      <w:r w:rsidRPr="00735D27">
        <w:rPr>
          <w:rFonts w:eastAsia="Calibri"/>
          <w:sz w:val="22"/>
          <w:szCs w:val="22"/>
        </w:rPr>
        <w:t>&gt;=501, akkor 3pont.</w:t>
      </w:r>
    </w:p>
    <w:p w14:paraId="783DD47C" w14:textId="77777777" w:rsidR="00FD0545" w:rsidRPr="00735D27" w:rsidRDefault="00FD0545" w:rsidP="00F83E93">
      <w:pPr>
        <w:numPr>
          <w:ilvl w:val="0"/>
          <w:numId w:val="144"/>
        </w:numPr>
        <w:ind w:left="714" w:hanging="357"/>
        <w:contextualSpacing/>
        <w:jc w:val="both"/>
        <w:rPr>
          <w:rFonts w:eastAsia="Calibri"/>
          <w:sz w:val="22"/>
          <w:szCs w:val="22"/>
        </w:rPr>
      </w:pPr>
      <w:r w:rsidRPr="00735D27">
        <w:rPr>
          <w:rFonts w:eastAsia="Calibri"/>
          <w:sz w:val="22"/>
          <w:szCs w:val="22"/>
        </w:rPr>
        <w:t xml:space="preserve">docens: </w:t>
      </w:r>
      <w:proofErr w:type="spellStart"/>
      <w:proofErr w:type="gramStart"/>
      <w:r w:rsidRPr="00735D27">
        <w:rPr>
          <w:rFonts w:eastAsia="Calibri"/>
          <w:sz w:val="22"/>
          <w:szCs w:val="22"/>
        </w:rPr>
        <w:t>összpontszám</w:t>
      </w:r>
      <w:proofErr w:type="spellEnd"/>
      <w:r w:rsidRPr="00735D27">
        <w:rPr>
          <w:rFonts w:eastAsia="Calibri"/>
          <w:sz w:val="22"/>
          <w:szCs w:val="22"/>
        </w:rPr>
        <w:t>&lt;</w:t>
      </w:r>
      <w:proofErr w:type="gramEnd"/>
      <w:r w:rsidRPr="00735D27">
        <w:rPr>
          <w:rFonts w:eastAsia="Calibri"/>
          <w:sz w:val="22"/>
          <w:szCs w:val="22"/>
        </w:rPr>
        <w:t xml:space="preserve">=250, akkor 0pont; 250&lt; </w:t>
      </w:r>
      <w:proofErr w:type="spellStart"/>
      <w:r w:rsidRPr="00735D27">
        <w:rPr>
          <w:rFonts w:eastAsia="Calibri"/>
          <w:sz w:val="22"/>
          <w:szCs w:val="22"/>
        </w:rPr>
        <w:t>összpontszám</w:t>
      </w:r>
      <w:proofErr w:type="spellEnd"/>
      <w:r w:rsidRPr="00735D27">
        <w:rPr>
          <w:rFonts w:eastAsia="Calibri"/>
          <w:sz w:val="22"/>
          <w:szCs w:val="22"/>
        </w:rPr>
        <w:t xml:space="preserve"> &lt;=350, akkor 1pont; 350&lt; </w:t>
      </w:r>
      <w:proofErr w:type="spellStart"/>
      <w:r w:rsidRPr="00735D27">
        <w:rPr>
          <w:rFonts w:eastAsia="Calibri"/>
          <w:sz w:val="22"/>
          <w:szCs w:val="22"/>
        </w:rPr>
        <w:t>összpontszám</w:t>
      </w:r>
      <w:proofErr w:type="spellEnd"/>
      <w:r w:rsidRPr="00735D27">
        <w:rPr>
          <w:rFonts w:eastAsia="Calibri"/>
          <w:sz w:val="22"/>
          <w:szCs w:val="22"/>
        </w:rPr>
        <w:t xml:space="preserve"> &lt;=450, akkor 2pont; </w:t>
      </w:r>
      <w:proofErr w:type="spellStart"/>
      <w:r w:rsidRPr="00735D27">
        <w:rPr>
          <w:rFonts w:eastAsia="Calibri"/>
          <w:sz w:val="22"/>
          <w:szCs w:val="22"/>
        </w:rPr>
        <w:t>összpontszám</w:t>
      </w:r>
      <w:proofErr w:type="spellEnd"/>
      <w:r w:rsidRPr="00735D27">
        <w:rPr>
          <w:rFonts w:eastAsia="Calibri"/>
          <w:sz w:val="22"/>
          <w:szCs w:val="22"/>
        </w:rPr>
        <w:t xml:space="preserve"> &gt;451, akkor 3pont</w:t>
      </w:r>
    </w:p>
    <w:p w14:paraId="770D9054" w14:textId="77777777" w:rsidR="00FD0545" w:rsidRPr="00735D27" w:rsidRDefault="00FD0545" w:rsidP="00F83E93">
      <w:pPr>
        <w:numPr>
          <w:ilvl w:val="0"/>
          <w:numId w:val="144"/>
        </w:numPr>
        <w:ind w:left="714" w:hanging="357"/>
        <w:contextualSpacing/>
        <w:jc w:val="both"/>
        <w:rPr>
          <w:rFonts w:eastAsia="Calibri"/>
          <w:sz w:val="22"/>
          <w:szCs w:val="22"/>
        </w:rPr>
      </w:pPr>
      <w:r w:rsidRPr="00735D27">
        <w:rPr>
          <w:rFonts w:eastAsia="Calibri"/>
          <w:sz w:val="22"/>
          <w:szCs w:val="22"/>
        </w:rPr>
        <w:t xml:space="preserve">egyetemi tanár: </w:t>
      </w:r>
      <w:proofErr w:type="spellStart"/>
      <w:proofErr w:type="gramStart"/>
      <w:r w:rsidRPr="00735D27">
        <w:rPr>
          <w:rFonts w:eastAsia="Calibri"/>
          <w:sz w:val="22"/>
          <w:szCs w:val="22"/>
        </w:rPr>
        <w:t>összpontszám</w:t>
      </w:r>
      <w:proofErr w:type="spellEnd"/>
      <w:r w:rsidRPr="00735D27">
        <w:rPr>
          <w:rFonts w:eastAsia="Calibri"/>
          <w:sz w:val="22"/>
          <w:szCs w:val="22"/>
        </w:rPr>
        <w:t>&lt;</w:t>
      </w:r>
      <w:proofErr w:type="gramEnd"/>
      <w:r w:rsidRPr="00735D27">
        <w:rPr>
          <w:rFonts w:eastAsia="Calibri"/>
          <w:sz w:val="22"/>
          <w:szCs w:val="22"/>
        </w:rPr>
        <w:t xml:space="preserve">=250, akkor 0pont; 250&lt; </w:t>
      </w:r>
      <w:proofErr w:type="spellStart"/>
      <w:r w:rsidRPr="00735D27">
        <w:rPr>
          <w:rFonts w:eastAsia="Calibri"/>
          <w:sz w:val="22"/>
          <w:szCs w:val="22"/>
        </w:rPr>
        <w:t>összpontszám</w:t>
      </w:r>
      <w:proofErr w:type="spellEnd"/>
      <w:r w:rsidRPr="00735D27">
        <w:rPr>
          <w:rFonts w:eastAsia="Calibri"/>
          <w:sz w:val="22"/>
          <w:szCs w:val="22"/>
        </w:rPr>
        <w:t xml:space="preserve"> &lt;=350, akkor 1pont; 350&lt; </w:t>
      </w:r>
      <w:proofErr w:type="spellStart"/>
      <w:r w:rsidRPr="00735D27">
        <w:rPr>
          <w:rFonts w:eastAsia="Calibri"/>
          <w:sz w:val="22"/>
          <w:szCs w:val="22"/>
        </w:rPr>
        <w:t>összpontszám</w:t>
      </w:r>
      <w:proofErr w:type="spellEnd"/>
      <w:r w:rsidRPr="00735D27">
        <w:rPr>
          <w:rFonts w:eastAsia="Calibri"/>
          <w:sz w:val="22"/>
          <w:szCs w:val="22"/>
        </w:rPr>
        <w:t xml:space="preserve"> &lt;=450, akkor 2pont; </w:t>
      </w:r>
      <w:proofErr w:type="spellStart"/>
      <w:r w:rsidRPr="00735D27">
        <w:rPr>
          <w:rFonts w:eastAsia="Calibri"/>
          <w:sz w:val="22"/>
          <w:szCs w:val="22"/>
        </w:rPr>
        <w:t>összpontszám</w:t>
      </w:r>
      <w:proofErr w:type="spellEnd"/>
      <w:r w:rsidRPr="00735D27">
        <w:rPr>
          <w:rFonts w:eastAsia="Calibri"/>
          <w:sz w:val="22"/>
          <w:szCs w:val="22"/>
        </w:rPr>
        <w:t xml:space="preserve"> &gt;451, akkor 3pont)</w:t>
      </w:r>
    </w:p>
    <w:p w14:paraId="5E66ED4F" w14:textId="77777777" w:rsidR="00FD0545" w:rsidRPr="00735D27" w:rsidRDefault="00FD0545" w:rsidP="00FD0545">
      <w:pPr>
        <w:contextualSpacing/>
        <w:jc w:val="both"/>
        <w:rPr>
          <w:rFonts w:eastAsia="Calibri"/>
          <w:sz w:val="22"/>
          <w:szCs w:val="22"/>
        </w:rPr>
      </w:pPr>
    </w:p>
    <w:p w14:paraId="2DAAE736" w14:textId="77777777" w:rsidR="00FD0545" w:rsidRPr="00735D27" w:rsidRDefault="00FD0545" w:rsidP="00FD0545">
      <w:pPr>
        <w:contextualSpacing/>
        <w:jc w:val="both"/>
        <w:rPr>
          <w:rFonts w:eastAsia="Calibri"/>
          <w:sz w:val="22"/>
          <w:szCs w:val="22"/>
        </w:rPr>
      </w:pPr>
      <w:r w:rsidRPr="00735D27">
        <w:rPr>
          <w:rFonts w:eastAsia="Calibri"/>
          <w:sz w:val="22"/>
          <w:szCs w:val="22"/>
        </w:rPr>
        <w:t>(11) Amennyiben a 4/2017 Dékáni Utasítás 5.§-</w:t>
      </w:r>
      <w:proofErr w:type="spellStart"/>
      <w:r w:rsidRPr="00735D27">
        <w:rPr>
          <w:rFonts w:eastAsia="Calibri"/>
          <w:sz w:val="22"/>
          <w:szCs w:val="22"/>
        </w:rPr>
        <w:t>ban</w:t>
      </w:r>
      <w:proofErr w:type="spellEnd"/>
      <w:r w:rsidRPr="00735D27">
        <w:rPr>
          <w:rFonts w:eastAsia="Calibri"/>
          <w:sz w:val="22"/>
          <w:szCs w:val="22"/>
        </w:rPr>
        <w:t xml:space="preserve"> meghatározott kötelező óraszámot az oktató nem éri el, úgy a pillérpontszáma </w:t>
      </w:r>
      <w:proofErr w:type="gramStart"/>
      <w:r w:rsidRPr="00735D27">
        <w:rPr>
          <w:rFonts w:eastAsia="Calibri"/>
          <w:sz w:val="22"/>
          <w:szCs w:val="22"/>
        </w:rPr>
        <w:t>automatikusan</w:t>
      </w:r>
      <w:proofErr w:type="gramEnd"/>
      <w:r w:rsidRPr="00735D27">
        <w:rPr>
          <w:rFonts w:eastAsia="Calibri"/>
          <w:sz w:val="22"/>
          <w:szCs w:val="22"/>
        </w:rPr>
        <w:t xml:space="preserve"> 0.</w:t>
      </w:r>
    </w:p>
    <w:p w14:paraId="1074D198" w14:textId="77777777" w:rsidR="00FD0545" w:rsidRPr="00735D27" w:rsidRDefault="00FD0545" w:rsidP="00FD0545">
      <w:pPr>
        <w:contextualSpacing/>
        <w:jc w:val="both"/>
        <w:rPr>
          <w:rFonts w:eastAsia="Calibri"/>
          <w:sz w:val="22"/>
          <w:szCs w:val="22"/>
        </w:rPr>
      </w:pPr>
    </w:p>
    <w:p w14:paraId="6C9978ED" w14:textId="77777777" w:rsidR="00FD0545" w:rsidRPr="00735D27" w:rsidRDefault="00FD0545" w:rsidP="00FD0545">
      <w:pPr>
        <w:contextualSpacing/>
        <w:jc w:val="both"/>
        <w:rPr>
          <w:rFonts w:eastAsia="Calibri"/>
          <w:sz w:val="22"/>
          <w:szCs w:val="22"/>
        </w:rPr>
      </w:pPr>
      <w:r w:rsidRPr="00735D27">
        <w:rPr>
          <w:rFonts w:eastAsia="Calibri"/>
          <w:sz w:val="22"/>
          <w:szCs w:val="22"/>
        </w:rPr>
        <w:t>(12) Amennyiben a munkavállaló részmunkaidős, úgy minden határszám a felére csökken.</w:t>
      </w:r>
    </w:p>
    <w:p w14:paraId="56C10B97" w14:textId="77777777" w:rsidR="00FD0545" w:rsidRPr="00735D27" w:rsidRDefault="00FD0545" w:rsidP="00FD0545">
      <w:pPr>
        <w:ind w:left="360" w:hanging="360"/>
        <w:contextualSpacing/>
        <w:rPr>
          <w:rFonts w:eastAsia="Calibri"/>
          <w:sz w:val="22"/>
          <w:szCs w:val="22"/>
          <w:u w:val="single"/>
        </w:rPr>
      </w:pPr>
    </w:p>
    <w:p w14:paraId="46E6847C" w14:textId="77777777" w:rsidR="00FD0545" w:rsidRPr="00735D27" w:rsidRDefault="00FD0545" w:rsidP="00FD0545">
      <w:pPr>
        <w:ind w:left="360" w:hanging="360"/>
        <w:contextualSpacing/>
        <w:rPr>
          <w:rFonts w:eastAsia="Calibri"/>
          <w:sz w:val="22"/>
          <w:szCs w:val="22"/>
        </w:rPr>
      </w:pPr>
      <w:r w:rsidRPr="00735D27">
        <w:rPr>
          <w:rFonts w:eastAsia="Calibri"/>
          <w:b/>
          <w:sz w:val="22"/>
          <w:szCs w:val="22"/>
        </w:rPr>
        <w:t>8. §</w:t>
      </w:r>
      <w:r w:rsidRPr="00735D27">
        <w:rPr>
          <w:rFonts w:eastAsia="Calibri"/>
          <w:sz w:val="22"/>
          <w:szCs w:val="22"/>
        </w:rPr>
        <w:t xml:space="preserve"> (1) A Tudományos területen az értékelés a jelen §-</w:t>
      </w:r>
      <w:proofErr w:type="spellStart"/>
      <w:r w:rsidRPr="00735D27">
        <w:rPr>
          <w:rFonts w:eastAsia="Calibri"/>
          <w:sz w:val="22"/>
          <w:szCs w:val="22"/>
        </w:rPr>
        <w:t>ban</w:t>
      </w:r>
      <w:proofErr w:type="spellEnd"/>
      <w:r w:rsidRPr="00735D27">
        <w:rPr>
          <w:rFonts w:eastAsia="Calibri"/>
          <w:sz w:val="22"/>
          <w:szCs w:val="22"/>
        </w:rPr>
        <w:t xml:space="preserve"> foglaltak figyelembevételével történik.</w:t>
      </w:r>
    </w:p>
    <w:p w14:paraId="147560B7" w14:textId="77777777" w:rsidR="00FD0545" w:rsidRPr="00735D27" w:rsidRDefault="00FD0545" w:rsidP="00FD0545">
      <w:pPr>
        <w:contextualSpacing/>
        <w:jc w:val="both"/>
        <w:rPr>
          <w:rFonts w:eastAsia="Calibri"/>
          <w:sz w:val="22"/>
          <w:szCs w:val="22"/>
          <w:u w:val="single"/>
        </w:rPr>
      </w:pPr>
    </w:p>
    <w:p w14:paraId="760C13E2"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(1) </w:t>
      </w:r>
      <w:proofErr w:type="gramStart"/>
      <w:r w:rsidRPr="00735D27">
        <w:rPr>
          <w:rFonts w:eastAsia="Calibri"/>
          <w:sz w:val="22"/>
          <w:szCs w:val="22"/>
        </w:rPr>
        <w:t>Konferencia</w:t>
      </w:r>
      <w:proofErr w:type="gramEnd"/>
      <w:r w:rsidRPr="00735D27">
        <w:rPr>
          <w:rFonts w:eastAsia="Calibri"/>
          <w:sz w:val="22"/>
          <w:szCs w:val="22"/>
        </w:rPr>
        <w:t>:</w:t>
      </w:r>
    </w:p>
    <w:p w14:paraId="4863C94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előadás (Külföldön)= db x 4</w:t>
      </w:r>
    </w:p>
    <w:p w14:paraId="372D6C28"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poszter (Külföldön)= db x 3</w:t>
      </w:r>
    </w:p>
    <w:p w14:paraId="649AF952"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előadás (Magyarországon)= db x 3,5</w:t>
      </w:r>
    </w:p>
    <w:p w14:paraId="285BA0DF"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poszter (Magyarországon)= db x 2,5</w:t>
      </w:r>
    </w:p>
    <w:p w14:paraId="5E375BEF"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hazai előadás= db x 2</w:t>
      </w:r>
    </w:p>
    <w:p w14:paraId="0CCEC043"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hazai poszter= db x1</w:t>
      </w:r>
    </w:p>
    <w:p w14:paraId="72B2750C" w14:textId="77777777" w:rsidR="00FD0545" w:rsidRPr="00735D27" w:rsidRDefault="00FD0545" w:rsidP="00FD0545">
      <w:pPr>
        <w:ind w:left="720"/>
        <w:contextualSpacing/>
        <w:jc w:val="both"/>
        <w:rPr>
          <w:rFonts w:eastAsia="Calibri"/>
          <w:sz w:val="22"/>
          <w:szCs w:val="22"/>
        </w:rPr>
      </w:pPr>
    </w:p>
    <w:p w14:paraId="43413BBB" w14:textId="77777777" w:rsidR="00FD0545" w:rsidRPr="00735D27" w:rsidRDefault="00FD0545" w:rsidP="00FD0545">
      <w:pPr>
        <w:contextualSpacing/>
        <w:jc w:val="both"/>
        <w:rPr>
          <w:rFonts w:eastAsia="Calibri"/>
          <w:sz w:val="22"/>
          <w:szCs w:val="22"/>
        </w:rPr>
      </w:pPr>
      <w:r w:rsidRPr="00735D27">
        <w:rPr>
          <w:rFonts w:eastAsia="Calibri"/>
          <w:sz w:val="22"/>
          <w:szCs w:val="22"/>
        </w:rPr>
        <w:t>(2) Szaktanulmány:</w:t>
      </w:r>
    </w:p>
    <w:p w14:paraId="389D3DD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lektorált tanulmány= db x 6</w:t>
      </w:r>
    </w:p>
    <w:p w14:paraId="035A30D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nemzetközi idegen nyelvű tanulmány= db x 3</w:t>
      </w:r>
    </w:p>
    <w:p w14:paraId="3610190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hazai lektorált tanulmány= db x 5</w:t>
      </w:r>
    </w:p>
    <w:p w14:paraId="229DA7A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hazai tanulmány= db x 2</w:t>
      </w:r>
    </w:p>
    <w:p w14:paraId="153526F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cikk lektorálása= db x 1 (Kizárólag lektori véleménnyel dokumentálva fogadható el.)</w:t>
      </w:r>
    </w:p>
    <w:p w14:paraId="33243974" w14:textId="77777777" w:rsidR="00FD0545" w:rsidRPr="00735D27" w:rsidRDefault="00FD0545" w:rsidP="00FD0545">
      <w:pPr>
        <w:contextualSpacing/>
        <w:jc w:val="both"/>
        <w:rPr>
          <w:rFonts w:eastAsia="Calibri"/>
          <w:sz w:val="22"/>
          <w:szCs w:val="22"/>
        </w:rPr>
      </w:pPr>
    </w:p>
    <w:p w14:paraId="0FBCF6AD"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(3) </w:t>
      </w:r>
      <w:proofErr w:type="spellStart"/>
      <w:r w:rsidRPr="00735D27">
        <w:rPr>
          <w:rFonts w:eastAsia="Calibri"/>
          <w:sz w:val="22"/>
          <w:szCs w:val="22"/>
        </w:rPr>
        <w:t>Citáció</w:t>
      </w:r>
      <w:proofErr w:type="spellEnd"/>
      <w:r w:rsidRPr="00735D27">
        <w:rPr>
          <w:rFonts w:eastAsia="Calibri"/>
          <w:sz w:val="22"/>
          <w:szCs w:val="22"/>
        </w:rPr>
        <w:t>:</w:t>
      </w:r>
    </w:p>
    <w:p w14:paraId="5F50150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Az éves kitöltéskor az MTMT-</w:t>
      </w:r>
      <w:proofErr w:type="spellStart"/>
      <w:r w:rsidRPr="00735D27">
        <w:rPr>
          <w:rFonts w:eastAsia="Calibri"/>
          <w:sz w:val="22"/>
          <w:szCs w:val="22"/>
        </w:rPr>
        <w:t>ben</w:t>
      </w:r>
      <w:proofErr w:type="spellEnd"/>
      <w:r w:rsidRPr="00735D27">
        <w:rPr>
          <w:rFonts w:eastAsia="Calibri"/>
          <w:sz w:val="22"/>
          <w:szCs w:val="22"/>
        </w:rPr>
        <w:t xml:space="preserve"> szereplő, eddig kapott összes független hivatkozások számának kell szerepelnie. A </w:t>
      </w:r>
      <w:proofErr w:type="spellStart"/>
      <w:r w:rsidRPr="00735D27">
        <w:rPr>
          <w:rFonts w:eastAsia="Calibri"/>
          <w:sz w:val="22"/>
          <w:szCs w:val="22"/>
        </w:rPr>
        <w:t>citációba</w:t>
      </w:r>
      <w:proofErr w:type="spellEnd"/>
      <w:r w:rsidRPr="00735D27">
        <w:rPr>
          <w:rFonts w:eastAsia="Calibri"/>
          <w:sz w:val="22"/>
          <w:szCs w:val="22"/>
        </w:rPr>
        <w:t xml:space="preserve"> kizárólag a független hivatkozások számítanak bele, beleértve a nem teljes tudományos művekben történt hivatkozások -amennyiben függetlenek</w:t>
      </w:r>
    </w:p>
    <w:p w14:paraId="1E4380A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besorolástól függően 0-2 pontig terjedő skálán</w:t>
      </w:r>
    </w:p>
    <w:p w14:paraId="1EAAD7EA" w14:textId="77777777" w:rsidR="00FD0545" w:rsidRPr="00735D27" w:rsidRDefault="00FD0545" w:rsidP="00FD0545">
      <w:pPr>
        <w:ind w:left="720"/>
        <w:contextualSpacing/>
        <w:jc w:val="both"/>
        <w:rPr>
          <w:rFonts w:eastAsia="Calibri"/>
          <w:sz w:val="22"/>
          <w:szCs w:val="22"/>
        </w:rPr>
      </w:pPr>
      <w:r w:rsidRPr="00735D27">
        <w:rPr>
          <w:rFonts w:eastAsia="Calibri"/>
          <w:sz w:val="22"/>
          <w:szCs w:val="22"/>
        </w:rPr>
        <w:t xml:space="preserve">(tanársegéd: </w:t>
      </w:r>
      <w:proofErr w:type="gramStart"/>
      <w:r w:rsidRPr="00735D27">
        <w:rPr>
          <w:rFonts w:eastAsia="Calibri"/>
          <w:sz w:val="22"/>
          <w:szCs w:val="22"/>
        </w:rPr>
        <w:t>0&lt;</w:t>
      </w:r>
      <w:proofErr w:type="spellStart"/>
      <w:proofErr w:type="gramEnd"/>
      <w:r w:rsidRPr="00735D27">
        <w:rPr>
          <w:rFonts w:eastAsia="Calibri"/>
          <w:sz w:val="22"/>
          <w:szCs w:val="22"/>
        </w:rPr>
        <w:t>citációk</w:t>
      </w:r>
      <w:proofErr w:type="spellEnd"/>
      <w:r w:rsidRPr="00735D27">
        <w:rPr>
          <w:rFonts w:eastAsia="Calibri"/>
          <w:sz w:val="22"/>
          <w:szCs w:val="22"/>
        </w:rPr>
        <w:t xml:space="preserve"> száma&lt;25, akkor 1pont; </w:t>
      </w:r>
      <w:proofErr w:type="spellStart"/>
      <w:r w:rsidRPr="00735D27">
        <w:rPr>
          <w:rFonts w:eastAsia="Calibri"/>
          <w:sz w:val="22"/>
          <w:szCs w:val="22"/>
        </w:rPr>
        <w:t>citációk</w:t>
      </w:r>
      <w:proofErr w:type="spellEnd"/>
      <w:r w:rsidRPr="00735D27">
        <w:rPr>
          <w:rFonts w:eastAsia="Calibri"/>
          <w:sz w:val="22"/>
          <w:szCs w:val="22"/>
        </w:rPr>
        <w:t xml:space="preserve"> száma&gt;=25, akkor 2pont;</w:t>
      </w:r>
    </w:p>
    <w:p w14:paraId="1B29F8A9" w14:textId="77777777" w:rsidR="00FD0545" w:rsidRPr="00735D27" w:rsidRDefault="00FD0545" w:rsidP="00FD0545">
      <w:pPr>
        <w:ind w:left="720"/>
        <w:contextualSpacing/>
        <w:jc w:val="both"/>
        <w:rPr>
          <w:rFonts w:eastAsia="Calibri"/>
          <w:sz w:val="22"/>
          <w:szCs w:val="22"/>
        </w:rPr>
      </w:pPr>
      <w:proofErr w:type="gramStart"/>
      <w:r w:rsidRPr="00735D27">
        <w:rPr>
          <w:rFonts w:eastAsia="Calibri"/>
          <w:sz w:val="22"/>
          <w:szCs w:val="22"/>
        </w:rPr>
        <w:t>adjunktus</w:t>
      </w:r>
      <w:proofErr w:type="gramEnd"/>
      <w:r w:rsidRPr="00735D27">
        <w:rPr>
          <w:rFonts w:eastAsia="Calibri"/>
          <w:sz w:val="22"/>
          <w:szCs w:val="22"/>
        </w:rPr>
        <w:t xml:space="preserve">: </w:t>
      </w:r>
      <w:proofErr w:type="spellStart"/>
      <w:r w:rsidRPr="00735D27">
        <w:rPr>
          <w:rFonts w:eastAsia="Calibri"/>
          <w:sz w:val="22"/>
          <w:szCs w:val="22"/>
        </w:rPr>
        <w:t>citációk</w:t>
      </w:r>
      <w:proofErr w:type="spellEnd"/>
      <w:r w:rsidRPr="00735D27">
        <w:rPr>
          <w:rFonts w:eastAsia="Calibri"/>
          <w:sz w:val="22"/>
          <w:szCs w:val="22"/>
        </w:rPr>
        <w:t xml:space="preserve"> száma&lt;25, akkor 0pont; 25&lt;= </w:t>
      </w:r>
      <w:proofErr w:type="spellStart"/>
      <w:r w:rsidRPr="00735D27">
        <w:rPr>
          <w:rFonts w:eastAsia="Calibri"/>
          <w:sz w:val="22"/>
          <w:szCs w:val="22"/>
        </w:rPr>
        <w:t>citációk</w:t>
      </w:r>
      <w:proofErr w:type="spellEnd"/>
      <w:r w:rsidRPr="00735D27">
        <w:rPr>
          <w:rFonts w:eastAsia="Calibri"/>
          <w:sz w:val="22"/>
          <w:szCs w:val="22"/>
        </w:rPr>
        <w:t xml:space="preserve"> száma&lt;51, akkor 1pont; </w:t>
      </w:r>
      <w:proofErr w:type="spellStart"/>
      <w:r w:rsidRPr="00735D27">
        <w:rPr>
          <w:rFonts w:eastAsia="Calibri"/>
          <w:sz w:val="22"/>
          <w:szCs w:val="22"/>
        </w:rPr>
        <w:t>citációk</w:t>
      </w:r>
      <w:proofErr w:type="spellEnd"/>
      <w:r w:rsidRPr="00735D27">
        <w:rPr>
          <w:rFonts w:eastAsia="Calibri"/>
          <w:sz w:val="22"/>
          <w:szCs w:val="22"/>
        </w:rPr>
        <w:t xml:space="preserve"> száma&gt;50, akkor 2 pont;</w:t>
      </w:r>
    </w:p>
    <w:p w14:paraId="34353E44" w14:textId="77777777" w:rsidR="00FD0545" w:rsidRPr="00735D27" w:rsidRDefault="00FD0545" w:rsidP="00FD0545">
      <w:pPr>
        <w:ind w:left="720"/>
        <w:contextualSpacing/>
        <w:jc w:val="both"/>
        <w:rPr>
          <w:rFonts w:eastAsia="Calibri"/>
          <w:sz w:val="22"/>
          <w:szCs w:val="22"/>
        </w:rPr>
      </w:pPr>
      <w:proofErr w:type="gramStart"/>
      <w:r w:rsidRPr="00735D27">
        <w:rPr>
          <w:rFonts w:eastAsia="Calibri"/>
          <w:sz w:val="22"/>
          <w:szCs w:val="22"/>
        </w:rPr>
        <w:t>docens</w:t>
      </w:r>
      <w:proofErr w:type="gramEnd"/>
      <w:r w:rsidRPr="00735D27">
        <w:rPr>
          <w:rFonts w:eastAsia="Calibri"/>
          <w:sz w:val="22"/>
          <w:szCs w:val="22"/>
        </w:rPr>
        <w:t xml:space="preserve">: </w:t>
      </w:r>
      <w:proofErr w:type="spellStart"/>
      <w:r w:rsidRPr="00735D27">
        <w:rPr>
          <w:rFonts w:eastAsia="Calibri"/>
          <w:sz w:val="22"/>
          <w:szCs w:val="22"/>
        </w:rPr>
        <w:t>citációk</w:t>
      </w:r>
      <w:proofErr w:type="spellEnd"/>
      <w:r w:rsidRPr="00735D27">
        <w:rPr>
          <w:rFonts w:eastAsia="Calibri"/>
          <w:sz w:val="22"/>
          <w:szCs w:val="22"/>
        </w:rPr>
        <w:t xml:space="preserve"> száma&lt;51, akkor 0pont; 50&lt;</w:t>
      </w:r>
      <w:proofErr w:type="spellStart"/>
      <w:r w:rsidRPr="00735D27">
        <w:rPr>
          <w:rFonts w:eastAsia="Calibri"/>
          <w:sz w:val="22"/>
          <w:szCs w:val="22"/>
        </w:rPr>
        <w:t>citációk</w:t>
      </w:r>
      <w:proofErr w:type="spellEnd"/>
      <w:r w:rsidRPr="00735D27">
        <w:rPr>
          <w:rFonts w:eastAsia="Calibri"/>
          <w:sz w:val="22"/>
          <w:szCs w:val="22"/>
        </w:rPr>
        <w:t xml:space="preserve"> száma&lt;201, akkor 1; </w:t>
      </w:r>
      <w:proofErr w:type="spellStart"/>
      <w:r w:rsidRPr="00735D27">
        <w:rPr>
          <w:rFonts w:eastAsia="Calibri"/>
          <w:sz w:val="22"/>
          <w:szCs w:val="22"/>
        </w:rPr>
        <w:t>citációk</w:t>
      </w:r>
      <w:proofErr w:type="spellEnd"/>
      <w:r w:rsidRPr="00735D27">
        <w:rPr>
          <w:rFonts w:eastAsia="Calibri"/>
          <w:sz w:val="22"/>
          <w:szCs w:val="22"/>
        </w:rPr>
        <w:t xml:space="preserve"> száma&gt;200, akkor 2pont</w:t>
      </w:r>
    </w:p>
    <w:p w14:paraId="79A28C7E" w14:textId="77777777" w:rsidR="00FD0545" w:rsidRPr="00735D27" w:rsidRDefault="00FD0545" w:rsidP="00FD0545">
      <w:pPr>
        <w:ind w:left="720"/>
        <w:contextualSpacing/>
        <w:jc w:val="both"/>
        <w:rPr>
          <w:rFonts w:eastAsia="Calibri"/>
          <w:sz w:val="22"/>
          <w:szCs w:val="22"/>
        </w:rPr>
      </w:pPr>
      <w:proofErr w:type="gramStart"/>
      <w:r w:rsidRPr="00735D27">
        <w:rPr>
          <w:rFonts w:eastAsia="Calibri"/>
          <w:sz w:val="22"/>
          <w:szCs w:val="22"/>
        </w:rPr>
        <w:t>egyetemi</w:t>
      </w:r>
      <w:proofErr w:type="gramEnd"/>
      <w:r w:rsidRPr="00735D27">
        <w:rPr>
          <w:rFonts w:eastAsia="Calibri"/>
          <w:sz w:val="22"/>
          <w:szCs w:val="22"/>
        </w:rPr>
        <w:t xml:space="preserve"> tanár: </w:t>
      </w:r>
      <w:proofErr w:type="spellStart"/>
      <w:r w:rsidRPr="00735D27">
        <w:rPr>
          <w:rFonts w:eastAsia="Calibri"/>
          <w:sz w:val="22"/>
          <w:szCs w:val="22"/>
        </w:rPr>
        <w:t>citációk</w:t>
      </w:r>
      <w:proofErr w:type="spellEnd"/>
      <w:r w:rsidRPr="00735D27">
        <w:rPr>
          <w:rFonts w:eastAsia="Calibri"/>
          <w:sz w:val="22"/>
          <w:szCs w:val="22"/>
        </w:rPr>
        <w:t xml:space="preserve"> száma&lt;201, akkor 0pont; 200&lt;</w:t>
      </w:r>
      <w:proofErr w:type="spellStart"/>
      <w:r w:rsidRPr="00735D27">
        <w:rPr>
          <w:rFonts w:eastAsia="Calibri"/>
          <w:sz w:val="22"/>
          <w:szCs w:val="22"/>
        </w:rPr>
        <w:t>citációk</w:t>
      </w:r>
      <w:proofErr w:type="spellEnd"/>
      <w:r w:rsidRPr="00735D27">
        <w:rPr>
          <w:rFonts w:eastAsia="Calibri"/>
          <w:sz w:val="22"/>
          <w:szCs w:val="22"/>
        </w:rPr>
        <w:t xml:space="preserve"> száma&lt;351, akkor 1; </w:t>
      </w:r>
      <w:proofErr w:type="spellStart"/>
      <w:r w:rsidRPr="00735D27">
        <w:rPr>
          <w:rFonts w:eastAsia="Calibri"/>
          <w:sz w:val="22"/>
          <w:szCs w:val="22"/>
        </w:rPr>
        <w:t>citációk</w:t>
      </w:r>
      <w:proofErr w:type="spellEnd"/>
      <w:r w:rsidRPr="00735D27">
        <w:rPr>
          <w:rFonts w:eastAsia="Calibri"/>
          <w:sz w:val="22"/>
          <w:szCs w:val="22"/>
        </w:rPr>
        <w:t xml:space="preserve"> száma&gt;350, akkor 2pont)</w:t>
      </w:r>
    </w:p>
    <w:p w14:paraId="6BF4BD26" w14:textId="77777777" w:rsidR="00FD0545" w:rsidRPr="00735D27" w:rsidRDefault="00FD0545" w:rsidP="00FD0545">
      <w:pPr>
        <w:contextualSpacing/>
        <w:jc w:val="both"/>
        <w:rPr>
          <w:rFonts w:eastAsia="Calibri"/>
          <w:sz w:val="22"/>
          <w:szCs w:val="22"/>
        </w:rPr>
      </w:pPr>
    </w:p>
    <w:p w14:paraId="270952EB" w14:textId="77777777" w:rsidR="00FD0545" w:rsidRPr="00735D27" w:rsidRDefault="00FD0545" w:rsidP="00FD0545">
      <w:pPr>
        <w:contextualSpacing/>
        <w:jc w:val="both"/>
        <w:rPr>
          <w:rFonts w:eastAsia="Calibri"/>
          <w:sz w:val="22"/>
          <w:szCs w:val="22"/>
        </w:rPr>
      </w:pPr>
      <w:r w:rsidRPr="00735D27">
        <w:rPr>
          <w:rFonts w:eastAsia="Calibri"/>
          <w:sz w:val="22"/>
          <w:szCs w:val="22"/>
        </w:rPr>
        <w:t>(4) Szerkesztett könyv: (A forráskiadványok is ide sorolandók)</w:t>
      </w:r>
    </w:p>
    <w:p w14:paraId="2BBEBB71"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hazai kiadvány= db x 2</w:t>
      </w:r>
    </w:p>
    <w:p w14:paraId="4F29AF1F"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lastRenderedPageBreak/>
        <w:t>idegen nyelvű hazai kiadvány= db x 3</w:t>
      </w:r>
    </w:p>
    <w:p w14:paraId="0D3026A2"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külföldi kiadvány= db x 4</w:t>
      </w:r>
    </w:p>
    <w:p w14:paraId="0B46DDAF"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folyóirat </w:t>
      </w:r>
      <w:proofErr w:type="spellStart"/>
      <w:r w:rsidRPr="00735D27">
        <w:rPr>
          <w:rFonts w:eastAsia="Calibri"/>
          <w:sz w:val="22"/>
          <w:szCs w:val="22"/>
        </w:rPr>
        <w:t>szerk</w:t>
      </w:r>
      <w:proofErr w:type="spellEnd"/>
      <w:r w:rsidRPr="00735D27">
        <w:rPr>
          <w:rFonts w:eastAsia="Calibri"/>
          <w:sz w:val="22"/>
          <w:szCs w:val="22"/>
        </w:rPr>
        <w:t>. külföldi (számonként)= db x 3</w:t>
      </w:r>
    </w:p>
    <w:p w14:paraId="38B34B5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folyóirat </w:t>
      </w:r>
      <w:proofErr w:type="spellStart"/>
      <w:r w:rsidRPr="00735D27">
        <w:rPr>
          <w:rFonts w:eastAsia="Calibri"/>
          <w:sz w:val="22"/>
          <w:szCs w:val="22"/>
        </w:rPr>
        <w:t>szerk</w:t>
      </w:r>
      <w:proofErr w:type="spellEnd"/>
      <w:r w:rsidRPr="00735D27">
        <w:rPr>
          <w:rFonts w:eastAsia="Calibri"/>
          <w:sz w:val="22"/>
          <w:szCs w:val="22"/>
        </w:rPr>
        <w:t>. hazai (számonként)= db x 2</w:t>
      </w:r>
    </w:p>
    <w:p w14:paraId="515DBDAA" w14:textId="77777777" w:rsidR="00FD0545" w:rsidRPr="00735D27" w:rsidRDefault="00FD0545" w:rsidP="00FD0545">
      <w:pPr>
        <w:contextualSpacing/>
        <w:jc w:val="both"/>
        <w:rPr>
          <w:rFonts w:eastAsia="Calibri"/>
          <w:sz w:val="22"/>
          <w:szCs w:val="22"/>
        </w:rPr>
      </w:pPr>
    </w:p>
    <w:p w14:paraId="14420F08" w14:textId="77777777" w:rsidR="00FD0545" w:rsidRPr="00735D27" w:rsidRDefault="00FD0545" w:rsidP="00FD0545">
      <w:pPr>
        <w:contextualSpacing/>
        <w:jc w:val="both"/>
        <w:rPr>
          <w:rFonts w:eastAsia="Calibri"/>
          <w:sz w:val="22"/>
          <w:szCs w:val="22"/>
        </w:rPr>
      </w:pPr>
      <w:r w:rsidRPr="00735D27">
        <w:rPr>
          <w:rFonts w:eastAsia="Calibri"/>
          <w:sz w:val="22"/>
          <w:szCs w:val="22"/>
        </w:rPr>
        <w:t>(5) Könyvfejezet:</w:t>
      </w:r>
    </w:p>
    <w:p w14:paraId="45476B71"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db x 2</w:t>
      </w:r>
    </w:p>
    <w:p w14:paraId="5FF1971B"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hazai kiadvány= db x 2</w:t>
      </w:r>
    </w:p>
    <w:p w14:paraId="523EC478"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külföldi kiadvány = db x 3</w:t>
      </w:r>
    </w:p>
    <w:p w14:paraId="4D040B61" w14:textId="77777777" w:rsidR="00FD0545" w:rsidRPr="00735D27" w:rsidRDefault="00FD0545" w:rsidP="00FD0545">
      <w:pPr>
        <w:contextualSpacing/>
        <w:jc w:val="both"/>
        <w:rPr>
          <w:rFonts w:eastAsia="Calibri"/>
          <w:sz w:val="22"/>
          <w:szCs w:val="22"/>
        </w:rPr>
      </w:pPr>
    </w:p>
    <w:p w14:paraId="2F3575A3"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(6) </w:t>
      </w:r>
      <w:proofErr w:type="gramStart"/>
      <w:r w:rsidRPr="00735D27">
        <w:rPr>
          <w:rFonts w:eastAsia="Calibri"/>
          <w:sz w:val="22"/>
          <w:szCs w:val="22"/>
        </w:rPr>
        <w:t>Monográfia</w:t>
      </w:r>
      <w:proofErr w:type="gramEnd"/>
      <w:r w:rsidRPr="00735D27">
        <w:rPr>
          <w:rFonts w:eastAsia="Calibri"/>
          <w:sz w:val="22"/>
          <w:szCs w:val="22"/>
        </w:rPr>
        <w:t>:</w:t>
      </w:r>
    </w:p>
    <w:p w14:paraId="30EEA92F"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440 000 karakterszám alatt/120 oldal alatt= db x 7</w:t>
      </w:r>
    </w:p>
    <w:p w14:paraId="4EDD480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440 000 karakterszám felett/120 oldal felett= db x 8</w:t>
      </w:r>
    </w:p>
    <w:p w14:paraId="1A218AEA" w14:textId="77777777" w:rsidR="00FD0545" w:rsidRPr="00735D27" w:rsidRDefault="00FD0545" w:rsidP="00F83E93">
      <w:pPr>
        <w:numPr>
          <w:ilvl w:val="0"/>
          <w:numId w:val="143"/>
        </w:numPr>
        <w:contextualSpacing/>
        <w:jc w:val="both"/>
        <w:rPr>
          <w:rFonts w:eastAsia="Calibri"/>
          <w:sz w:val="22"/>
          <w:szCs w:val="22"/>
        </w:rPr>
      </w:pPr>
      <w:proofErr w:type="gramStart"/>
      <w:r w:rsidRPr="00735D27">
        <w:rPr>
          <w:rFonts w:eastAsia="Calibri"/>
          <w:sz w:val="22"/>
          <w:szCs w:val="22"/>
        </w:rPr>
        <w:t>monográfia</w:t>
      </w:r>
      <w:proofErr w:type="gramEnd"/>
      <w:r w:rsidRPr="00735D27">
        <w:rPr>
          <w:rFonts w:eastAsia="Calibri"/>
          <w:sz w:val="22"/>
          <w:szCs w:val="22"/>
        </w:rPr>
        <w:t xml:space="preserve"> lektorálása 440 000 karakterszám alatt/120 oldal alatt= db x 1</w:t>
      </w:r>
    </w:p>
    <w:p w14:paraId="13DB0056" w14:textId="77777777" w:rsidR="00FD0545" w:rsidRPr="00735D27" w:rsidRDefault="00FD0545" w:rsidP="00F83E93">
      <w:pPr>
        <w:numPr>
          <w:ilvl w:val="0"/>
          <w:numId w:val="143"/>
        </w:numPr>
        <w:contextualSpacing/>
        <w:jc w:val="both"/>
        <w:rPr>
          <w:rFonts w:eastAsia="Calibri"/>
          <w:sz w:val="22"/>
          <w:szCs w:val="22"/>
        </w:rPr>
      </w:pPr>
      <w:proofErr w:type="gramStart"/>
      <w:r w:rsidRPr="00735D27">
        <w:rPr>
          <w:rFonts w:eastAsia="Calibri"/>
          <w:sz w:val="22"/>
          <w:szCs w:val="22"/>
        </w:rPr>
        <w:t>monográfia</w:t>
      </w:r>
      <w:proofErr w:type="gramEnd"/>
      <w:r w:rsidRPr="00735D27">
        <w:rPr>
          <w:rFonts w:eastAsia="Calibri"/>
          <w:sz w:val="22"/>
          <w:szCs w:val="22"/>
        </w:rPr>
        <w:t xml:space="preserve"> lektorálása 440 000 karakterszám felett/120 oldal felett= db x 2</w:t>
      </w:r>
    </w:p>
    <w:p w14:paraId="53A8A81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külföldi kiadás= db x 10</w:t>
      </w:r>
    </w:p>
    <w:p w14:paraId="0845C48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magyar kiadás= db x 8</w:t>
      </w:r>
    </w:p>
    <w:p w14:paraId="7790B1F9" w14:textId="77777777" w:rsidR="00FD0545" w:rsidRPr="00735D27" w:rsidRDefault="00FD0545" w:rsidP="00FD0545">
      <w:pPr>
        <w:contextualSpacing/>
        <w:jc w:val="both"/>
        <w:rPr>
          <w:rFonts w:eastAsia="Calibri"/>
          <w:sz w:val="22"/>
          <w:szCs w:val="22"/>
        </w:rPr>
      </w:pPr>
    </w:p>
    <w:p w14:paraId="05089C3D" w14:textId="77777777" w:rsidR="00FD0545" w:rsidRPr="00735D27" w:rsidRDefault="00FD0545" w:rsidP="00FD0545">
      <w:pPr>
        <w:contextualSpacing/>
        <w:jc w:val="both"/>
        <w:rPr>
          <w:rFonts w:eastAsia="Calibri"/>
          <w:sz w:val="22"/>
          <w:szCs w:val="22"/>
        </w:rPr>
      </w:pPr>
      <w:r w:rsidRPr="00735D27">
        <w:rPr>
          <w:rFonts w:eastAsia="Calibri"/>
          <w:sz w:val="22"/>
          <w:szCs w:val="22"/>
        </w:rPr>
        <w:t>(7) Tankönyv:</w:t>
      </w:r>
    </w:p>
    <w:p w14:paraId="365E908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tankönyv= db x 3</w:t>
      </w:r>
    </w:p>
    <w:p w14:paraId="64DB3FA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tankönyv lektorálása= db x 1</w:t>
      </w:r>
    </w:p>
    <w:p w14:paraId="4A25640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tankönyvfejezet= db x 2</w:t>
      </w:r>
    </w:p>
    <w:p w14:paraId="177C08A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szerkesztett tankönyv= db x 1</w:t>
      </w:r>
    </w:p>
    <w:p w14:paraId="0C650F3E" w14:textId="77777777" w:rsidR="00FD0545" w:rsidRPr="00735D27" w:rsidRDefault="00FD0545" w:rsidP="00FD0545">
      <w:pPr>
        <w:contextualSpacing/>
        <w:jc w:val="both"/>
        <w:rPr>
          <w:rFonts w:eastAsia="Calibri"/>
          <w:sz w:val="22"/>
          <w:szCs w:val="22"/>
        </w:rPr>
      </w:pPr>
    </w:p>
    <w:p w14:paraId="1C067AD1" w14:textId="77777777" w:rsidR="00FD0545" w:rsidRPr="00735D27" w:rsidRDefault="00FD0545" w:rsidP="00FD0545">
      <w:pPr>
        <w:contextualSpacing/>
        <w:jc w:val="both"/>
        <w:rPr>
          <w:rFonts w:eastAsia="Calibri"/>
          <w:sz w:val="22"/>
          <w:szCs w:val="22"/>
        </w:rPr>
      </w:pPr>
      <w:r w:rsidRPr="00735D27">
        <w:rPr>
          <w:rFonts w:eastAsia="Calibri"/>
          <w:sz w:val="22"/>
          <w:szCs w:val="22"/>
        </w:rPr>
        <w:t>(8) Ismertetés/Recenzió (min.10000 leütés):</w:t>
      </w:r>
    </w:p>
    <w:p w14:paraId="3FA26DBB"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db x 0,5</w:t>
      </w:r>
    </w:p>
    <w:p w14:paraId="5558758D"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magyar folyóirat/kötet= db x 1</w:t>
      </w:r>
    </w:p>
    <w:p w14:paraId="3DA27B2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külföldi folyóirat/kötet= db x 1,5</w:t>
      </w:r>
    </w:p>
    <w:p w14:paraId="1D5BC50A" w14:textId="77777777" w:rsidR="00FD0545" w:rsidRPr="00735D27" w:rsidRDefault="00FD0545" w:rsidP="00FD0545">
      <w:pPr>
        <w:contextualSpacing/>
        <w:jc w:val="both"/>
        <w:rPr>
          <w:rFonts w:eastAsia="Calibri"/>
          <w:sz w:val="22"/>
          <w:szCs w:val="22"/>
        </w:rPr>
      </w:pPr>
    </w:p>
    <w:p w14:paraId="64A2CEBF"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(9) Ismeretterjesztő cikk, </w:t>
      </w:r>
      <w:proofErr w:type="gramStart"/>
      <w:r w:rsidRPr="00735D27">
        <w:rPr>
          <w:rFonts w:eastAsia="Calibri"/>
          <w:sz w:val="22"/>
          <w:szCs w:val="22"/>
        </w:rPr>
        <w:t>esszé</w:t>
      </w:r>
      <w:proofErr w:type="gramEnd"/>
      <w:r w:rsidRPr="00735D27">
        <w:rPr>
          <w:rFonts w:eastAsia="Calibri"/>
          <w:sz w:val="22"/>
          <w:szCs w:val="22"/>
        </w:rPr>
        <w:t>, publicisztika:</w:t>
      </w:r>
    </w:p>
    <w:p w14:paraId="54E2657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magyar nyelvű= db x 1</w:t>
      </w:r>
    </w:p>
    <w:p w14:paraId="0C5BEF5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idegen nyelvű= db x 1</w:t>
      </w:r>
    </w:p>
    <w:p w14:paraId="3DF96CF1"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lexikon szócikk= db x 1</w:t>
      </w:r>
    </w:p>
    <w:p w14:paraId="24D523F5" w14:textId="77777777" w:rsidR="00FD0545" w:rsidRPr="00735D27" w:rsidRDefault="00FD0545" w:rsidP="00FD0545">
      <w:pPr>
        <w:contextualSpacing/>
        <w:jc w:val="both"/>
        <w:rPr>
          <w:rFonts w:eastAsia="Calibri"/>
          <w:sz w:val="22"/>
          <w:szCs w:val="22"/>
        </w:rPr>
      </w:pPr>
    </w:p>
    <w:p w14:paraId="1FD12FA5" w14:textId="77777777" w:rsidR="00FD0545" w:rsidRPr="00735D27" w:rsidRDefault="00FD0545" w:rsidP="00FD0545">
      <w:pPr>
        <w:contextualSpacing/>
        <w:jc w:val="both"/>
        <w:rPr>
          <w:rFonts w:eastAsia="Calibri"/>
          <w:sz w:val="22"/>
          <w:szCs w:val="22"/>
        </w:rPr>
      </w:pPr>
      <w:r w:rsidRPr="00735D27">
        <w:rPr>
          <w:rFonts w:eastAsia="Calibri"/>
          <w:sz w:val="22"/>
          <w:szCs w:val="22"/>
        </w:rPr>
        <w:t>(10) Tudományos közéleti munka:</w:t>
      </w:r>
    </w:p>
    <w:p w14:paraId="371D84E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kutatócsoport vezetése= db x 4 (Kizárólag a BTK Kari Tanácsa által jóváhagyott kutatócsoportok tüntethetők fel.)</w:t>
      </w:r>
    </w:p>
    <w:p w14:paraId="0280D2C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jelentős egyéni ösztöndíj (Bolyai, OTKA, ÚNKP stb.) elnyerése= db x 3</w:t>
      </w:r>
    </w:p>
    <w:p w14:paraId="23233154"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jelentős csoportos ösztöndíj (pl. OTKA stb.) benyújtója/vezetője= db 3</w:t>
      </w:r>
    </w:p>
    <w:p w14:paraId="182821D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jelentős csoportos ösztöndíj (pl. OTKA stb.) tag= db x 1</w:t>
      </w:r>
    </w:p>
    <w:p w14:paraId="56A7C432" w14:textId="77777777" w:rsidR="00FD0545" w:rsidRPr="00735D27" w:rsidRDefault="00FD0545" w:rsidP="00FD0545">
      <w:pPr>
        <w:contextualSpacing/>
        <w:jc w:val="both"/>
        <w:rPr>
          <w:rFonts w:eastAsia="Calibri"/>
          <w:sz w:val="22"/>
          <w:szCs w:val="22"/>
        </w:rPr>
      </w:pPr>
    </w:p>
    <w:p w14:paraId="7D1E92BE" w14:textId="77777777" w:rsidR="00FD0545" w:rsidRPr="00735D27" w:rsidRDefault="00FD0545" w:rsidP="00FD0545">
      <w:pPr>
        <w:contextualSpacing/>
        <w:jc w:val="both"/>
        <w:rPr>
          <w:rFonts w:eastAsia="Calibri"/>
          <w:sz w:val="22"/>
          <w:szCs w:val="22"/>
        </w:rPr>
      </w:pPr>
      <w:r w:rsidRPr="00735D27">
        <w:rPr>
          <w:rFonts w:eastAsia="Calibri"/>
          <w:sz w:val="22"/>
          <w:szCs w:val="22"/>
        </w:rPr>
        <w:t>(11) Közreműködés tudományos fokozat, cím megszerzésében:</w:t>
      </w:r>
    </w:p>
    <w:p w14:paraId="18F0886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MTA doktora / tudomány doktora címért benyújtott értekezés hivatalos bírálója= db x 6</w:t>
      </w:r>
    </w:p>
    <w:p w14:paraId="5EAD70D1"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MTA doktora / tudomány doktora címért benyújtott értekezés nyilvános védésén bizottsági tag=</w:t>
      </w:r>
    </w:p>
    <w:p w14:paraId="3ECDF1DE" w14:textId="77777777" w:rsidR="00FD0545" w:rsidRPr="00735D27" w:rsidRDefault="00FD0545" w:rsidP="00FD0545">
      <w:pPr>
        <w:ind w:left="720"/>
        <w:contextualSpacing/>
        <w:jc w:val="both"/>
        <w:rPr>
          <w:rFonts w:eastAsia="Calibri"/>
          <w:sz w:val="22"/>
          <w:szCs w:val="22"/>
        </w:rPr>
      </w:pPr>
      <w:proofErr w:type="gramStart"/>
      <w:r w:rsidRPr="00735D27">
        <w:rPr>
          <w:rFonts w:eastAsia="Calibri"/>
          <w:sz w:val="22"/>
          <w:szCs w:val="22"/>
        </w:rPr>
        <w:t>db</w:t>
      </w:r>
      <w:proofErr w:type="gramEnd"/>
      <w:r w:rsidRPr="00735D27">
        <w:rPr>
          <w:rFonts w:eastAsia="Calibri"/>
          <w:sz w:val="22"/>
          <w:szCs w:val="22"/>
        </w:rPr>
        <w:t xml:space="preserve"> x 5</w:t>
      </w:r>
    </w:p>
    <w:p w14:paraId="7DC4B9B8"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PhD fokozatért benyújtott értekezés/habilitációs eljárás hivatalos bírálója = db x 3</w:t>
      </w:r>
    </w:p>
    <w:p w14:paraId="7F15D382"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PhD fokozatért benyújtott értekezés/habilitációs eljárás nyilvános védésén bizottsági tag= db x 2</w:t>
      </w:r>
    </w:p>
    <w:p w14:paraId="03601240"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PhD fokozatot szerzettek száma= db x 3 (Kizárólag a vizsgált időszakban megvédett doktori </w:t>
      </w:r>
      <w:proofErr w:type="gramStart"/>
      <w:r w:rsidRPr="00735D27">
        <w:rPr>
          <w:rFonts w:eastAsia="Calibri"/>
          <w:sz w:val="22"/>
          <w:szCs w:val="22"/>
        </w:rPr>
        <w:t>disszertációk</w:t>
      </w:r>
      <w:proofErr w:type="gramEnd"/>
      <w:r w:rsidRPr="00735D27">
        <w:rPr>
          <w:rFonts w:eastAsia="Calibri"/>
          <w:sz w:val="22"/>
          <w:szCs w:val="22"/>
        </w:rPr>
        <w:t xml:space="preserve"> számolhatók el.)</w:t>
      </w:r>
    </w:p>
    <w:p w14:paraId="17A8C3A5" w14:textId="77777777" w:rsidR="00FD0545" w:rsidRPr="00735D27" w:rsidRDefault="00FD0545" w:rsidP="00FD0545">
      <w:pPr>
        <w:contextualSpacing/>
        <w:jc w:val="both"/>
        <w:rPr>
          <w:rFonts w:eastAsia="Calibri"/>
          <w:sz w:val="22"/>
          <w:szCs w:val="22"/>
        </w:rPr>
      </w:pPr>
    </w:p>
    <w:p w14:paraId="406652BB" w14:textId="77777777" w:rsidR="00FD0545" w:rsidRPr="00735D27" w:rsidRDefault="00FD0545" w:rsidP="00FD0545">
      <w:pPr>
        <w:contextualSpacing/>
        <w:jc w:val="both"/>
        <w:rPr>
          <w:rFonts w:eastAsia="Calibri"/>
          <w:sz w:val="22"/>
          <w:szCs w:val="22"/>
        </w:rPr>
      </w:pPr>
      <w:r w:rsidRPr="00735D27">
        <w:rPr>
          <w:rFonts w:eastAsia="Calibri"/>
          <w:sz w:val="22"/>
          <w:szCs w:val="22"/>
        </w:rPr>
        <w:t>(12) Értelmező rendelkezések:</w:t>
      </w:r>
    </w:p>
    <w:p w14:paraId="308095D8" w14:textId="77777777" w:rsidR="00FD0545" w:rsidRPr="00735D27" w:rsidRDefault="00FD0545" w:rsidP="00FD0545">
      <w:pPr>
        <w:contextualSpacing/>
        <w:jc w:val="both"/>
        <w:rPr>
          <w:rFonts w:eastAsia="Calibri"/>
          <w:sz w:val="22"/>
          <w:szCs w:val="22"/>
        </w:rPr>
      </w:pPr>
      <w:r w:rsidRPr="00735D27">
        <w:rPr>
          <w:rFonts w:eastAsia="Calibri"/>
          <w:sz w:val="22"/>
          <w:szCs w:val="22"/>
        </w:rPr>
        <w:t>ÖSSZPONT: a tudományos területen összegyűjtött pontok összege</w:t>
      </w:r>
    </w:p>
    <w:p w14:paraId="50014500" w14:textId="77777777" w:rsidR="00FD0545" w:rsidRPr="00735D27" w:rsidRDefault="00FD0545" w:rsidP="00FD0545">
      <w:pPr>
        <w:contextualSpacing/>
        <w:jc w:val="both"/>
        <w:rPr>
          <w:rFonts w:eastAsia="Calibri"/>
          <w:sz w:val="22"/>
          <w:szCs w:val="22"/>
        </w:rPr>
      </w:pPr>
      <w:r w:rsidRPr="00735D27">
        <w:rPr>
          <w:rFonts w:eastAsia="Calibri"/>
          <w:sz w:val="22"/>
          <w:szCs w:val="22"/>
        </w:rPr>
        <w:t>PILLÉRPONT: besorolástól függően 0-3 pontig terjedő skálán</w:t>
      </w:r>
    </w:p>
    <w:p w14:paraId="5BC1006B"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lastRenderedPageBreak/>
        <w:t xml:space="preserve">- tanársegéd= </w:t>
      </w:r>
      <w:proofErr w:type="spellStart"/>
      <w:r w:rsidRPr="00735D27">
        <w:rPr>
          <w:rFonts w:eastAsia="Calibri"/>
          <w:sz w:val="22"/>
          <w:szCs w:val="22"/>
        </w:rPr>
        <w:t>összpontszám</w:t>
      </w:r>
      <w:proofErr w:type="spellEnd"/>
      <w:r w:rsidRPr="00735D27">
        <w:rPr>
          <w:rFonts w:eastAsia="Calibri"/>
          <w:sz w:val="22"/>
          <w:szCs w:val="22"/>
        </w:rPr>
        <w:t>/10 – százalékban meghatározva;</w:t>
      </w:r>
    </w:p>
    <w:p w14:paraId="1639E689"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adjunktus= </w:t>
      </w:r>
      <w:proofErr w:type="spellStart"/>
      <w:r w:rsidRPr="00735D27">
        <w:rPr>
          <w:rFonts w:eastAsia="Calibri"/>
          <w:sz w:val="22"/>
          <w:szCs w:val="22"/>
        </w:rPr>
        <w:t>összpontszám</w:t>
      </w:r>
      <w:proofErr w:type="spellEnd"/>
      <w:r w:rsidRPr="00735D27">
        <w:rPr>
          <w:rFonts w:eastAsia="Calibri"/>
          <w:sz w:val="22"/>
          <w:szCs w:val="22"/>
        </w:rPr>
        <w:t>/17 – százalékban meghatározva;</w:t>
      </w:r>
    </w:p>
    <w:p w14:paraId="464DCB31"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docens= </w:t>
      </w:r>
      <w:proofErr w:type="spellStart"/>
      <w:r w:rsidRPr="00735D27">
        <w:rPr>
          <w:rFonts w:eastAsia="Calibri"/>
          <w:sz w:val="22"/>
          <w:szCs w:val="22"/>
        </w:rPr>
        <w:t>összpontszám</w:t>
      </w:r>
      <w:proofErr w:type="spellEnd"/>
      <w:r w:rsidRPr="00735D27">
        <w:rPr>
          <w:rFonts w:eastAsia="Calibri"/>
          <w:sz w:val="22"/>
          <w:szCs w:val="22"/>
        </w:rPr>
        <w:t>/33 – százalékban meghatározva;</w:t>
      </w:r>
    </w:p>
    <w:p w14:paraId="31790433"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egyetemi tanár = </w:t>
      </w:r>
      <w:proofErr w:type="spellStart"/>
      <w:r w:rsidRPr="00735D27">
        <w:rPr>
          <w:rFonts w:eastAsia="Calibri"/>
          <w:sz w:val="22"/>
          <w:szCs w:val="22"/>
        </w:rPr>
        <w:t>összpontszám</w:t>
      </w:r>
      <w:proofErr w:type="spellEnd"/>
      <w:r w:rsidRPr="00735D27">
        <w:rPr>
          <w:rFonts w:eastAsia="Calibri"/>
          <w:sz w:val="22"/>
          <w:szCs w:val="22"/>
        </w:rPr>
        <w:t>/11 – százalékban meghatározva)</w:t>
      </w:r>
    </w:p>
    <w:p w14:paraId="0AA2D380" w14:textId="77777777" w:rsidR="00FD0545" w:rsidRPr="00735D27" w:rsidRDefault="00FD0545" w:rsidP="00FD0545">
      <w:pPr>
        <w:contextualSpacing/>
        <w:jc w:val="both"/>
        <w:rPr>
          <w:rFonts w:eastAsia="Calibri"/>
          <w:sz w:val="22"/>
          <w:szCs w:val="22"/>
        </w:rPr>
      </w:pPr>
      <w:r w:rsidRPr="00735D27">
        <w:rPr>
          <w:rFonts w:eastAsia="Calibri"/>
          <w:sz w:val="22"/>
          <w:szCs w:val="22"/>
        </w:rPr>
        <w:t>Ha az így kapott eredmény &lt;=29%-</w:t>
      </w:r>
      <w:proofErr w:type="spellStart"/>
      <w:r w:rsidRPr="00735D27">
        <w:rPr>
          <w:rFonts w:eastAsia="Calibri"/>
          <w:sz w:val="22"/>
          <w:szCs w:val="22"/>
        </w:rPr>
        <w:t>nál</w:t>
      </w:r>
      <w:proofErr w:type="spellEnd"/>
      <w:r w:rsidRPr="00735D27">
        <w:rPr>
          <w:rFonts w:eastAsia="Calibri"/>
          <w:sz w:val="22"/>
          <w:szCs w:val="22"/>
        </w:rPr>
        <w:t xml:space="preserve">, akkor 0pont; </w:t>
      </w:r>
      <w:proofErr w:type="gramStart"/>
      <w:r w:rsidRPr="00735D27">
        <w:rPr>
          <w:rFonts w:eastAsia="Calibri"/>
          <w:sz w:val="22"/>
          <w:szCs w:val="22"/>
        </w:rPr>
        <w:t>ha &gt;29</w:t>
      </w:r>
      <w:proofErr w:type="gramEnd"/>
      <w:r w:rsidRPr="00735D27">
        <w:rPr>
          <w:rFonts w:eastAsia="Calibri"/>
          <w:sz w:val="22"/>
          <w:szCs w:val="22"/>
        </w:rPr>
        <w:t xml:space="preserve">, de &lt;=59%, akkor 1pont; </w:t>
      </w:r>
    </w:p>
    <w:p w14:paraId="2398871B" w14:textId="77777777" w:rsidR="00FD0545" w:rsidRPr="00735D27" w:rsidRDefault="00FD0545" w:rsidP="00FD0545">
      <w:pPr>
        <w:contextualSpacing/>
        <w:jc w:val="both"/>
        <w:rPr>
          <w:rFonts w:eastAsia="Calibri"/>
          <w:sz w:val="22"/>
          <w:szCs w:val="22"/>
        </w:rPr>
      </w:pPr>
      <w:proofErr w:type="gramStart"/>
      <w:r w:rsidRPr="00735D27">
        <w:rPr>
          <w:rFonts w:eastAsia="Calibri"/>
          <w:sz w:val="22"/>
          <w:szCs w:val="22"/>
        </w:rPr>
        <w:t>ha</w:t>
      </w:r>
      <w:proofErr w:type="gramEnd"/>
      <w:r w:rsidRPr="00735D27">
        <w:rPr>
          <w:rFonts w:eastAsia="Calibri"/>
          <w:sz w:val="22"/>
          <w:szCs w:val="22"/>
        </w:rPr>
        <w:t xml:space="preserve"> &gt;59%, de &lt;=79%, akkor 2pont; ha &gt;79%, de &lt;=100%, akkor 3pont; ha &gt;100%, akkor 3pont.</w:t>
      </w:r>
    </w:p>
    <w:p w14:paraId="2D83D3BA" w14:textId="77777777" w:rsidR="00FD0545" w:rsidRPr="00735D27" w:rsidRDefault="00FD0545" w:rsidP="00FD0545">
      <w:pPr>
        <w:contextualSpacing/>
        <w:jc w:val="both"/>
        <w:rPr>
          <w:rFonts w:eastAsia="Calibri"/>
          <w:sz w:val="22"/>
          <w:szCs w:val="22"/>
        </w:rPr>
      </w:pPr>
    </w:p>
    <w:p w14:paraId="355E53E6" w14:textId="77777777" w:rsidR="00FD0545" w:rsidRPr="00735D27" w:rsidRDefault="00FD0545" w:rsidP="00FD0545">
      <w:pPr>
        <w:contextualSpacing/>
        <w:jc w:val="both"/>
        <w:rPr>
          <w:rFonts w:eastAsia="Calibri"/>
          <w:sz w:val="22"/>
          <w:szCs w:val="22"/>
          <w:u w:val="single"/>
        </w:rPr>
      </w:pPr>
      <w:r w:rsidRPr="00735D27">
        <w:rPr>
          <w:rFonts w:eastAsia="Calibri"/>
          <w:b/>
          <w:sz w:val="22"/>
          <w:szCs w:val="22"/>
        </w:rPr>
        <w:t>9. §</w:t>
      </w:r>
      <w:r w:rsidRPr="00735D27">
        <w:rPr>
          <w:rFonts w:eastAsia="Calibri"/>
          <w:sz w:val="22"/>
          <w:szCs w:val="22"/>
        </w:rPr>
        <w:t xml:space="preserve"> (1) </w:t>
      </w:r>
      <w:proofErr w:type="gramStart"/>
      <w:r w:rsidRPr="00735D27">
        <w:rPr>
          <w:rFonts w:eastAsia="Calibri"/>
          <w:sz w:val="22"/>
          <w:szCs w:val="22"/>
        </w:rPr>
        <w:t>Adminisztrációs</w:t>
      </w:r>
      <w:proofErr w:type="gramEnd"/>
      <w:r w:rsidRPr="00735D27">
        <w:rPr>
          <w:rFonts w:eastAsia="Calibri"/>
          <w:sz w:val="22"/>
          <w:szCs w:val="22"/>
        </w:rPr>
        <w:t xml:space="preserve"> területen az értékelés a jelen §-</w:t>
      </w:r>
      <w:proofErr w:type="spellStart"/>
      <w:r w:rsidRPr="00735D27">
        <w:rPr>
          <w:rFonts w:eastAsia="Calibri"/>
          <w:sz w:val="22"/>
          <w:szCs w:val="22"/>
        </w:rPr>
        <w:t>ban</w:t>
      </w:r>
      <w:proofErr w:type="spellEnd"/>
      <w:r w:rsidRPr="00735D27">
        <w:rPr>
          <w:rFonts w:eastAsia="Calibri"/>
          <w:sz w:val="22"/>
          <w:szCs w:val="22"/>
        </w:rPr>
        <w:t xml:space="preserve"> foglaltak figyelembevételével történik.</w:t>
      </w:r>
    </w:p>
    <w:p w14:paraId="7EC56369" w14:textId="77777777" w:rsidR="00FD0545" w:rsidRPr="00735D27" w:rsidRDefault="00FD0545" w:rsidP="00FD0545">
      <w:pPr>
        <w:contextualSpacing/>
        <w:jc w:val="both"/>
        <w:rPr>
          <w:rFonts w:eastAsia="Calibri"/>
          <w:sz w:val="22"/>
          <w:szCs w:val="22"/>
        </w:rPr>
      </w:pPr>
    </w:p>
    <w:p w14:paraId="7583B092" w14:textId="77777777" w:rsidR="00FD0545" w:rsidRPr="00735D27" w:rsidRDefault="00FD0545" w:rsidP="00FD0545">
      <w:pPr>
        <w:contextualSpacing/>
        <w:rPr>
          <w:rFonts w:eastAsia="Calibri"/>
          <w:sz w:val="22"/>
          <w:szCs w:val="22"/>
        </w:rPr>
      </w:pPr>
      <w:r w:rsidRPr="00735D27">
        <w:rPr>
          <w:rFonts w:eastAsia="Calibri"/>
          <w:sz w:val="22"/>
          <w:szCs w:val="22"/>
        </w:rPr>
        <w:t>(2) Tisztségek:</w:t>
      </w:r>
    </w:p>
    <w:p w14:paraId="5819D3F0"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dékán, dékánhelyettes= 40 pont</w:t>
      </w:r>
    </w:p>
    <w:p w14:paraId="71E4849D"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doktori </w:t>
      </w:r>
      <w:proofErr w:type="gramStart"/>
      <w:r w:rsidRPr="00735D27">
        <w:rPr>
          <w:rFonts w:eastAsia="Calibri"/>
          <w:sz w:val="22"/>
          <w:szCs w:val="22"/>
        </w:rPr>
        <w:t>iskola vezető</w:t>
      </w:r>
      <w:proofErr w:type="gramEnd"/>
      <w:r w:rsidRPr="00735D27">
        <w:rPr>
          <w:rFonts w:eastAsia="Calibri"/>
          <w:sz w:val="22"/>
          <w:szCs w:val="22"/>
        </w:rPr>
        <w:t>= 20 pont</w:t>
      </w:r>
    </w:p>
    <w:p w14:paraId="66C0607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doktori </w:t>
      </w:r>
      <w:proofErr w:type="gramStart"/>
      <w:r w:rsidRPr="00735D27">
        <w:rPr>
          <w:rFonts w:eastAsia="Calibri"/>
          <w:sz w:val="22"/>
          <w:szCs w:val="22"/>
        </w:rPr>
        <w:t>program vezető</w:t>
      </w:r>
      <w:proofErr w:type="gramEnd"/>
      <w:r w:rsidRPr="00735D27">
        <w:rPr>
          <w:rFonts w:eastAsia="Calibri"/>
          <w:sz w:val="22"/>
          <w:szCs w:val="22"/>
        </w:rPr>
        <w:t>= 20 pont</w:t>
      </w:r>
    </w:p>
    <w:p w14:paraId="7D42732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intézetigazgató= 30</w:t>
      </w:r>
    </w:p>
    <w:p w14:paraId="79486D8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intézetigazgató-helyettes= 15 pont</w:t>
      </w:r>
    </w:p>
    <w:p w14:paraId="6A9F475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tanszékvezető= 25 pont</w:t>
      </w:r>
    </w:p>
    <w:p w14:paraId="7B807FFC"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tanszékvezető-helyettes= 10 pont</w:t>
      </w:r>
    </w:p>
    <w:p w14:paraId="0BBAED45"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szakfelelős= 10 pont</w:t>
      </w:r>
    </w:p>
    <w:p w14:paraId="1D2D3A53"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szakirányfelelős= 10 pont</w:t>
      </w:r>
    </w:p>
    <w:p w14:paraId="6B2335D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egyetemi-, kari bizottság elnöke= 15 pont</w:t>
      </w:r>
    </w:p>
    <w:p w14:paraId="40D5D2C6"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egyetemi-, kari bizottság tagja= bizottságok száma x 10 pont</w:t>
      </w:r>
    </w:p>
    <w:p w14:paraId="6603C307"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kari tanács tagja= 10 pont</w:t>
      </w:r>
    </w:p>
    <w:p w14:paraId="395DE039"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kari TDK ügyintéző= 15 pont</w:t>
      </w:r>
    </w:p>
    <w:p w14:paraId="616FCE23"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intézeti, tanszéki TDK= 10 pont</w:t>
      </w:r>
    </w:p>
    <w:p w14:paraId="1943EFFB"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szakkollégium vezető= 20 pont</w:t>
      </w:r>
    </w:p>
    <w:p w14:paraId="5E5A2CCD"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MAB-szakértő= 10 pont</w:t>
      </w:r>
    </w:p>
    <w:p w14:paraId="44758C4A"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intézeti/tanszéki honlap kezelője= 10 pont</w:t>
      </w:r>
    </w:p>
    <w:p w14:paraId="6C93C839" w14:textId="77777777" w:rsidR="00FD0545" w:rsidRPr="00735D27" w:rsidRDefault="00FD0545" w:rsidP="00F83E93">
      <w:pPr>
        <w:numPr>
          <w:ilvl w:val="0"/>
          <w:numId w:val="143"/>
        </w:numPr>
        <w:ind w:left="714" w:hanging="357"/>
        <w:contextualSpacing/>
        <w:jc w:val="both"/>
        <w:rPr>
          <w:rFonts w:eastAsia="Calibri"/>
          <w:sz w:val="22"/>
          <w:szCs w:val="22"/>
        </w:rPr>
      </w:pPr>
      <w:r w:rsidRPr="00735D27">
        <w:rPr>
          <w:rFonts w:eastAsia="Calibri"/>
          <w:sz w:val="22"/>
          <w:szCs w:val="22"/>
        </w:rPr>
        <w:t>Egyéb intézeti/tanszéki feladatkörök (szöveges mező, pontosan beírandó)= 5 pont</w:t>
      </w:r>
    </w:p>
    <w:p w14:paraId="7C752EA3" w14:textId="77777777" w:rsidR="00FD0545" w:rsidRPr="00735D27" w:rsidRDefault="00FD0545" w:rsidP="00FD0545">
      <w:pPr>
        <w:contextualSpacing/>
        <w:jc w:val="both"/>
        <w:rPr>
          <w:rFonts w:eastAsia="Calibri"/>
          <w:sz w:val="22"/>
          <w:szCs w:val="22"/>
        </w:rPr>
      </w:pPr>
    </w:p>
    <w:p w14:paraId="368B0DD7" w14:textId="77777777" w:rsidR="00FD0545" w:rsidRPr="00735D27" w:rsidRDefault="00FD0545" w:rsidP="00FD0545">
      <w:pPr>
        <w:contextualSpacing/>
        <w:jc w:val="both"/>
        <w:rPr>
          <w:rFonts w:eastAsia="Calibri"/>
          <w:sz w:val="22"/>
          <w:szCs w:val="22"/>
        </w:rPr>
      </w:pPr>
      <w:r w:rsidRPr="00735D27">
        <w:rPr>
          <w:rFonts w:eastAsia="Calibri"/>
          <w:sz w:val="22"/>
          <w:szCs w:val="22"/>
        </w:rPr>
        <w:t>(2) Felvételi referens, ERASMUS koordinátor (dokumentált teljesítés esetén):</w:t>
      </w:r>
    </w:p>
    <w:p w14:paraId="0F9EB6DE"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Felvételi referens= szemeszterenként 5 pont</w:t>
      </w:r>
    </w:p>
    <w:p w14:paraId="56DA1A3F" w14:textId="77777777" w:rsidR="00FD0545" w:rsidRPr="00735D27" w:rsidRDefault="00FD0545" w:rsidP="00F83E93">
      <w:pPr>
        <w:numPr>
          <w:ilvl w:val="0"/>
          <w:numId w:val="143"/>
        </w:numPr>
        <w:ind w:left="714" w:hanging="357"/>
        <w:contextualSpacing/>
        <w:jc w:val="both"/>
        <w:rPr>
          <w:rFonts w:eastAsia="Calibri"/>
          <w:sz w:val="22"/>
          <w:szCs w:val="22"/>
        </w:rPr>
      </w:pPr>
      <w:r w:rsidRPr="00735D27">
        <w:rPr>
          <w:rFonts w:eastAsia="Calibri"/>
          <w:sz w:val="22"/>
          <w:szCs w:val="22"/>
        </w:rPr>
        <w:t>Erasmus koordinátor= szemeszterenként 5 pont</w:t>
      </w:r>
    </w:p>
    <w:p w14:paraId="082DB430" w14:textId="77777777" w:rsidR="00FD0545" w:rsidRPr="00735D27" w:rsidRDefault="00FD0545" w:rsidP="00FD0545">
      <w:pPr>
        <w:contextualSpacing/>
        <w:jc w:val="both"/>
        <w:rPr>
          <w:rFonts w:eastAsia="Calibri"/>
          <w:sz w:val="22"/>
          <w:szCs w:val="22"/>
        </w:rPr>
      </w:pPr>
    </w:p>
    <w:p w14:paraId="5C664BFC" w14:textId="77777777" w:rsidR="00FD0545" w:rsidRPr="00735D27" w:rsidRDefault="00FD0545" w:rsidP="00FD0545">
      <w:pPr>
        <w:contextualSpacing/>
        <w:jc w:val="both"/>
        <w:rPr>
          <w:rFonts w:eastAsia="Calibri"/>
          <w:sz w:val="22"/>
          <w:szCs w:val="22"/>
        </w:rPr>
      </w:pPr>
      <w:r w:rsidRPr="00735D27">
        <w:rPr>
          <w:rFonts w:eastAsia="Calibri"/>
          <w:sz w:val="22"/>
          <w:szCs w:val="22"/>
        </w:rPr>
        <w:t>(3) Közéleti munka:</w:t>
      </w:r>
    </w:p>
    <w:p w14:paraId="5B7DE560"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 xml:space="preserve">hazai </w:t>
      </w:r>
      <w:proofErr w:type="gramStart"/>
      <w:r w:rsidRPr="00735D27">
        <w:rPr>
          <w:rFonts w:eastAsia="Calibri"/>
          <w:sz w:val="22"/>
          <w:szCs w:val="22"/>
        </w:rPr>
        <w:t>konferencia</w:t>
      </w:r>
      <w:proofErr w:type="gramEnd"/>
      <w:r w:rsidRPr="00735D27">
        <w:rPr>
          <w:rFonts w:eastAsia="Calibri"/>
          <w:sz w:val="22"/>
          <w:szCs w:val="22"/>
        </w:rPr>
        <w:t xml:space="preserve"> szervezése= 3 pont</w:t>
      </w:r>
    </w:p>
    <w:p w14:paraId="07D5841F" w14:textId="77777777" w:rsidR="00FD0545" w:rsidRPr="00735D27" w:rsidRDefault="00FD0545" w:rsidP="00F83E93">
      <w:pPr>
        <w:numPr>
          <w:ilvl w:val="0"/>
          <w:numId w:val="143"/>
        </w:numPr>
        <w:ind w:left="714" w:hanging="357"/>
        <w:contextualSpacing/>
        <w:jc w:val="both"/>
        <w:rPr>
          <w:rFonts w:eastAsia="Calibri"/>
          <w:sz w:val="22"/>
          <w:szCs w:val="22"/>
        </w:rPr>
      </w:pPr>
      <w:r w:rsidRPr="00735D27">
        <w:rPr>
          <w:rFonts w:eastAsia="Calibri"/>
          <w:sz w:val="22"/>
          <w:szCs w:val="22"/>
        </w:rPr>
        <w:t xml:space="preserve">nemzetközi </w:t>
      </w:r>
      <w:proofErr w:type="gramStart"/>
      <w:r w:rsidRPr="00735D27">
        <w:rPr>
          <w:rFonts w:eastAsia="Calibri"/>
          <w:sz w:val="22"/>
          <w:szCs w:val="22"/>
        </w:rPr>
        <w:t>konferencia</w:t>
      </w:r>
      <w:proofErr w:type="gramEnd"/>
      <w:r w:rsidRPr="00735D27">
        <w:rPr>
          <w:rFonts w:eastAsia="Calibri"/>
          <w:sz w:val="22"/>
          <w:szCs w:val="22"/>
        </w:rPr>
        <w:t xml:space="preserve"> szervezése= 6 pont</w:t>
      </w:r>
    </w:p>
    <w:p w14:paraId="253A507C" w14:textId="77777777" w:rsidR="00FD0545" w:rsidRPr="00735D27" w:rsidRDefault="00FD0545" w:rsidP="00FD0545">
      <w:pPr>
        <w:contextualSpacing/>
        <w:jc w:val="both"/>
        <w:rPr>
          <w:rFonts w:eastAsia="Calibri"/>
          <w:sz w:val="22"/>
          <w:szCs w:val="22"/>
        </w:rPr>
      </w:pPr>
    </w:p>
    <w:p w14:paraId="492E79DE" w14:textId="77777777" w:rsidR="00FD0545" w:rsidRPr="00735D27" w:rsidRDefault="00FD0545" w:rsidP="00FD0545">
      <w:pPr>
        <w:contextualSpacing/>
        <w:jc w:val="both"/>
        <w:rPr>
          <w:rFonts w:eastAsia="Calibri"/>
          <w:sz w:val="22"/>
          <w:szCs w:val="22"/>
        </w:rPr>
      </w:pPr>
      <w:r w:rsidRPr="00735D27">
        <w:rPr>
          <w:rFonts w:eastAsia="Calibri"/>
          <w:sz w:val="22"/>
          <w:szCs w:val="22"/>
        </w:rPr>
        <w:t>(4) Eseti tevékenységek elszámolása:</w:t>
      </w:r>
    </w:p>
    <w:p w14:paraId="170604CE" w14:textId="77777777" w:rsidR="00FD0545" w:rsidRPr="00735D27" w:rsidRDefault="00FD0545" w:rsidP="00F83E93">
      <w:pPr>
        <w:numPr>
          <w:ilvl w:val="0"/>
          <w:numId w:val="143"/>
        </w:numPr>
        <w:contextualSpacing/>
        <w:jc w:val="both"/>
        <w:rPr>
          <w:rFonts w:eastAsia="Calibri"/>
          <w:sz w:val="22"/>
          <w:szCs w:val="22"/>
        </w:rPr>
      </w:pPr>
      <w:r w:rsidRPr="00735D27">
        <w:rPr>
          <w:rFonts w:eastAsia="Calibri"/>
          <w:sz w:val="22"/>
          <w:szCs w:val="22"/>
        </w:rPr>
        <w:t>Eseti tevékenységek munkaórában (megnevezés és igazolás a mellékleten)</w:t>
      </w:r>
    </w:p>
    <w:p w14:paraId="5CF30D6E" w14:textId="77777777" w:rsidR="00FD0545" w:rsidRPr="00735D27" w:rsidRDefault="00FD0545" w:rsidP="00FD0545">
      <w:pPr>
        <w:ind w:left="720"/>
        <w:contextualSpacing/>
        <w:jc w:val="both"/>
        <w:rPr>
          <w:rFonts w:eastAsia="Calibri"/>
          <w:sz w:val="22"/>
          <w:szCs w:val="22"/>
        </w:rPr>
      </w:pPr>
      <w:proofErr w:type="gramStart"/>
      <w:r w:rsidRPr="00735D27">
        <w:rPr>
          <w:rFonts w:eastAsia="Calibri"/>
          <w:sz w:val="22"/>
          <w:szCs w:val="22"/>
        </w:rPr>
        <w:t>óra</w:t>
      </w:r>
      <w:proofErr w:type="gramEnd"/>
      <w:r w:rsidRPr="00735D27">
        <w:rPr>
          <w:rFonts w:eastAsia="Calibri"/>
          <w:sz w:val="22"/>
          <w:szCs w:val="22"/>
        </w:rPr>
        <w:t>&lt;= 20, akkor 0pont; 20&lt;óra&lt;=30, akkor 5pont; 31&lt;óra&lt;=40, akkor 10pont; óra&gt;40, akkor 15pont</w:t>
      </w:r>
    </w:p>
    <w:p w14:paraId="73571072" w14:textId="77777777" w:rsidR="00FD0545" w:rsidRPr="00735D27" w:rsidRDefault="00FD0545" w:rsidP="00FD0545">
      <w:pPr>
        <w:contextualSpacing/>
        <w:jc w:val="both"/>
        <w:rPr>
          <w:rFonts w:eastAsia="Calibri"/>
          <w:sz w:val="22"/>
          <w:szCs w:val="22"/>
        </w:rPr>
      </w:pPr>
    </w:p>
    <w:p w14:paraId="6E1EDD4C" w14:textId="77777777" w:rsidR="00FD0545" w:rsidRPr="00735D27" w:rsidRDefault="00FD0545" w:rsidP="00FD0545">
      <w:pPr>
        <w:contextualSpacing/>
        <w:jc w:val="both"/>
        <w:rPr>
          <w:rFonts w:eastAsia="Calibri"/>
          <w:sz w:val="22"/>
          <w:szCs w:val="22"/>
        </w:rPr>
      </w:pPr>
      <w:r w:rsidRPr="00735D27">
        <w:rPr>
          <w:rFonts w:eastAsia="Calibri"/>
          <w:sz w:val="22"/>
          <w:szCs w:val="22"/>
        </w:rPr>
        <w:t>(5) Értelmező rendelkezések:</w:t>
      </w:r>
    </w:p>
    <w:p w14:paraId="311C9E6D"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ÖSSZPONT: az </w:t>
      </w:r>
      <w:proofErr w:type="gramStart"/>
      <w:r w:rsidRPr="00735D27">
        <w:rPr>
          <w:rFonts w:eastAsia="Calibri"/>
          <w:sz w:val="22"/>
          <w:szCs w:val="22"/>
        </w:rPr>
        <w:t>adminisztrációs</w:t>
      </w:r>
      <w:proofErr w:type="gramEnd"/>
      <w:r w:rsidRPr="00735D27">
        <w:rPr>
          <w:rFonts w:eastAsia="Calibri"/>
          <w:sz w:val="22"/>
          <w:szCs w:val="22"/>
        </w:rPr>
        <w:t xml:space="preserve"> területen összegyűjtött pontok összege</w:t>
      </w:r>
    </w:p>
    <w:p w14:paraId="31F69224" w14:textId="77777777" w:rsidR="00FD0545" w:rsidRPr="00735D27" w:rsidRDefault="00FD0545" w:rsidP="00FD0545">
      <w:pPr>
        <w:contextualSpacing/>
        <w:jc w:val="both"/>
        <w:rPr>
          <w:rFonts w:eastAsia="Calibri"/>
          <w:sz w:val="22"/>
          <w:szCs w:val="22"/>
        </w:rPr>
      </w:pPr>
      <w:r w:rsidRPr="00735D27">
        <w:rPr>
          <w:rFonts w:eastAsia="Calibri"/>
          <w:sz w:val="22"/>
          <w:szCs w:val="22"/>
        </w:rPr>
        <w:t>PILLÉRPONT: besorolástól függően 0-3 pontig terjedő skálán</w:t>
      </w:r>
    </w:p>
    <w:p w14:paraId="5B51410C"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tanársegéd= </w:t>
      </w:r>
      <w:proofErr w:type="spellStart"/>
      <w:r w:rsidRPr="00735D27">
        <w:rPr>
          <w:rFonts w:eastAsia="Calibri"/>
          <w:sz w:val="22"/>
          <w:szCs w:val="22"/>
        </w:rPr>
        <w:t>összpontszám</w:t>
      </w:r>
      <w:proofErr w:type="spellEnd"/>
      <w:r w:rsidRPr="00735D27">
        <w:rPr>
          <w:rFonts w:eastAsia="Calibri"/>
          <w:sz w:val="22"/>
          <w:szCs w:val="22"/>
        </w:rPr>
        <w:t>/30 – százalékban meghatározva;</w:t>
      </w:r>
    </w:p>
    <w:p w14:paraId="57395E9F"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adjunktus= </w:t>
      </w:r>
      <w:proofErr w:type="spellStart"/>
      <w:r w:rsidRPr="00735D27">
        <w:rPr>
          <w:rFonts w:eastAsia="Calibri"/>
          <w:sz w:val="22"/>
          <w:szCs w:val="22"/>
        </w:rPr>
        <w:t>összpontszám</w:t>
      </w:r>
      <w:proofErr w:type="spellEnd"/>
      <w:r w:rsidRPr="00735D27">
        <w:rPr>
          <w:rFonts w:eastAsia="Calibri"/>
          <w:sz w:val="22"/>
          <w:szCs w:val="22"/>
        </w:rPr>
        <w:t>/40 – százalékban meghatározva;</w:t>
      </w:r>
    </w:p>
    <w:p w14:paraId="4EEFDDDE"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docens= </w:t>
      </w:r>
      <w:proofErr w:type="spellStart"/>
      <w:r w:rsidRPr="00735D27">
        <w:rPr>
          <w:rFonts w:eastAsia="Calibri"/>
          <w:sz w:val="22"/>
          <w:szCs w:val="22"/>
        </w:rPr>
        <w:t>összpontszám</w:t>
      </w:r>
      <w:proofErr w:type="spellEnd"/>
      <w:r w:rsidRPr="00735D27">
        <w:rPr>
          <w:rFonts w:eastAsia="Calibri"/>
          <w:sz w:val="22"/>
          <w:szCs w:val="22"/>
        </w:rPr>
        <w:t>/50 – százalékban meghatározva;</w:t>
      </w:r>
    </w:p>
    <w:p w14:paraId="631F5AE6" w14:textId="77777777" w:rsidR="00FD0545" w:rsidRPr="00735D27" w:rsidRDefault="00FD0545" w:rsidP="00FD0545">
      <w:pPr>
        <w:ind w:left="708"/>
        <w:contextualSpacing/>
        <w:jc w:val="both"/>
        <w:rPr>
          <w:rFonts w:eastAsia="Calibri"/>
          <w:sz w:val="22"/>
          <w:szCs w:val="22"/>
        </w:rPr>
      </w:pPr>
      <w:r w:rsidRPr="00735D27">
        <w:rPr>
          <w:rFonts w:eastAsia="Calibri"/>
          <w:sz w:val="22"/>
          <w:szCs w:val="22"/>
        </w:rPr>
        <w:t xml:space="preserve">- egyetemi tanár = </w:t>
      </w:r>
      <w:proofErr w:type="spellStart"/>
      <w:r w:rsidRPr="00735D27">
        <w:rPr>
          <w:rFonts w:eastAsia="Calibri"/>
          <w:sz w:val="22"/>
          <w:szCs w:val="22"/>
        </w:rPr>
        <w:t>összpontszám</w:t>
      </w:r>
      <w:proofErr w:type="spellEnd"/>
      <w:r w:rsidRPr="00735D27">
        <w:rPr>
          <w:rFonts w:eastAsia="Calibri"/>
          <w:sz w:val="22"/>
          <w:szCs w:val="22"/>
        </w:rPr>
        <w:t>/60 – százalékban meghatározva)</w:t>
      </w:r>
    </w:p>
    <w:p w14:paraId="44EF0DCF" w14:textId="77777777" w:rsidR="00FD0545" w:rsidRPr="00735D27" w:rsidRDefault="00FD0545" w:rsidP="00FD0545">
      <w:pPr>
        <w:contextualSpacing/>
        <w:jc w:val="both"/>
        <w:rPr>
          <w:rFonts w:eastAsia="Calibri"/>
          <w:sz w:val="22"/>
          <w:szCs w:val="22"/>
        </w:rPr>
      </w:pPr>
      <w:r w:rsidRPr="00735D27">
        <w:rPr>
          <w:rFonts w:eastAsia="Calibri"/>
          <w:sz w:val="22"/>
          <w:szCs w:val="22"/>
        </w:rPr>
        <w:t>Ha az így kapott eredmény &lt;=29%-</w:t>
      </w:r>
      <w:proofErr w:type="spellStart"/>
      <w:r w:rsidRPr="00735D27">
        <w:rPr>
          <w:rFonts w:eastAsia="Calibri"/>
          <w:sz w:val="22"/>
          <w:szCs w:val="22"/>
        </w:rPr>
        <w:t>nál</w:t>
      </w:r>
      <w:proofErr w:type="spellEnd"/>
      <w:r w:rsidRPr="00735D27">
        <w:rPr>
          <w:rFonts w:eastAsia="Calibri"/>
          <w:sz w:val="22"/>
          <w:szCs w:val="22"/>
        </w:rPr>
        <w:t xml:space="preserve">, akkor 0pont; </w:t>
      </w:r>
      <w:proofErr w:type="gramStart"/>
      <w:r w:rsidRPr="00735D27">
        <w:rPr>
          <w:rFonts w:eastAsia="Calibri"/>
          <w:sz w:val="22"/>
          <w:szCs w:val="22"/>
        </w:rPr>
        <w:t>ha &gt;29</w:t>
      </w:r>
      <w:proofErr w:type="gramEnd"/>
      <w:r w:rsidRPr="00735D27">
        <w:rPr>
          <w:rFonts w:eastAsia="Calibri"/>
          <w:sz w:val="22"/>
          <w:szCs w:val="22"/>
        </w:rPr>
        <w:t>, de &lt;=59%, akkor 1pont; ha &gt;59%, de &lt;=79%, akkor 2pont; ha &gt;79%, de &lt;=100%, akkor 3pont; ha &gt;100%, akkor 3pont.</w:t>
      </w:r>
    </w:p>
    <w:p w14:paraId="21F19964" w14:textId="77777777" w:rsidR="00FD0545" w:rsidRPr="00735D27" w:rsidRDefault="00FD0545" w:rsidP="00FD0545">
      <w:pPr>
        <w:contextualSpacing/>
        <w:jc w:val="both"/>
        <w:rPr>
          <w:rFonts w:eastAsia="Calibri"/>
          <w:sz w:val="22"/>
          <w:szCs w:val="22"/>
        </w:rPr>
      </w:pPr>
    </w:p>
    <w:p w14:paraId="4C9646FA" w14:textId="77777777" w:rsidR="00FD0545" w:rsidRPr="00735D27" w:rsidRDefault="00FD0545" w:rsidP="00FD0545">
      <w:pPr>
        <w:contextualSpacing/>
        <w:jc w:val="both"/>
        <w:rPr>
          <w:rFonts w:eastAsia="Calibri"/>
          <w:sz w:val="22"/>
          <w:szCs w:val="22"/>
        </w:rPr>
      </w:pPr>
      <w:r w:rsidRPr="00735D27">
        <w:rPr>
          <w:rFonts w:eastAsia="Calibri"/>
          <w:b/>
          <w:sz w:val="22"/>
          <w:szCs w:val="22"/>
        </w:rPr>
        <w:t>10. §</w:t>
      </w:r>
      <w:r w:rsidRPr="00735D27">
        <w:rPr>
          <w:rFonts w:eastAsia="Calibri"/>
          <w:sz w:val="22"/>
          <w:szCs w:val="22"/>
        </w:rPr>
        <w:t xml:space="preserve"> (1) Mindösszesen az oktatási pillérpont, a tudományos pillérpont valamint az </w:t>
      </w:r>
      <w:proofErr w:type="gramStart"/>
      <w:r w:rsidRPr="00735D27">
        <w:rPr>
          <w:rFonts w:eastAsia="Calibri"/>
          <w:sz w:val="22"/>
          <w:szCs w:val="22"/>
        </w:rPr>
        <w:t>adminisztrációs</w:t>
      </w:r>
      <w:proofErr w:type="gramEnd"/>
      <w:r w:rsidRPr="00735D27">
        <w:rPr>
          <w:rFonts w:eastAsia="Calibri"/>
          <w:sz w:val="22"/>
          <w:szCs w:val="22"/>
        </w:rPr>
        <w:t xml:space="preserve"> pillérpont összegét kell figyelembe venni, ez az összes adja a TÉR pontszámot.</w:t>
      </w:r>
    </w:p>
    <w:p w14:paraId="3C2DC0C2" w14:textId="77777777" w:rsidR="00FD0545" w:rsidRPr="00735D27" w:rsidRDefault="00FD0545" w:rsidP="00FD0545">
      <w:pPr>
        <w:contextualSpacing/>
        <w:jc w:val="both"/>
        <w:rPr>
          <w:rFonts w:eastAsia="Calibri"/>
          <w:sz w:val="22"/>
          <w:szCs w:val="22"/>
        </w:rPr>
      </w:pPr>
      <w:r w:rsidRPr="00735D27">
        <w:rPr>
          <w:rFonts w:eastAsia="Calibri"/>
          <w:sz w:val="22"/>
          <w:szCs w:val="22"/>
        </w:rPr>
        <w:lastRenderedPageBreak/>
        <w:t>(2) TÉR PONTSZÁM=</w:t>
      </w:r>
      <w:r w:rsidRPr="00735D27">
        <w:rPr>
          <w:rFonts w:eastAsia="Calibri"/>
          <w:sz w:val="22"/>
          <w:szCs w:val="22"/>
        </w:rPr>
        <w:tab/>
      </w:r>
    </w:p>
    <w:p w14:paraId="4248A772" w14:textId="77777777" w:rsidR="00FD0545" w:rsidRPr="00735D27" w:rsidRDefault="00FD0545" w:rsidP="00FD0545">
      <w:pPr>
        <w:contextualSpacing/>
        <w:jc w:val="both"/>
        <w:rPr>
          <w:rFonts w:eastAsia="Calibri"/>
          <w:sz w:val="22"/>
          <w:szCs w:val="22"/>
        </w:rPr>
      </w:pPr>
      <w:r w:rsidRPr="00735D27">
        <w:rPr>
          <w:rFonts w:eastAsia="Calibri"/>
          <w:sz w:val="22"/>
          <w:szCs w:val="22"/>
        </w:rPr>
        <w:t>- mindösszesen pillérpont &lt;=2, akkor 0 – MINŐSÍTÉS = alkalmatlan</w:t>
      </w:r>
    </w:p>
    <w:p w14:paraId="784C9980" w14:textId="77777777" w:rsidR="00FD0545" w:rsidRPr="00735D27" w:rsidRDefault="00FD0545" w:rsidP="00F83E93">
      <w:pPr>
        <w:numPr>
          <w:ilvl w:val="0"/>
          <w:numId w:val="143"/>
        </w:numPr>
        <w:ind w:left="0" w:firstLine="0"/>
        <w:contextualSpacing/>
        <w:jc w:val="both"/>
        <w:rPr>
          <w:rFonts w:eastAsia="Calibri"/>
          <w:sz w:val="22"/>
          <w:szCs w:val="22"/>
        </w:rPr>
      </w:pPr>
      <w:proofErr w:type="gramStart"/>
      <w:r w:rsidRPr="00735D27">
        <w:rPr>
          <w:rFonts w:eastAsia="Calibri"/>
          <w:sz w:val="22"/>
          <w:szCs w:val="22"/>
        </w:rPr>
        <w:t>2&lt;</w:t>
      </w:r>
      <w:proofErr w:type="gramEnd"/>
      <w:r w:rsidRPr="00735D27">
        <w:rPr>
          <w:rFonts w:eastAsia="Calibri"/>
          <w:sz w:val="22"/>
          <w:szCs w:val="22"/>
        </w:rPr>
        <w:t>mindösszesen pillérpont &lt;=5, akkor 1 – MINŐSÍTÉS = kevéssé alkalmas</w:t>
      </w:r>
    </w:p>
    <w:p w14:paraId="2DA9C294" w14:textId="77777777" w:rsidR="00FD0545" w:rsidRPr="00735D27" w:rsidRDefault="00FD0545" w:rsidP="00F83E93">
      <w:pPr>
        <w:numPr>
          <w:ilvl w:val="0"/>
          <w:numId w:val="143"/>
        </w:numPr>
        <w:ind w:left="0" w:firstLine="0"/>
        <w:contextualSpacing/>
        <w:jc w:val="both"/>
        <w:rPr>
          <w:rFonts w:eastAsia="Calibri"/>
          <w:sz w:val="22"/>
          <w:szCs w:val="22"/>
        </w:rPr>
      </w:pPr>
      <w:proofErr w:type="gramStart"/>
      <w:r w:rsidRPr="00735D27">
        <w:rPr>
          <w:rFonts w:eastAsia="Calibri"/>
          <w:sz w:val="22"/>
          <w:szCs w:val="22"/>
        </w:rPr>
        <w:t>5&lt; mindösszesen</w:t>
      </w:r>
      <w:proofErr w:type="gramEnd"/>
      <w:r w:rsidRPr="00735D27">
        <w:rPr>
          <w:rFonts w:eastAsia="Calibri"/>
          <w:sz w:val="22"/>
          <w:szCs w:val="22"/>
        </w:rPr>
        <w:t xml:space="preserve"> pillérpont &lt;=7, akkor 2 – MINŐSÍTÉS = alkalmas</w:t>
      </w:r>
    </w:p>
    <w:p w14:paraId="649A8400" w14:textId="77777777" w:rsidR="00FD0545" w:rsidRPr="00735D27" w:rsidRDefault="00FD0545" w:rsidP="00F83E93">
      <w:pPr>
        <w:numPr>
          <w:ilvl w:val="0"/>
          <w:numId w:val="143"/>
        </w:numPr>
        <w:ind w:left="0" w:firstLine="0"/>
        <w:contextualSpacing/>
        <w:jc w:val="both"/>
        <w:rPr>
          <w:rFonts w:eastAsia="Calibri"/>
          <w:sz w:val="22"/>
          <w:szCs w:val="22"/>
        </w:rPr>
      </w:pPr>
      <w:r w:rsidRPr="00735D27">
        <w:rPr>
          <w:rFonts w:eastAsia="Calibri"/>
          <w:sz w:val="22"/>
          <w:szCs w:val="22"/>
        </w:rPr>
        <w:t xml:space="preserve">mindösszesen </w:t>
      </w:r>
      <w:proofErr w:type="gramStart"/>
      <w:r w:rsidRPr="00735D27">
        <w:rPr>
          <w:rFonts w:eastAsia="Calibri"/>
          <w:sz w:val="22"/>
          <w:szCs w:val="22"/>
        </w:rPr>
        <w:t>pillérpont &gt;7</w:t>
      </w:r>
      <w:proofErr w:type="gramEnd"/>
      <w:r w:rsidRPr="00735D27">
        <w:rPr>
          <w:rFonts w:eastAsia="Calibri"/>
          <w:sz w:val="22"/>
          <w:szCs w:val="22"/>
        </w:rPr>
        <w:t>, akkor 3 – MINŐSÍTÉS = kiválóan alkalmas</w:t>
      </w:r>
    </w:p>
    <w:p w14:paraId="16C6E4D8" w14:textId="77777777" w:rsidR="00FD0545" w:rsidRPr="00735D27" w:rsidRDefault="00FD0545" w:rsidP="00FD0545">
      <w:pPr>
        <w:contextualSpacing/>
        <w:jc w:val="both"/>
        <w:rPr>
          <w:rFonts w:eastAsia="Calibri"/>
          <w:sz w:val="22"/>
          <w:szCs w:val="22"/>
        </w:rPr>
      </w:pPr>
    </w:p>
    <w:p w14:paraId="6745FB12" w14:textId="77777777" w:rsidR="00FD0545" w:rsidRPr="00735D27" w:rsidRDefault="00FD0545" w:rsidP="00FD0545">
      <w:pPr>
        <w:contextualSpacing/>
        <w:jc w:val="both"/>
        <w:rPr>
          <w:rFonts w:eastAsia="Calibri"/>
          <w:sz w:val="22"/>
          <w:szCs w:val="22"/>
        </w:rPr>
      </w:pPr>
      <w:r w:rsidRPr="00735D27">
        <w:rPr>
          <w:rFonts w:eastAsia="Calibri"/>
          <w:sz w:val="22"/>
          <w:szCs w:val="22"/>
        </w:rPr>
        <w:t>(3) Amennyiben a munkavállaló bármely pillérpontja 0, úgy a teljes TÉR pontszáma is 0.</w:t>
      </w:r>
    </w:p>
    <w:p w14:paraId="02BDE21F" w14:textId="77777777" w:rsidR="00FD0545" w:rsidRPr="00735D27" w:rsidRDefault="00FD0545" w:rsidP="00FD0545">
      <w:pPr>
        <w:contextualSpacing/>
        <w:jc w:val="both"/>
        <w:rPr>
          <w:rFonts w:eastAsia="Calibri"/>
          <w:sz w:val="22"/>
          <w:szCs w:val="22"/>
        </w:rPr>
      </w:pPr>
    </w:p>
    <w:p w14:paraId="4998670C" w14:textId="77777777" w:rsidR="00FD0545" w:rsidRPr="00735D27" w:rsidRDefault="00FD0545" w:rsidP="00FD0545">
      <w:pPr>
        <w:contextualSpacing/>
        <w:jc w:val="center"/>
        <w:rPr>
          <w:rFonts w:eastAsia="Calibri"/>
          <w:b/>
          <w:sz w:val="22"/>
          <w:szCs w:val="22"/>
        </w:rPr>
      </w:pPr>
      <w:r w:rsidRPr="00735D27">
        <w:rPr>
          <w:rFonts w:eastAsia="Calibri"/>
          <w:b/>
          <w:sz w:val="22"/>
          <w:szCs w:val="22"/>
        </w:rPr>
        <w:t>Záró és hatályba léptető rendelkezések</w:t>
      </w:r>
    </w:p>
    <w:p w14:paraId="76B62282" w14:textId="77777777" w:rsidR="00FD0545" w:rsidRPr="00735D27" w:rsidRDefault="00FD0545" w:rsidP="00FD0545">
      <w:pPr>
        <w:contextualSpacing/>
        <w:jc w:val="center"/>
        <w:rPr>
          <w:rFonts w:eastAsia="Calibri"/>
          <w:b/>
          <w:sz w:val="22"/>
          <w:szCs w:val="22"/>
        </w:rPr>
      </w:pPr>
    </w:p>
    <w:p w14:paraId="4456BC54" w14:textId="77777777" w:rsidR="00FD0545" w:rsidRPr="00735D27" w:rsidRDefault="00FD0545" w:rsidP="00FD0545">
      <w:pPr>
        <w:contextualSpacing/>
        <w:jc w:val="both"/>
        <w:rPr>
          <w:rFonts w:eastAsia="Calibri"/>
          <w:sz w:val="22"/>
          <w:szCs w:val="22"/>
        </w:rPr>
      </w:pPr>
      <w:r w:rsidRPr="00735D27">
        <w:rPr>
          <w:rFonts w:eastAsia="Calibri"/>
          <w:b/>
          <w:sz w:val="22"/>
          <w:szCs w:val="22"/>
        </w:rPr>
        <w:t>11. §</w:t>
      </w:r>
      <w:r w:rsidRPr="00735D27">
        <w:rPr>
          <w:rFonts w:eastAsia="Calibri"/>
          <w:b/>
          <w:sz w:val="22"/>
          <w:szCs w:val="22"/>
        </w:rPr>
        <w:tab/>
        <w:t>(</w:t>
      </w:r>
      <w:r w:rsidRPr="00735D27">
        <w:rPr>
          <w:rFonts w:eastAsia="Calibri"/>
          <w:sz w:val="22"/>
          <w:szCs w:val="22"/>
        </w:rPr>
        <w:t>1) Jelen szabályzat a Szenátus általi elfogadás napján lép hatályba, a szabályzatot első alkalommal a 2019/2020. tanév tekintetében kell alkalmazni azzal, hogy az első évben nem alkalmazhatók a minősítés eredményéhez kapcsolódóan meghatározott jogkövetkezmények.</w:t>
      </w:r>
    </w:p>
    <w:p w14:paraId="4E83B9F5" w14:textId="77777777" w:rsidR="00FD0545" w:rsidRPr="00735D27" w:rsidRDefault="00FD0545" w:rsidP="00FD0545">
      <w:pPr>
        <w:contextualSpacing/>
        <w:jc w:val="both"/>
        <w:rPr>
          <w:rFonts w:eastAsia="Calibri"/>
          <w:sz w:val="22"/>
          <w:szCs w:val="22"/>
        </w:rPr>
      </w:pPr>
    </w:p>
    <w:p w14:paraId="2E81C4DF" w14:textId="77777777" w:rsidR="00FD0545" w:rsidRPr="00735D27" w:rsidRDefault="00FD0545" w:rsidP="00FD0545">
      <w:pPr>
        <w:contextualSpacing/>
        <w:jc w:val="both"/>
        <w:rPr>
          <w:rFonts w:eastAsia="Calibri"/>
          <w:sz w:val="22"/>
          <w:szCs w:val="22"/>
        </w:rPr>
      </w:pPr>
      <w:r w:rsidRPr="00735D27">
        <w:rPr>
          <w:rFonts w:eastAsia="Calibri"/>
          <w:sz w:val="22"/>
          <w:szCs w:val="22"/>
        </w:rPr>
        <w:t>(2) A TÉR elektronikus rendszerbe történő bevezetésével az adatok megteremtik annak a lehetőségét, hogy a 395/2015 (XII.12.) számú Kormányrendelet értelmében az oktató–kutatói közalkalmazotti értékelés informatikai támogatással valósuljon meg a Karon. Az első értékelési időszak pilotnak minősül. A munkavállaló értékelendő időszaka csak 2019. szeptember 1-ével veszi kezdetét. A 2018-2019-es tanévre vonatkozó értékelés a tapasztalatszerzés és az értékelő rendszer fejlesztését szolgálja.</w:t>
      </w:r>
    </w:p>
    <w:p w14:paraId="436A62D2" w14:textId="77777777" w:rsidR="00FD0545" w:rsidRPr="00735D27" w:rsidRDefault="00FD0545" w:rsidP="00FD0545">
      <w:pPr>
        <w:contextualSpacing/>
        <w:jc w:val="both"/>
        <w:rPr>
          <w:rFonts w:eastAsia="Calibri"/>
          <w:sz w:val="22"/>
          <w:szCs w:val="22"/>
        </w:rPr>
      </w:pPr>
    </w:p>
    <w:p w14:paraId="635DFAE3" w14:textId="77777777" w:rsidR="00FD0545" w:rsidRPr="00735D27" w:rsidRDefault="00FD0545" w:rsidP="00FD0545">
      <w:pPr>
        <w:contextualSpacing/>
        <w:jc w:val="both"/>
        <w:rPr>
          <w:rFonts w:eastAsia="Calibri"/>
          <w:sz w:val="22"/>
          <w:szCs w:val="22"/>
        </w:rPr>
      </w:pPr>
      <w:r w:rsidRPr="00735D27">
        <w:rPr>
          <w:rFonts w:eastAsia="Calibri"/>
          <w:sz w:val="22"/>
          <w:szCs w:val="22"/>
        </w:rPr>
        <w:t xml:space="preserve">(3) A Minőségfejlesztési Bizottság évente egyszer felülvizsgálja a TER működését és − amennyiben szükséges − javaslatot tesz a TER módosítására az egyetemi Oktatási Bizottságnak.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 tartalmáról a Kar dékáni utasításban rendelkezhet. </w:t>
      </w:r>
    </w:p>
    <w:p w14:paraId="276EC62F" w14:textId="77777777" w:rsidR="00FD0545" w:rsidRPr="00E13CE5" w:rsidRDefault="00FD0545" w:rsidP="00FD0545">
      <w:pPr>
        <w:contextualSpacing/>
        <w:jc w:val="both"/>
        <w:rPr>
          <w:rFonts w:eastAsia="Calibri"/>
          <w:b/>
          <w:i/>
          <w:sz w:val="22"/>
          <w:szCs w:val="22"/>
        </w:rPr>
      </w:pPr>
    </w:p>
    <w:p w14:paraId="5FB5CC3E" w14:textId="77777777" w:rsidR="00FD0545" w:rsidRPr="00E13CE5" w:rsidRDefault="00FD0545" w:rsidP="00FD0545">
      <w:pPr>
        <w:pStyle w:val="Cmsor1"/>
        <w:rPr>
          <w:rFonts w:eastAsia="Calibri"/>
        </w:rPr>
      </w:pPr>
      <w:r w:rsidRPr="00E13CE5">
        <w:rPr>
          <w:rFonts w:eastAsia="Calibri"/>
          <w:i/>
        </w:rPr>
        <w:br w:type="page"/>
      </w:r>
      <w:bookmarkStart w:id="356" w:name="_Toc21961968"/>
      <w:bookmarkStart w:id="357" w:name="_Toc58569576"/>
      <w:r w:rsidRPr="00E13CE5">
        <w:rPr>
          <w:rFonts w:eastAsia="Calibri"/>
        </w:rPr>
        <w:lastRenderedPageBreak/>
        <w:t>1/4. számú melléklet</w:t>
      </w:r>
      <w:bookmarkEnd w:id="356"/>
      <w:bookmarkEnd w:id="357"/>
    </w:p>
    <w:p w14:paraId="5C695830" w14:textId="77777777" w:rsidR="00FD0545" w:rsidRPr="00E13CE5" w:rsidRDefault="00FD0545" w:rsidP="00FD0545">
      <w:pPr>
        <w:pStyle w:val="Cmsor1"/>
        <w:spacing w:before="0" w:after="0"/>
        <w:rPr>
          <w:rFonts w:eastAsia="Calibri"/>
        </w:rPr>
      </w:pPr>
      <w:bookmarkStart w:id="358" w:name="_Toc21961969"/>
      <w:bookmarkStart w:id="359" w:name="_Toc58569577"/>
      <w:r w:rsidRPr="00E13CE5">
        <w:rPr>
          <w:rFonts w:eastAsia="Calibri"/>
        </w:rPr>
        <w:t>A Pécsi Tudományegyetem Egészségtudományi Karának</w:t>
      </w:r>
      <w:r>
        <w:rPr>
          <w:rFonts w:eastAsia="Calibri"/>
          <w:lang w:val="hu-HU"/>
        </w:rPr>
        <w:t xml:space="preserve"> </w:t>
      </w:r>
      <w:r w:rsidRPr="00E13CE5">
        <w:rPr>
          <w:rFonts w:eastAsia="Calibri"/>
        </w:rPr>
        <w:t>Teljesítményértékelési Szabályzata</w:t>
      </w:r>
      <w:bookmarkEnd w:id="358"/>
      <w:bookmarkEnd w:id="359"/>
    </w:p>
    <w:p w14:paraId="50691855" w14:textId="77777777" w:rsidR="00FD0545" w:rsidRPr="00E13CE5" w:rsidRDefault="00FD0545" w:rsidP="00FD0545">
      <w:pPr>
        <w:contextualSpacing/>
        <w:jc w:val="center"/>
        <w:rPr>
          <w:rFonts w:eastAsia="Calibri"/>
          <w:b/>
          <w:sz w:val="22"/>
          <w:szCs w:val="22"/>
        </w:rPr>
      </w:pPr>
    </w:p>
    <w:p w14:paraId="6AD7481F"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A Szabályzat célja</w:t>
      </w:r>
    </w:p>
    <w:p w14:paraId="5FF6C5E5" w14:textId="77777777" w:rsidR="00FD0545" w:rsidRPr="00E13CE5" w:rsidRDefault="00FD0545" w:rsidP="00FD0545">
      <w:pPr>
        <w:contextualSpacing/>
        <w:jc w:val="center"/>
        <w:rPr>
          <w:rFonts w:eastAsia="Calibri"/>
          <w:b/>
          <w:sz w:val="22"/>
          <w:szCs w:val="22"/>
        </w:rPr>
      </w:pPr>
    </w:p>
    <w:p w14:paraId="1912CD1E" w14:textId="77777777" w:rsidR="00FD0545" w:rsidRPr="00E13CE5" w:rsidRDefault="00FD0545" w:rsidP="00FD0545">
      <w:pPr>
        <w:jc w:val="both"/>
        <w:rPr>
          <w:rFonts w:eastAsia="Calibri"/>
          <w:sz w:val="22"/>
          <w:szCs w:val="22"/>
        </w:rPr>
      </w:pPr>
      <w:r w:rsidRPr="00E13CE5">
        <w:rPr>
          <w:rFonts w:eastAsia="Calibri"/>
          <w:b/>
          <w:sz w:val="22"/>
          <w:szCs w:val="22"/>
        </w:rPr>
        <w:t>1. §</w:t>
      </w:r>
      <w:r w:rsidRPr="00E13CE5">
        <w:rPr>
          <w:rFonts w:eastAsia="Calibri"/>
          <w:sz w:val="22"/>
          <w:szCs w:val="22"/>
        </w:rPr>
        <w:t xml:space="preserve"> (1) A Pécsi Tudományegyetem Egészségtudományi Kara (továbbiakban: Kar) által működtetett </w:t>
      </w:r>
      <w:proofErr w:type="gramStart"/>
      <w:r w:rsidRPr="00E13CE5">
        <w:rPr>
          <w:rFonts w:eastAsia="Calibri"/>
          <w:sz w:val="22"/>
          <w:szCs w:val="22"/>
        </w:rPr>
        <w:t>komplex</w:t>
      </w:r>
      <w:proofErr w:type="gramEnd"/>
      <w:r w:rsidRPr="00E13CE5">
        <w:rPr>
          <w:rFonts w:eastAsia="Calibri"/>
          <w:sz w:val="22"/>
          <w:szCs w:val="22"/>
        </w:rPr>
        <w:t xml:space="preserve"> oktatói teljesítményértékelési rendszer (továbbiakban: TÉR) célja az egyéni oktatói és kutatói életpálya nyomon követése, támogatása, hatékonyságának és eredményességének javítása, illeszkedésének biztosítása a kari stratégiai célokhoz, fejlesztési irányokhoz. E cél elérése érdekében az alábbi szabályzatban kerülnek ismertetésre azok az elvárások, értékelési szempontok, melyek az évenként sorra kerülő oktatói teljesítményértékelés alapjait is jelentik. </w:t>
      </w:r>
    </w:p>
    <w:p w14:paraId="0153B319" w14:textId="77777777" w:rsidR="00FD0545" w:rsidRPr="00E13CE5" w:rsidRDefault="00FD0545" w:rsidP="00FD0545">
      <w:pPr>
        <w:jc w:val="both"/>
        <w:rPr>
          <w:rFonts w:eastAsia="Calibri"/>
          <w:sz w:val="22"/>
          <w:szCs w:val="22"/>
        </w:rPr>
      </w:pPr>
    </w:p>
    <w:p w14:paraId="030A663B" w14:textId="77777777" w:rsidR="00FD0545" w:rsidRPr="00E13CE5" w:rsidRDefault="00FD0545" w:rsidP="00FD0545">
      <w:pPr>
        <w:jc w:val="both"/>
        <w:rPr>
          <w:rFonts w:eastAsia="Calibri"/>
          <w:sz w:val="22"/>
          <w:szCs w:val="22"/>
        </w:rPr>
      </w:pPr>
      <w:r w:rsidRPr="00E13CE5">
        <w:rPr>
          <w:rFonts w:eastAsia="Calibri"/>
          <w:sz w:val="22"/>
          <w:szCs w:val="22"/>
        </w:rPr>
        <w:t>(2) A Pécsi Tudományegyetem Egészségtudományi Kar Teljesítményértékelési Szabályzata (továbbiakban: Szabályzat) tartalmazza az értékelési eljárás rendjét, folyamatleírását, továbbá az értékelési szempontokat, azok súlyait, a TÉR pontok számításának módját, képleteit.</w:t>
      </w:r>
    </w:p>
    <w:p w14:paraId="410095FD" w14:textId="77777777" w:rsidR="00FD0545" w:rsidRPr="00E13CE5" w:rsidRDefault="00FD0545" w:rsidP="00FD0545">
      <w:pPr>
        <w:contextualSpacing/>
        <w:jc w:val="both"/>
        <w:rPr>
          <w:rFonts w:eastAsia="Calibri"/>
          <w:sz w:val="22"/>
          <w:szCs w:val="22"/>
        </w:rPr>
      </w:pPr>
    </w:p>
    <w:p w14:paraId="4E86E4DC"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(3) A Kar jelen Szabályzat hatálya alá tartozó, oktatói munkakörben foglalkoztatott munkavállalóinak oktatói munkakörük ellátásával, fejlődésükkel és </w:t>
      </w:r>
      <w:proofErr w:type="gramStart"/>
      <w:r w:rsidRPr="00E13CE5">
        <w:rPr>
          <w:rFonts w:eastAsia="Calibri"/>
          <w:sz w:val="22"/>
          <w:szCs w:val="22"/>
        </w:rPr>
        <w:t>karrier</w:t>
      </w:r>
      <w:proofErr w:type="gramEnd"/>
      <w:r w:rsidRPr="00E13CE5">
        <w:rPr>
          <w:rFonts w:eastAsia="Calibri"/>
          <w:sz w:val="22"/>
          <w:szCs w:val="22"/>
        </w:rPr>
        <w:t xml:space="preserve"> elképzeléseikkel kapcsolatos egyéni céljait a Kar stratégiai céljaihoz, mint elváráshoz szükséges igazítani annak érdekében, hogy a Kar szervezeti szintű teljesítménye, a </w:t>
      </w:r>
      <w:proofErr w:type="spellStart"/>
      <w:r w:rsidRPr="00E13CE5">
        <w:rPr>
          <w:rFonts w:eastAsia="Calibri"/>
          <w:sz w:val="22"/>
          <w:szCs w:val="22"/>
        </w:rPr>
        <w:t>szinergikus</w:t>
      </w:r>
      <w:proofErr w:type="spellEnd"/>
      <w:r w:rsidRPr="00E13CE5">
        <w:rPr>
          <w:rFonts w:eastAsia="Calibri"/>
          <w:sz w:val="22"/>
          <w:szCs w:val="22"/>
        </w:rPr>
        <w:t xml:space="preserve"> hatások kiaknázásának köszönhetően az elvárt magas szintű legyen, különösen az oktatás és a kutatás területén. A TÉR célja az egyéni célok szervezeti célokhoz való hozzájárulásának biztosítása, értékelése, az egyéni teljesítmények e szempontból súlyozott elismerése, melynek segítségével a Kar minőségi működése, értékteremtő törekvésének maximalizálása biztosítható.</w:t>
      </w:r>
    </w:p>
    <w:p w14:paraId="2806A444" w14:textId="77777777" w:rsidR="00FD0545" w:rsidRPr="00E13CE5" w:rsidRDefault="00FD0545" w:rsidP="00FD0545">
      <w:pPr>
        <w:contextualSpacing/>
        <w:jc w:val="both"/>
        <w:rPr>
          <w:rFonts w:eastAsia="Calibri"/>
          <w:sz w:val="22"/>
          <w:szCs w:val="22"/>
        </w:rPr>
      </w:pPr>
    </w:p>
    <w:p w14:paraId="21D87E1A"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A Szabályzat tárgyi hatálya</w:t>
      </w:r>
    </w:p>
    <w:p w14:paraId="096A642B" w14:textId="77777777" w:rsidR="00FD0545" w:rsidRPr="00E13CE5" w:rsidRDefault="00FD0545" w:rsidP="00FD0545">
      <w:pPr>
        <w:contextualSpacing/>
        <w:jc w:val="both"/>
        <w:rPr>
          <w:rFonts w:eastAsia="Calibri"/>
          <w:sz w:val="22"/>
          <w:szCs w:val="22"/>
        </w:rPr>
      </w:pPr>
    </w:p>
    <w:p w14:paraId="51918C5A" w14:textId="77777777" w:rsidR="00FD0545" w:rsidRPr="00E13CE5" w:rsidRDefault="00FD0545" w:rsidP="00FD0545">
      <w:pPr>
        <w:contextualSpacing/>
        <w:jc w:val="both"/>
        <w:rPr>
          <w:rFonts w:eastAsia="Calibri"/>
          <w:sz w:val="22"/>
          <w:szCs w:val="22"/>
        </w:rPr>
      </w:pPr>
      <w:r w:rsidRPr="00E13CE5">
        <w:rPr>
          <w:rFonts w:eastAsia="Calibri"/>
          <w:b/>
          <w:sz w:val="22"/>
          <w:szCs w:val="22"/>
        </w:rPr>
        <w:t>2. §</w:t>
      </w:r>
      <w:r w:rsidRPr="00E13CE5">
        <w:rPr>
          <w:rFonts w:eastAsia="Calibri"/>
          <w:sz w:val="22"/>
          <w:szCs w:val="22"/>
        </w:rPr>
        <w:t xml:space="preserve"> A Szabályzat tárgya a Kar által bevezetett és működtetett teljesítményértékelési rendszer leírása, az azzal kapcsolatos eljárás, folyamatleírás és szempontrendszer szabályainak ismertetése, az egyes feladatok felelőseinek kijelölése.</w:t>
      </w:r>
    </w:p>
    <w:p w14:paraId="57C24484" w14:textId="77777777" w:rsidR="00FD0545" w:rsidRPr="00E13CE5" w:rsidRDefault="00FD0545" w:rsidP="00FD0545">
      <w:pPr>
        <w:contextualSpacing/>
        <w:jc w:val="both"/>
        <w:rPr>
          <w:rFonts w:eastAsia="Calibri"/>
          <w:sz w:val="22"/>
          <w:szCs w:val="22"/>
        </w:rPr>
      </w:pPr>
    </w:p>
    <w:p w14:paraId="52CB6467" w14:textId="77777777" w:rsidR="00FD0545" w:rsidRPr="00E13CE5" w:rsidRDefault="00FD0545" w:rsidP="00FD0545">
      <w:pPr>
        <w:contextualSpacing/>
        <w:jc w:val="both"/>
        <w:rPr>
          <w:rFonts w:eastAsia="Calibri"/>
          <w:sz w:val="22"/>
          <w:szCs w:val="22"/>
        </w:rPr>
      </w:pPr>
      <w:r w:rsidRPr="00E13CE5">
        <w:rPr>
          <w:rFonts w:eastAsia="Calibri"/>
          <w:b/>
          <w:sz w:val="22"/>
          <w:szCs w:val="22"/>
        </w:rPr>
        <w:t>3. §</w:t>
      </w:r>
      <w:r w:rsidRPr="00E13CE5">
        <w:rPr>
          <w:rFonts w:eastAsia="Calibri"/>
          <w:sz w:val="22"/>
          <w:szCs w:val="22"/>
        </w:rPr>
        <w:t xml:space="preserve"> A Szabályzat alapjául szolgáló TÉR megfelel a Pécsi Tudományegyetem Foglalkoztatási Követelményrendszere (a továbbiakban: </w:t>
      </w:r>
      <w:proofErr w:type="spellStart"/>
      <w:r w:rsidRPr="00E13CE5">
        <w:rPr>
          <w:rFonts w:eastAsia="Calibri"/>
          <w:sz w:val="22"/>
          <w:szCs w:val="22"/>
        </w:rPr>
        <w:t>Fkr</w:t>
      </w:r>
      <w:proofErr w:type="spellEnd"/>
      <w:r w:rsidRPr="00E13CE5">
        <w:rPr>
          <w:rFonts w:eastAsia="Calibri"/>
          <w:sz w:val="22"/>
          <w:szCs w:val="22"/>
        </w:rPr>
        <w:t>.) 51. § szerinti minősítésnek, továbbá a 395/2015. (XII. 12.) Korm. rendelet „a közalkalmazottak jogállásáról szóló 1992. évi XXXIII. törvény felsőoktatásban való végrehajtásáról és a felsőoktatási intézményben való foglalkoztatás egyes kérdéseiről” rendelkezéseinek.</w:t>
      </w:r>
    </w:p>
    <w:p w14:paraId="5FD7A533" w14:textId="77777777" w:rsidR="00FD0545" w:rsidRPr="00E13CE5" w:rsidRDefault="00FD0545" w:rsidP="00FD0545">
      <w:pPr>
        <w:contextualSpacing/>
        <w:jc w:val="both"/>
        <w:rPr>
          <w:rFonts w:eastAsia="Calibri"/>
          <w:sz w:val="22"/>
          <w:szCs w:val="22"/>
        </w:rPr>
      </w:pPr>
    </w:p>
    <w:p w14:paraId="6EE970F0"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A Szabályzat személyi hatálya</w:t>
      </w:r>
    </w:p>
    <w:p w14:paraId="0C9E981C" w14:textId="77777777" w:rsidR="00FD0545" w:rsidRPr="00E13CE5" w:rsidRDefault="00FD0545" w:rsidP="00FD0545">
      <w:pPr>
        <w:contextualSpacing/>
        <w:jc w:val="center"/>
        <w:rPr>
          <w:rFonts w:eastAsia="Calibri"/>
          <w:b/>
          <w:bCs/>
          <w:sz w:val="22"/>
          <w:szCs w:val="22"/>
        </w:rPr>
      </w:pPr>
    </w:p>
    <w:p w14:paraId="3B3E1375" w14:textId="77777777" w:rsidR="00FD0545" w:rsidRPr="00E13CE5" w:rsidRDefault="00FD0545" w:rsidP="00FD0545">
      <w:pPr>
        <w:contextualSpacing/>
        <w:jc w:val="both"/>
        <w:rPr>
          <w:rFonts w:eastAsia="Calibri"/>
          <w:sz w:val="22"/>
          <w:szCs w:val="22"/>
        </w:rPr>
      </w:pPr>
      <w:r w:rsidRPr="00E13CE5">
        <w:rPr>
          <w:rFonts w:eastAsia="Calibri"/>
          <w:b/>
          <w:sz w:val="22"/>
          <w:szCs w:val="22"/>
        </w:rPr>
        <w:t>4. §</w:t>
      </w:r>
      <w:r w:rsidRPr="00E13CE5">
        <w:rPr>
          <w:rFonts w:eastAsia="Calibri"/>
          <w:sz w:val="22"/>
          <w:szCs w:val="22"/>
        </w:rPr>
        <w:t xml:space="preserve"> (1) A Szabályzat személyi hatálya kiterjed a Karral közalkalmazotti jogviszonyban álló valamennyi oktatói, illetve kutatói munkakörben foglalkoztatott munkatársra. </w:t>
      </w:r>
    </w:p>
    <w:p w14:paraId="577D4C90" w14:textId="77777777" w:rsidR="00FD0545" w:rsidRPr="00E13CE5" w:rsidRDefault="00FD0545" w:rsidP="00FD0545">
      <w:pPr>
        <w:contextualSpacing/>
        <w:jc w:val="both"/>
        <w:rPr>
          <w:rFonts w:eastAsia="Calibri"/>
          <w:sz w:val="22"/>
          <w:szCs w:val="22"/>
        </w:rPr>
      </w:pPr>
    </w:p>
    <w:p w14:paraId="7CEF2114"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Az (1) bekezdéstől eltérően a próbaidő alatt álló, továbbá a tartós távolléten tartózkodó közalkalmazottakra távollétük időtartama alatt a Szabályzat hatálya nem terjed ki. </w:t>
      </w:r>
    </w:p>
    <w:p w14:paraId="7CD4E443" w14:textId="77777777" w:rsidR="00FD0545" w:rsidRPr="00E13CE5" w:rsidRDefault="00FD0545" w:rsidP="00FD0545">
      <w:pPr>
        <w:contextualSpacing/>
        <w:jc w:val="both"/>
        <w:rPr>
          <w:rFonts w:eastAsia="Calibri"/>
          <w:sz w:val="22"/>
          <w:szCs w:val="22"/>
        </w:rPr>
      </w:pPr>
    </w:p>
    <w:p w14:paraId="0E45E30B"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(3) A Szabályzat hatálya nem terjed ki továbbá az oktatási vagy kutatási tevékenységet végző, azonban nem közalkalmazotti </w:t>
      </w:r>
      <w:proofErr w:type="gramStart"/>
      <w:r w:rsidRPr="00E13CE5">
        <w:rPr>
          <w:rFonts w:eastAsia="Calibri"/>
          <w:sz w:val="22"/>
          <w:szCs w:val="22"/>
        </w:rPr>
        <w:t>státuszban</w:t>
      </w:r>
      <w:proofErr w:type="gramEnd"/>
      <w:r w:rsidRPr="00E13CE5">
        <w:rPr>
          <w:rFonts w:eastAsia="Calibri"/>
          <w:sz w:val="22"/>
          <w:szCs w:val="22"/>
        </w:rPr>
        <w:t xml:space="preserve"> foglalkoztatottakra (pl. megbízási szerződéses munkatársak, valamint emeritusok).</w:t>
      </w:r>
    </w:p>
    <w:p w14:paraId="2A23C47C" w14:textId="77777777" w:rsidR="00FD0545" w:rsidRPr="00E13CE5" w:rsidRDefault="00FD0545" w:rsidP="00FD0545">
      <w:pPr>
        <w:rPr>
          <w:rFonts w:eastAsia="Calibri"/>
          <w:sz w:val="22"/>
          <w:szCs w:val="22"/>
        </w:rPr>
      </w:pPr>
      <w:r w:rsidRPr="00E13CE5">
        <w:rPr>
          <w:rFonts w:eastAsia="Calibri"/>
          <w:sz w:val="22"/>
          <w:szCs w:val="22"/>
        </w:rPr>
        <w:br w:type="page"/>
      </w:r>
    </w:p>
    <w:p w14:paraId="39359852"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lastRenderedPageBreak/>
        <w:t>A TÉR célja</w:t>
      </w:r>
    </w:p>
    <w:p w14:paraId="5821625F" w14:textId="77777777" w:rsidR="00FD0545" w:rsidRPr="00E13CE5" w:rsidRDefault="00FD0545" w:rsidP="00FD0545">
      <w:pPr>
        <w:contextualSpacing/>
        <w:jc w:val="center"/>
        <w:rPr>
          <w:rFonts w:eastAsia="Calibri"/>
          <w:b/>
          <w:bCs/>
          <w:sz w:val="22"/>
          <w:szCs w:val="22"/>
        </w:rPr>
      </w:pPr>
    </w:p>
    <w:p w14:paraId="13C7B586" w14:textId="77777777" w:rsidR="00FD0545" w:rsidRPr="00E13CE5" w:rsidRDefault="00FD0545" w:rsidP="00FD0545">
      <w:pPr>
        <w:contextualSpacing/>
        <w:jc w:val="both"/>
        <w:rPr>
          <w:rFonts w:eastAsia="Calibri"/>
          <w:sz w:val="22"/>
          <w:szCs w:val="22"/>
        </w:rPr>
      </w:pPr>
      <w:r w:rsidRPr="00E13CE5">
        <w:rPr>
          <w:rFonts w:eastAsia="Calibri"/>
          <w:b/>
          <w:sz w:val="22"/>
          <w:szCs w:val="22"/>
        </w:rPr>
        <w:t>5. §</w:t>
      </w:r>
      <w:r w:rsidRPr="00E13CE5">
        <w:rPr>
          <w:rFonts w:eastAsia="Calibri"/>
          <w:sz w:val="22"/>
          <w:szCs w:val="22"/>
        </w:rPr>
        <w:t xml:space="preserve"> A Szabályzat 1.§-</w:t>
      </w:r>
      <w:proofErr w:type="spellStart"/>
      <w:r w:rsidRPr="00E13CE5">
        <w:rPr>
          <w:rFonts w:eastAsia="Calibri"/>
          <w:sz w:val="22"/>
          <w:szCs w:val="22"/>
        </w:rPr>
        <w:t>ában</w:t>
      </w:r>
      <w:proofErr w:type="spellEnd"/>
      <w:r w:rsidRPr="00E13CE5">
        <w:rPr>
          <w:rFonts w:eastAsia="Calibri"/>
          <w:sz w:val="22"/>
          <w:szCs w:val="22"/>
        </w:rPr>
        <w:t xml:space="preserve"> szereplő célok mérhetősége, az egyéni teljesítmények kari átlaggal, adott munkakörben foglalkoztatott munkavállalókkal történő összehasonlíthatóságának, továbbá az idősoros elemzés lehetőségének megteremtésével a saját fejlődés nyomon követhetőségének biztosítása céljából az Egészségtudományi Kar </w:t>
      </w:r>
      <w:proofErr w:type="gramStart"/>
      <w:r w:rsidRPr="00E13CE5">
        <w:rPr>
          <w:rFonts w:eastAsia="Calibri"/>
          <w:sz w:val="22"/>
          <w:szCs w:val="22"/>
        </w:rPr>
        <w:t>komplex</w:t>
      </w:r>
      <w:proofErr w:type="gramEnd"/>
      <w:r w:rsidRPr="00E13CE5">
        <w:rPr>
          <w:rFonts w:eastAsia="Calibri"/>
          <w:sz w:val="22"/>
          <w:szCs w:val="22"/>
        </w:rPr>
        <w:t xml:space="preserve"> teljesítményértékelési rendszert vezet be és működtet.</w:t>
      </w:r>
    </w:p>
    <w:p w14:paraId="6F8B9571" w14:textId="77777777" w:rsidR="00FD0545" w:rsidRPr="00E13CE5" w:rsidRDefault="00FD0545" w:rsidP="00FD0545">
      <w:pPr>
        <w:contextualSpacing/>
        <w:jc w:val="both"/>
        <w:rPr>
          <w:rFonts w:eastAsia="Calibri"/>
          <w:sz w:val="22"/>
          <w:szCs w:val="22"/>
        </w:rPr>
      </w:pPr>
    </w:p>
    <w:p w14:paraId="58F0FFFE" w14:textId="77777777" w:rsidR="00FD0545" w:rsidRPr="00E13CE5" w:rsidRDefault="00FD0545" w:rsidP="00FD0545">
      <w:pPr>
        <w:contextualSpacing/>
        <w:jc w:val="both"/>
        <w:rPr>
          <w:rFonts w:eastAsia="Calibri"/>
          <w:sz w:val="22"/>
          <w:szCs w:val="22"/>
        </w:rPr>
      </w:pPr>
      <w:r w:rsidRPr="00E13CE5">
        <w:rPr>
          <w:rFonts w:eastAsia="Calibri"/>
          <w:b/>
          <w:sz w:val="22"/>
          <w:szCs w:val="22"/>
        </w:rPr>
        <w:t>6. §</w:t>
      </w:r>
      <w:r w:rsidRPr="00E13CE5">
        <w:rPr>
          <w:rFonts w:eastAsia="Calibri"/>
          <w:sz w:val="22"/>
          <w:szCs w:val="22"/>
        </w:rPr>
        <w:t xml:space="preserve"> A TÉR hozzájárul az oktató és kutató munkatársak motivációjának fenntartásához, továbbá a vezető és a munkatárs közötti kapcsolat fejlesztéséhez; tükrözi a Kar stratégiai céljait, a célok elérését támogató eszközöket, módszereket, melyek területén a teljesítményt elismeri; továbbá kijelöli az értékelt számára a fejlődés lehetőségeit, azonosítja annak eszközeit.</w:t>
      </w:r>
    </w:p>
    <w:p w14:paraId="30999B80" w14:textId="77777777" w:rsidR="00FD0545" w:rsidRPr="00E13CE5" w:rsidRDefault="00FD0545" w:rsidP="00FD0545">
      <w:pPr>
        <w:contextualSpacing/>
        <w:jc w:val="both"/>
        <w:rPr>
          <w:rFonts w:eastAsia="Calibri"/>
          <w:sz w:val="22"/>
          <w:szCs w:val="22"/>
        </w:rPr>
      </w:pPr>
    </w:p>
    <w:p w14:paraId="0FEF4A61" w14:textId="77777777" w:rsidR="00FD0545" w:rsidRPr="00E13CE5" w:rsidRDefault="00FD0545" w:rsidP="00FD0545">
      <w:pPr>
        <w:contextualSpacing/>
        <w:jc w:val="both"/>
        <w:rPr>
          <w:rFonts w:eastAsia="Calibri"/>
          <w:sz w:val="22"/>
          <w:szCs w:val="22"/>
        </w:rPr>
      </w:pPr>
      <w:r w:rsidRPr="00E13CE5">
        <w:rPr>
          <w:rFonts w:eastAsia="Calibri"/>
          <w:b/>
          <w:sz w:val="22"/>
          <w:szCs w:val="22"/>
        </w:rPr>
        <w:t>7. §</w:t>
      </w:r>
      <w:r w:rsidRPr="00E13CE5">
        <w:rPr>
          <w:rFonts w:eastAsia="Calibri"/>
          <w:sz w:val="22"/>
          <w:szCs w:val="22"/>
        </w:rPr>
        <w:t xml:space="preserve"> A háromszintű értékelés eredménye a fentieken túl a megalapozott vezetői döntéshozatal eszköze.</w:t>
      </w:r>
    </w:p>
    <w:p w14:paraId="6A052CA6" w14:textId="77777777" w:rsidR="00FD0545" w:rsidRPr="00E13CE5" w:rsidRDefault="00FD0545" w:rsidP="00FD0545">
      <w:pPr>
        <w:contextualSpacing/>
        <w:jc w:val="both"/>
        <w:rPr>
          <w:rFonts w:eastAsia="Calibri"/>
          <w:sz w:val="22"/>
          <w:szCs w:val="22"/>
        </w:rPr>
      </w:pPr>
    </w:p>
    <w:p w14:paraId="638ECC19"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Értékelési szempontok</w:t>
      </w:r>
    </w:p>
    <w:p w14:paraId="7838B538" w14:textId="77777777" w:rsidR="00FD0545" w:rsidRPr="00E13CE5" w:rsidRDefault="00FD0545" w:rsidP="00FD0545">
      <w:pPr>
        <w:contextualSpacing/>
        <w:jc w:val="both"/>
        <w:rPr>
          <w:rFonts w:eastAsia="Calibri"/>
          <w:sz w:val="22"/>
          <w:szCs w:val="22"/>
        </w:rPr>
      </w:pPr>
    </w:p>
    <w:p w14:paraId="328D12E4" w14:textId="77777777" w:rsidR="00FD0545" w:rsidRPr="00E13CE5" w:rsidRDefault="00FD0545" w:rsidP="00FD0545">
      <w:pPr>
        <w:contextualSpacing/>
        <w:jc w:val="both"/>
        <w:rPr>
          <w:rFonts w:eastAsia="Calibri"/>
          <w:sz w:val="22"/>
          <w:szCs w:val="22"/>
        </w:rPr>
      </w:pPr>
      <w:r w:rsidRPr="00E13CE5">
        <w:rPr>
          <w:rFonts w:eastAsia="Calibri"/>
          <w:b/>
          <w:sz w:val="22"/>
          <w:szCs w:val="22"/>
        </w:rPr>
        <w:t>8. §</w:t>
      </w:r>
      <w:r w:rsidRPr="00E13CE5">
        <w:rPr>
          <w:rFonts w:eastAsia="Calibri"/>
          <w:sz w:val="22"/>
          <w:szCs w:val="22"/>
        </w:rPr>
        <w:t xml:space="preserve"> A TÉR négy szempontból (oktatási tevékenység, tudományos tevékenység, közéleti tevékenység, illetve vezetői munkakört betöltő munkavállaló esetén a vezetői tevékenység) értékeli a munkavállalót, minden szempont értékelése külön valósul meg.</w:t>
      </w:r>
    </w:p>
    <w:p w14:paraId="691A7DE2" w14:textId="77777777" w:rsidR="00FD0545" w:rsidRPr="00E13CE5" w:rsidRDefault="00FD0545" w:rsidP="00FD0545">
      <w:pPr>
        <w:contextualSpacing/>
        <w:jc w:val="both"/>
        <w:rPr>
          <w:rFonts w:eastAsia="Calibri"/>
          <w:sz w:val="22"/>
          <w:szCs w:val="22"/>
        </w:rPr>
      </w:pPr>
    </w:p>
    <w:p w14:paraId="385C24C3" w14:textId="77777777" w:rsidR="00FD0545" w:rsidRPr="00E13CE5" w:rsidRDefault="00FD0545" w:rsidP="00FD0545">
      <w:pPr>
        <w:contextualSpacing/>
        <w:jc w:val="both"/>
        <w:rPr>
          <w:rFonts w:eastAsia="Calibri"/>
          <w:sz w:val="22"/>
          <w:szCs w:val="22"/>
        </w:rPr>
      </w:pPr>
      <w:r w:rsidRPr="00E13CE5">
        <w:rPr>
          <w:rFonts w:eastAsia="Calibri"/>
          <w:b/>
          <w:sz w:val="22"/>
          <w:szCs w:val="22"/>
        </w:rPr>
        <w:t>9. §</w:t>
      </w:r>
      <w:r w:rsidRPr="00E13CE5">
        <w:rPr>
          <w:rFonts w:eastAsia="Calibri"/>
          <w:sz w:val="22"/>
          <w:szCs w:val="22"/>
        </w:rPr>
        <w:t xml:space="preserve"> (1) Az értékelési rendszer a 395/2015. (XII. 12.) Korm. rendelet „a közalkalmazottak jogállásáról szóló 1992. évi XXXIII. törvény felsőoktatásban való végrehajtásáról és a felsőoktatási intézményben való foglalkoztatás egyes kérdéseiről” 4.§ (1) bekezdés rendelkezéseinek megfelelően az alábbi szempontokra épülő </w:t>
      </w:r>
      <w:proofErr w:type="gramStart"/>
      <w:r w:rsidRPr="00E13CE5">
        <w:rPr>
          <w:rFonts w:eastAsia="Calibri"/>
          <w:sz w:val="22"/>
          <w:szCs w:val="22"/>
        </w:rPr>
        <w:t>komplex</w:t>
      </w:r>
      <w:proofErr w:type="gramEnd"/>
      <w:r w:rsidRPr="00E13CE5">
        <w:rPr>
          <w:rFonts w:eastAsia="Calibri"/>
          <w:sz w:val="22"/>
          <w:szCs w:val="22"/>
        </w:rPr>
        <w:t xml:space="preserve"> rendszer:</w:t>
      </w:r>
    </w:p>
    <w:p w14:paraId="41FB28A1"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 az oktatási, kutatási tevékenység ellátása, </w:t>
      </w:r>
    </w:p>
    <w:p w14:paraId="5B526F85"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az oktatáshoz kapcsolódó egyéb tevékenység (így különösen szakdolgozati témavezetés, tudományos diákköri tevékenység), </w:t>
      </w:r>
    </w:p>
    <w:p w14:paraId="048D22A7"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publikációs tevékenység, valamint egyéb, szellemi tulajdon védelme alá eső eredmények,</w:t>
      </w:r>
    </w:p>
    <w:p w14:paraId="35771245"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intézményi közéleti tevékenység, </w:t>
      </w:r>
    </w:p>
    <w:p w14:paraId="3404C459"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tudománynépszerűsítési feladatok, </w:t>
      </w:r>
      <w:proofErr w:type="gramStart"/>
      <w:r w:rsidRPr="00E13CE5">
        <w:rPr>
          <w:rFonts w:eastAsia="Calibri"/>
          <w:sz w:val="22"/>
          <w:szCs w:val="22"/>
        </w:rPr>
        <w:t>konferenciákon</w:t>
      </w:r>
      <w:proofErr w:type="gramEnd"/>
      <w:r w:rsidRPr="00E13CE5">
        <w:rPr>
          <w:rFonts w:eastAsia="Calibri"/>
          <w:sz w:val="22"/>
          <w:szCs w:val="22"/>
        </w:rPr>
        <w:t xml:space="preserve"> való részvétel terén nyújtott aktivitás, </w:t>
      </w:r>
    </w:p>
    <w:p w14:paraId="35ED57A9"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pályázatokban való részvétel terén nyújtott </w:t>
      </w:r>
      <w:proofErr w:type="gramStart"/>
      <w:r w:rsidRPr="00E13CE5">
        <w:rPr>
          <w:rFonts w:eastAsia="Calibri"/>
          <w:sz w:val="22"/>
          <w:szCs w:val="22"/>
        </w:rPr>
        <w:t>aktivitás</w:t>
      </w:r>
      <w:proofErr w:type="gramEnd"/>
      <w:r w:rsidRPr="00E13CE5">
        <w:rPr>
          <w:rFonts w:eastAsia="Calibri"/>
          <w:sz w:val="22"/>
          <w:szCs w:val="22"/>
        </w:rPr>
        <w:t xml:space="preserve"> és az ehhez kapcsolódó forrásteremtő képesség, </w:t>
      </w:r>
    </w:p>
    <w:p w14:paraId="6D48B340"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tehetséggondozás, felzárkóztató tevékenység terén nyújtott </w:t>
      </w:r>
      <w:proofErr w:type="gramStart"/>
      <w:r w:rsidRPr="00E13CE5">
        <w:rPr>
          <w:rFonts w:eastAsia="Calibri"/>
          <w:sz w:val="22"/>
          <w:szCs w:val="22"/>
        </w:rPr>
        <w:t>aktivitás</w:t>
      </w:r>
      <w:proofErr w:type="gramEnd"/>
      <w:r w:rsidRPr="00E13CE5">
        <w:rPr>
          <w:rFonts w:eastAsia="Calibri"/>
          <w:sz w:val="22"/>
          <w:szCs w:val="22"/>
        </w:rPr>
        <w:t xml:space="preserve">, </w:t>
      </w:r>
    </w:p>
    <w:p w14:paraId="19119BAF"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doktori képzésben való tevékenység, tudományszervezési feladatokban való részvétel,</w:t>
      </w:r>
    </w:p>
    <w:p w14:paraId="538E3EBF"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az oktatói </w:t>
      </w:r>
      <w:proofErr w:type="gramStart"/>
      <w:r w:rsidRPr="00E13CE5">
        <w:rPr>
          <w:rFonts w:eastAsia="Calibri"/>
          <w:sz w:val="22"/>
          <w:szCs w:val="22"/>
        </w:rPr>
        <w:t>munka hallgatók</w:t>
      </w:r>
      <w:proofErr w:type="gramEnd"/>
      <w:r w:rsidRPr="00E13CE5">
        <w:rPr>
          <w:rFonts w:eastAsia="Calibri"/>
          <w:sz w:val="22"/>
          <w:szCs w:val="22"/>
        </w:rPr>
        <w:t xml:space="preserve"> általi véleményezése, az oktatási tevékenység színvonalának általános megítélése,</w:t>
      </w:r>
    </w:p>
    <w:p w14:paraId="130A0BBE" w14:textId="77777777" w:rsidR="00FD0545" w:rsidRPr="00E13CE5" w:rsidRDefault="00FD0545" w:rsidP="00F83E93">
      <w:pPr>
        <w:numPr>
          <w:ilvl w:val="1"/>
          <w:numId w:val="145"/>
        </w:numPr>
        <w:contextualSpacing/>
        <w:jc w:val="both"/>
        <w:rPr>
          <w:rFonts w:eastAsia="Calibri"/>
          <w:sz w:val="22"/>
          <w:szCs w:val="22"/>
        </w:rPr>
      </w:pPr>
      <w:r w:rsidRPr="00E13CE5">
        <w:rPr>
          <w:rFonts w:eastAsia="Calibri"/>
          <w:sz w:val="22"/>
          <w:szCs w:val="22"/>
        </w:rPr>
        <w:t xml:space="preserve">az oktatói </w:t>
      </w:r>
      <w:proofErr w:type="gramStart"/>
      <w:r w:rsidRPr="00E13CE5">
        <w:rPr>
          <w:rFonts w:eastAsia="Calibri"/>
          <w:sz w:val="22"/>
          <w:szCs w:val="22"/>
        </w:rPr>
        <w:t>munka hallgatók</w:t>
      </w:r>
      <w:proofErr w:type="gramEnd"/>
      <w:r w:rsidRPr="00E13CE5">
        <w:rPr>
          <w:rFonts w:eastAsia="Calibri"/>
          <w:sz w:val="22"/>
          <w:szCs w:val="22"/>
        </w:rPr>
        <w:t xml:space="preserve"> által véleményezése, a hallgatók szakmai előmenetelét támogató tanári attitűd.</w:t>
      </w:r>
    </w:p>
    <w:p w14:paraId="03713026" w14:textId="77777777" w:rsidR="00FD0545" w:rsidRPr="00E13CE5" w:rsidRDefault="00FD0545" w:rsidP="00FD0545">
      <w:pPr>
        <w:contextualSpacing/>
        <w:jc w:val="both"/>
        <w:rPr>
          <w:rFonts w:eastAsia="Calibri"/>
          <w:sz w:val="22"/>
          <w:szCs w:val="22"/>
        </w:rPr>
      </w:pPr>
    </w:p>
    <w:p w14:paraId="2850D728" w14:textId="77777777" w:rsidR="00FD0545" w:rsidRPr="00E13CE5" w:rsidRDefault="00FD0545" w:rsidP="00FD0545">
      <w:pPr>
        <w:contextualSpacing/>
        <w:jc w:val="both"/>
        <w:rPr>
          <w:rFonts w:eastAsia="Calibri"/>
          <w:sz w:val="22"/>
          <w:szCs w:val="22"/>
        </w:rPr>
      </w:pPr>
      <w:r w:rsidRPr="00E13CE5">
        <w:rPr>
          <w:rFonts w:eastAsia="Calibri"/>
          <w:sz w:val="22"/>
          <w:szCs w:val="22"/>
        </w:rPr>
        <w:t>(2) A fenti szempontok a Kar által működtetett TÉR rendszerben az alábbiak szerint jelennek meg:</w:t>
      </w:r>
    </w:p>
    <w:p w14:paraId="405AD998" w14:textId="77777777" w:rsidR="00FD0545" w:rsidRPr="00E13CE5" w:rsidRDefault="00FD0545" w:rsidP="00F83E93">
      <w:pPr>
        <w:numPr>
          <w:ilvl w:val="0"/>
          <w:numId w:val="146"/>
        </w:numPr>
        <w:ind w:left="1418"/>
        <w:contextualSpacing/>
        <w:jc w:val="both"/>
        <w:rPr>
          <w:rFonts w:eastAsia="Calibri"/>
          <w:sz w:val="22"/>
          <w:szCs w:val="22"/>
        </w:rPr>
      </w:pPr>
      <w:r w:rsidRPr="00E13CE5">
        <w:rPr>
          <w:rFonts w:eastAsia="Calibri"/>
          <w:sz w:val="22"/>
          <w:szCs w:val="22"/>
        </w:rPr>
        <w:t>TÉR I. Oktatási tevékenység: a), b), g), minőségi súlyozó szorzóként: i), j) szempontok</w:t>
      </w:r>
    </w:p>
    <w:p w14:paraId="785A81AB" w14:textId="77777777" w:rsidR="00FD0545" w:rsidRPr="00E13CE5" w:rsidRDefault="00FD0545" w:rsidP="00F83E93">
      <w:pPr>
        <w:numPr>
          <w:ilvl w:val="0"/>
          <w:numId w:val="146"/>
        </w:numPr>
        <w:ind w:left="1418"/>
        <w:contextualSpacing/>
        <w:jc w:val="both"/>
        <w:rPr>
          <w:rFonts w:eastAsia="Calibri"/>
          <w:sz w:val="22"/>
          <w:szCs w:val="22"/>
        </w:rPr>
      </w:pPr>
      <w:r w:rsidRPr="00E13CE5">
        <w:rPr>
          <w:rFonts w:eastAsia="Calibri"/>
          <w:sz w:val="22"/>
          <w:szCs w:val="22"/>
        </w:rPr>
        <w:t>TÉR II. Tudományos tevékenység: c), e), f), h) szempontok</w:t>
      </w:r>
    </w:p>
    <w:p w14:paraId="432D7B13" w14:textId="77777777" w:rsidR="00FD0545" w:rsidRPr="00E13CE5" w:rsidRDefault="00FD0545" w:rsidP="00F83E93">
      <w:pPr>
        <w:numPr>
          <w:ilvl w:val="0"/>
          <w:numId w:val="146"/>
        </w:numPr>
        <w:ind w:left="1418"/>
        <w:contextualSpacing/>
        <w:jc w:val="both"/>
        <w:rPr>
          <w:rFonts w:eastAsia="Calibri"/>
          <w:sz w:val="22"/>
          <w:szCs w:val="22"/>
        </w:rPr>
      </w:pPr>
      <w:r w:rsidRPr="00E13CE5">
        <w:rPr>
          <w:rFonts w:eastAsia="Calibri"/>
          <w:sz w:val="22"/>
          <w:szCs w:val="22"/>
        </w:rPr>
        <w:t>TÉR III. Közéleti tevékenység: d) szempont</w:t>
      </w:r>
    </w:p>
    <w:p w14:paraId="42D76EC7" w14:textId="77777777" w:rsidR="00FD0545" w:rsidRPr="00E13CE5" w:rsidRDefault="00FD0545" w:rsidP="00FD0545">
      <w:pPr>
        <w:contextualSpacing/>
        <w:jc w:val="both"/>
        <w:rPr>
          <w:rFonts w:eastAsia="Calibri"/>
          <w:sz w:val="22"/>
          <w:szCs w:val="22"/>
        </w:rPr>
      </w:pPr>
    </w:p>
    <w:p w14:paraId="5DC1B131" w14:textId="77777777" w:rsidR="00FD0545" w:rsidRPr="00E13CE5" w:rsidRDefault="00FD0545" w:rsidP="00FD0545">
      <w:pPr>
        <w:contextualSpacing/>
        <w:jc w:val="both"/>
        <w:rPr>
          <w:rFonts w:eastAsia="Calibri"/>
          <w:sz w:val="22"/>
          <w:szCs w:val="22"/>
        </w:rPr>
      </w:pPr>
      <w:r w:rsidRPr="00E13CE5">
        <w:rPr>
          <w:rFonts w:eastAsia="Calibri"/>
          <w:sz w:val="22"/>
          <w:szCs w:val="22"/>
        </w:rPr>
        <w:t>(3) Vezetői megbízatással rendelkező értékeltek esetén a fentiek a TÉR IV. Vezetői értékelés fejezet szempontjaival egészülnek ki.</w:t>
      </w:r>
    </w:p>
    <w:p w14:paraId="6AB78A07" w14:textId="77777777" w:rsidR="00FD0545" w:rsidRPr="00E13CE5" w:rsidRDefault="00FD0545" w:rsidP="00FD0545">
      <w:pPr>
        <w:contextualSpacing/>
        <w:jc w:val="both"/>
        <w:rPr>
          <w:rFonts w:eastAsia="Calibri"/>
          <w:sz w:val="22"/>
          <w:szCs w:val="22"/>
        </w:rPr>
      </w:pPr>
    </w:p>
    <w:p w14:paraId="1E371798" w14:textId="77777777" w:rsidR="00FD0545" w:rsidRPr="00E13CE5" w:rsidRDefault="00FD0545" w:rsidP="00FD0545">
      <w:pPr>
        <w:contextualSpacing/>
        <w:jc w:val="both"/>
        <w:rPr>
          <w:rFonts w:eastAsia="Calibri"/>
          <w:sz w:val="22"/>
          <w:szCs w:val="22"/>
        </w:rPr>
      </w:pPr>
      <w:r w:rsidRPr="00E13CE5">
        <w:rPr>
          <w:rFonts w:eastAsia="Calibri"/>
          <w:sz w:val="22"/>
          <w:szCs w:val="22"/>
        </w:rPr>
        <w:t>(4) Az (1) bekezdés c) pontja szerinti értékelési szemponttal kapcsolatban a publikációs tevékenység tekintetében a Magyar Tudományos Akadémiáról szóló 1994. évi XL. törvény 3. § (1) bekezdés o) pontjában meghatározott nemzeti tudományos bibliográfiai adatbázisban szereplő adatok figyelembevételére kerül sor a 395/2015. (XII. 12.) Korm. rendelet „a közalkalmazottak jogállásáról szóló 1992. évi XXXIII. törvény felsőoktatásban való végrehajtásáról és a felsőoktatási intézményben való foglalkoztatás egyes kérdéseiről” rendelkezései 4.§ (2)-es pontja alapján.</w:t>
      </w:r>
    </w:p>
    <w:p w14:paraId="4290EF05" w14:textId="77777777" w:rsidR="00FD0545" w:rsidRPr="00E13CE5" w:rsidRDefault="00FD0545" w:rsidP="00FD0545">
      <w:pPr>
        <w:contextualSpacing/>
        <w:jc w:val="both"/>
        <w:rPr>
          <w:rFonts w:eastAsia="Calibri"/>
          <w:sz w:val="22"/>
          <w:szCs w:val="22"/>
        </w:rPr>
      </w:pPr>
    </w:p>
    <w:p w14:paraId="4D2E73A0"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Az értékelés rendszere</w:t>
      </w:r>
    </w:p>
    <w:p w14:paraId="0A168EAE" w14:textId="77777777" w:rsidR="00FD0545" w:rsidRPr="00E13CE5" w:rsidRDefault="00FD0545" w:rsidP="00FD0545">
      <w:pPr>
        <w:contextualSpacing/>
        <w:jc w:val="both"/>
        <w:rPr>
          <w:rFonts w:eastAsia="Calibri"/>
          <w:b/>
          <w:bCs/>
          <w:sz w:val="22"/>
          <w:szCs w:val="22"/>
        </w:rPr>
      </w:pPr>
    </w:p>
    <w:p w14:paraId="1E6C5C9D" w14:textId="77777777" w:rsidR="00FD0545" w:rsidRPr="00E13CE5" w:rsidRDefault="00FD0545" w:rsidP="00FD0545">
      <w:pPr>
        <w:contextualSpacing/>
        <w:jc w:val="both"/>
        <w:rPr>
          <w:rFonts w:eastAsia="Calibri"/>
          <w:sz w:val="22"/>
          <w:szCs w:val="22"/>
        </w:rPr>
      </w:pPr>
      <w:r w:rsidRPr="00E13CE5">
        <w:rPr>
          <w:rFonts w:eastAsia="Calibri"/>
          <w:b/>
          <w:bCs/>
          <w:sz w:val="22"/>
          <w:szCs w:val="22"/>
        </w:rPr>
        <w:t xml:space="preserve">10. § </w:t>
      </w:r>
      <w:r w:rsidRPr="00E13CE5">
        <w:rPr>
          <w:rFonts w:eastAsia="Calibri"/>
          <w:sz w:val="22"/>
          <w:szCs w:val="22"/>
        </w:rPr>
        <w:t>(1) A Kar teljesítményértékelési rendszerében többszintű értékelésre kerül sor.</w:t>
      </w:r>
    </w:p>
    <w:p w14:paraId="3E29BDBD" w14:textId="77777777" w:rsidR="00FD0545" w:rsidRPr="00E13CE5" w:rsidRDefault="00FD0545" w:rsidP="00FD0545">
      <w:pPr>
        <w:contextualSpacing/>
        <w:jc w:val="both"/>
        <w:rPr>
          <w:rFonts w:eastAsia="Calibri"/>
          <w:sz w:val="22"/>
          <w:szCs w:val="22"/>
        </w:rPr>
      </w:pPr>
    </w:p>
    <w:p w14:paraId="6260D92B"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Az értékelés első lépésében az értékelt oktató/kutató esetében meghatározásra kerül a Szabályzat szerinti TÉR pont vizsgálati területenként, vagyis </w:t>
      </w:r>
      <w:proofErr w:type="spellStart"/>
      <w:r w:rsidRPr="00E13CE5">
        <w:rPr>
          <w:rFonts w:eastAsia="Calibri"/>
          <w:sz w:val="22"/>
          <w:szCs w:val="22"/>
        </w:rPr>
        <w:t>fejezetenként</w:t>
      </w:r>
      <w:proofErr w:type="spellEnd"/>
      <w:r w:rsidRPr="00E13CE5">
        <w:rPr>
          <w:rFonts w:eastAsia="Calibri"/>
          <w:sz w:val="22"/>
          <w:szCs w:val="22"/>
        </w:rPr>
        <w:t>. A Szabályzatban meghatározott minimumfeltételek (12.§) elérésének hiányakor a megfogalmazott következmény beáll.</w:t>
      </w:r>
    </w:p>
    <w:p w14:paraId="38783AD6" w14:textId="77777777" w:rsidR="00FD0545" w:rsidRPr="00E13CE5" w:rsidRDefault="00FD0545" w:rsidP="00FD0545">
      <w:pPr>
        <w:contextualSpacing/>
        <w:jc w:val="both"/>
        <w:rPr>
          <w:rFonts w:eastAsia="Calibri"/>
          <w:sz w:val="22"/>
          <w:szCs w:val="22"/>
        </w:rPr>
      </w:pPr>
    </w:p>
    <w:p w14:paraId="7775F303" w14:textId="77777777" w:rsidR="00FD0545" w:rsidRPr="00E13CE5" w:rsidRDefault="00FD0545" w:rsidP="00FD0545">
      <w:pPr>
        <w:contextualSpacing/>
        <w:jc w:val="both"/>
        <w:rPr>
          <w:rFonts w:eastAsia="Calibri"/>
          <w:sz w:val="22"/>
          <w:szCs w:val="22"/>
        </w:rPr>
      </w:pPr>
      <w:r w:rsidRPr="00E13CE5">
        <w:rPr>
          <w:rFonts w:eastAsia="Calibri"/>
          <w:sz w:val="22"/>
          <w:szCs w:val="22"/>
        </w:rPr>
        <w:t>(3) Munkakörönként (kivéve a II. fejezet szempontjait, ahol egységesen) meghatározásra kerül a munkaköri átlagpontszám és annak szórása. Az átlagpontszámok pontozási szempontonként is meghatározásra kerülnek, így valamennyi értékelt munkavállaló pontosan ismerheti, hogy mely tevékenységelemek esetében teljesített átlagon felül, átlagosan vagy az alatt. Az átlagtól elérő teljesítmények az értékelőlapon a munkavállaló felé bemutatásra kerülnek az elért teljesítmény és az átlag értékek feltüntetésével.</w:t>
      </w:r>
    </w:p>
    <w:p w14:paraId="02F8C10A" w14:textId="77777777" w:rsidR="00FD0545" w:rsidRPr="00E13CE5" w:rsidRDefault="00FD0545" w:rsidP="00FD0545">
      <w:pPr>
        <w:contextualSpacing/>
        <w:jc w:val="both"/>
        <w:rPr>
          <w:rFonts w:eastAsia="Calibri"/>
          <w:sz w:val="22"/>
          <w:szCs w:val="22"/>
        </w:rPr>
      </w:pPr>
    </w:p>
    <w:p w14:paraId="1C12555B" w14:textId="77777777" w:rsidR="00FD0545" w:rsidRPr="00E13CE5" w:rsidRDefault="00FD0545" w:rsidP="00FD0545">
      <w:pPr>
        <w:contextualSpacing/>
        <w:jc w:val="both"/>
        <w:rPr>
          <w:rFonts w:eastAsia="Calibri"/>
          <w:sz w:val="22"/>
          <w:szCs w:val="22"/>
        </w:rPr>
      </w:pPr>
      <w:r w:rsidRPr="00E13CE5">
        <w:rPr>
          <w:rFonts w:eastAsia="Calibri"/>
          <w:sz w:val="22"/>
          <w:szCs w:val="22"/>
        </w:rPr>
        <w:t>(4) Az átlagok és szórások ismeretében kerül sor a standardizálásra, mely megteremti az értékeltek összehasonlíthatóságának, így értékelhetőségének lehetőségét. A TÉR értékelés alapja ugyanis a standardizálás, vagyis a z-érték számítás, mely származtatott mutató az adott munkavállaló átlagtól való eltérését mutatja szórásegységekben. Az értékelési lap fejezeteinek átlaga, szórása munkakörönként kerül kiszámításra (kivéve a II. fejezet esetében, ahol egységes számításra kerül sor). A z-érték meghatározása az elfogadott statisztikai módszertan alapján a következő képlet szerint történik:</w:t>
      </w:r>
    </w:p>
    <w:p w14:paraId="06614ACC" w14:textId="77777777" w:rsidR="00FD0545" w:rsidRPr="00E13CE5" w:rsidRDefault="00FD0545" w:rsidP="00FD0545">
      <w:pPr>
        <w:ind w:left="924"/>
        <w:contextualSpacing/>
        <w:jc w:val="both"/>
        <w:rPr>
          <w:rFonts w:eastAsia="Calibri"/>
          <w:sz w:val="22"/>
          <w:szCs w:val="22"/>
        </w:rPr>
      </w:pPr>
    </w:p>
    <w:p w14:paraId="5D7F2A35" w14:textId="77777777" w:rsidR="00FD0545" w:rsidRPr="00FD0545" w:rsidRDefault="00FD0545" w:rsidP="00FD0545">
      <w:pPr>
        <w:ind w:left="924"/>
        <w:contextualSpacing/>
        <w:jc w:val="center"/>
        <w:rPr>
          <w:rFonts w:eastAsia="Calibri"/>
          <w:sz w:val="22"/>
          <w:szCs w:val="22"/>
        </w:rPr>
      </w:pPr>
      <m:oMathPara>
        <m:oMath>
          <m:r>
            <w:rPr>
              <w:rFonts w:ascii="Cambria Math" w:eastAsia="Calibri" w:hAnsi="Cambria Math"/>
              <w:sz w:val="22"/>
              <w:szCs w:val="22"/>
            </w:rPr>
            <m:t>z</m:t>
          </m:r>
          <m:r>
            <m:rPr>
              <m:sty m:val="p"/>
            </m:rPr>
            <w:rPr>
              <w:rFonts w:ascii="Cambria Math" w:eastAsia="Calibri" w:hAnsi="Cambria Math"/>
              <w:sz w:val="22"/>
              <w:szCs w:val="22"/>
            </w:rPr>
            <m:t xml:space="preserve"> = </m:t>
          </m:r>
          <m:f>
            <m:fPr>
              <m:ctrlPr>
                <w:rPr>
                  <w:rFonts w:ascii="Cambria Math" w:eastAsia="Calibri" w:hAnsi="Cambria Math"/>
                  <w:sz w:val="22"/>
                  <w:szCs w:val="22"/>
                </w:rPr>
              </m:ctrlPr>
            </m:fPr>
            <m:num>
              <m:r>
                <w:rPr>
                  <w:rFonts w:ascii="Cambria Math" w:eastAsia="Calibri" w:hAnsi="Cambria Math"/>
                  <w:sz w:val="22"/>
                  <w:szCs w:val="22"/>
                </w:rPr>
                <m:t>ÉRTÉKELT</m:t>
              </m:r>
              <m:r>
                <m:rPr>
                  <m:sty m:val="p"/>
                </m:rPr>
                <w:rPr>
                  <w:rFonts w:ascii="Cambria Math" w:eastAsia="Calibri" w:hAnsi="Cambria Math"/>
                  <w:sz w:val="22"/>
                  <w:szCs w:val="22"/>
                </w:rPr>
                <m:t xml:space="preserve"> </m:t>
              </m:r>
              <m:r>
                <w:rPr>
                  <w:rFonts w:ascii="Cambria Math" w:eastAsia="Calibri" w:hAnsi="Cambria Math"/>
                  <w:sz w:val="22"/>
                  <w:szCs w:val="22"/>
                </w:rPr>
                <m:t>PONTSZ</m:t>
              </m:r>
              <m:r>
                <m:rPr>
                  <m:sty m:val="p"/>
                </m:rPr>
                <w:rPr>
                  <w:rFonts w:ascii="Cambria Math" w:eastAsia="Calibri" w:hAnsi="Cambria Math"/>
                  <w:sz w:val="22"/>
                  <w:szCs w:val="22"/>
                </w:rPr>
                <m:t>Á</m:t>
              </m:r>
              <m:r>
                <w:rPr>
                  <w:rFonts w:ascii="Cambria Math" w:eastAsia="Calibri" w:hAnsi="Cambria Math"/>
                  <w:sz w:val="22"/>
                  <w:szCs w:val="22"/>
                </w:rPr>
                <m:t>MA</m:t>
              </m:r>
              <m:r>
                <m:rPr>
                  <m:sty m:val="p"/>
                </m:rPr>
                <w:rPr>
                  <w:rFonts w:ascii="Cambria Math" w:eastAsia="Calibri" w:hAnsi="Cambria Math"/>
                  <w:sz w:val="22"/>
                  <w:szCs w:val="22"/>
                </w:rPr>
                <m:t>-</m:t>
              </m:r>
              <m:r>
                <w:rPr>
                  <w:rFonts w:ascii="Cambria Math" w:eastAsia="Calibri" w:hAnsi="Cambria Math"/>
                  <w:sz w:val="22"/>
                  <w:szCs w:val="22"/>
                </w:rPr>
                <m:t>MUNKAK</m:t>
              </m:r>
              <m:r>
                <m:rPr>
                  <m:sty m:val="p"/>
                </m:rPr>
                <w:rPr>
                  <w:rFonts w:ascii="Cambria Math" w:eastAsia="Calibri" w:hAnsi="Cambria Math"/>
                  <w:sz w:val="22"/>
                  <w:szCs w:val="22"/>
                </w:rPr>
                <m:t>Ö</m:t>
              </m:r>
              <m:r>
                <w:rPr>
                  <w:rFonts w:ascii="Cambria Math" w:eastAsia="Calibri" w:hAnsi="Cambria Math"/>
                  <w:sz w:val="22"/>
                  <w:szCs w:val="22"/>
                </w:rPr>
                <m:t>R</m:t>
              </m:r>
              <m:r>
                <m:rPr>
                  <m:sty m:val="p"/>
                </m:rPr>
                <w:rPr>
                  <w:rFonts w:ascii="Cambria Math" w:eastAsia="Calibri" w:hAnsi="Cambria Math"/>
                  <w:sz w:val="22"/>
                  <w:szCs w:val="22"/>
                </w:rPr>
                <m:t xml:space="preserve"> Á</m:t>
              </m:r>
              <m:r>
                <w:rPr>
                  <w:rFonts w:ascii="Cambria Math" w:eastAsia="Calibri" w:hAnsi="Cambria Math"/>
                  <w:sz w:val="22"/>
                  <w:szCs w:val="22"/>
                </w:rPr>
                <m:t>TLAGA</m:t>
              </m:r>
            </m:num>
            <m:den>
              <m:r>
                <w:rPr>
                  <w:rFonts w:ascii="Cambria Math" w:eastAsia="Calibri" w:hAnsi="Cambria Math"/>
                  <w:sz w:val="22"/>
                  <w:szCs w:val="22"/>
                </w:rPr>
                <m:t>MUNKAK</m:t>
              </m:r>
              <m:r>
                <m:rPr>
                  <m:sty m:val="p"/>
                </m:rPr>
                <w:rPr>
                  <w:rFonts w:ascii="Cambria Math" w:eastAsia="Calibri" w:hAnsi="Cambria Math"/>
                  <w:sz w:val="22"/>
                  <w:szCs w:val="22"/>
                </w:rPr>
                <m:t>Ö</m:t>
              </m:r>
              <m:r>
                <w:rPr>
                  <w:rFonts w:ascii="Cambria Math" w:eastAsia="Calibri" w:hAnsi="Cambria Math"/>
                  <w:sz w:val="22"/>
                  <w:szCs w:val="22"/>
                </w:rPr>
                <m:t>R</m:t>
              </m:r>
              <m:r>
                <m:rPr>
                  <m:sty m:val="p"/>
                </m:rPr>
                <w:rPr>
                  <w:rFonts w:ascii="Cambria Math" w:eastAsia="Calibri" w:hAnsi="Cambria Math"/>
                  <w:sz w:val="22"/>
                  <w:szCs w:val="22"/>
                </w:rPr>
                <m:t xml:space="preserve"> </m:t>
              </m:r>
              <m:r>
                <w:rPr>
                  <w:rFonts w:ascii="Cambria Math" w:eastAsia="Calibri" w:hAnsi="Cambria Math"/>
                  <w:sz w:val="22"/>
                  <w:szCs w:val="22"/>
                </w:rPr>
                <m:t>SZ</m:t>
              </m:r>
              <m:r>
                <m:rPr>
                  <m:sty m:val="p"/>
                </m:rPr>
                <w:rPr>
                  <w:rFonts w:ascii="Cambria Math" w:eastAsia="Calibri" w:hAnsi="Cambria Math"/>
                  <w:sz w:val="22"/>
                  <w:szCs w:val="22"/>
                </w:rPr>
                <m:t>Ó</m:t>
              </m:r>
              <m:r>
                <w:rPr>
                  <w:rFonts w:ascii="Cambria Math" w:eastAsia="Calibri" w:hAnsi="Cambria Math"/>
                  <w:sz w:val="22"/>
                  <w:szCs w:val="22"/>
                </w:rPr>
                <m:t>R</m:t>
              </m:r>
              <m:r>
                <m:rPr>
                  <m:sty m:val="p"/>
                </m:rPr>
                <w:rPr>
                  <w:rFonts w:ascii="Cambria Math" w:eastAsia="Calibri" w:hAnsi="Cambria Math"/>
                  <w:sz w:val="22"/>
                  <w:szCs w:val="22"/>
                </w:rPr>
                <m:t>Á</m:t>
              </m:r>
              <m:r>
                <w:rPr>
                  <w:rFonts w:ascii="Cambria Math" w:eastAsia="Calibri" w:hAnsi="Cambria Math"/>
                  <w:sz w:val="22"/>
                  <w:szCs w:val="22"/>
                </w:rPr>
                <m:t>SA</m:t>
              </m:r>
            </m:den>
          </m:f>
        </m:oMath>
      </m:oMathPara>
    </w:p>
    <w:p w14:paraId="728312A3" w14:textId="77777777" w:rsidR="00FD0545" w:rsidRPr="00E13CE5" w:rsidRDefault="00FD0545" w:rsidP="00FD0545">
      <w:pPr>
        <w:contextualSpacing/>
        <w:jc w:val="both"/>
        <w:rPr>
          <w:rFonts w:eastAsia="Calibri"/>
          <w:sz w:val="22"/>
          <w:szCs w:val="22"/>
        </w:rPr>
      </w:pPr>
    </w:p>
    <w:p w14:paraId="296ED9D2"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Az értékelési </w:t>
      </w:r>
      <w:proofErr w:type="gramStart"/>
      <w:r w:rsidRPr="00E13CE5">
        <w:rPr>
          <w:rFonts w:eastAsia="Calibri"/>
          <w:sz w:val="22"/>
          <w:szCs w:val="22"/>
        </w:rPr>
        <w:t>kategóriák</w:t>
      </w:r>
      <w:proofErr w:type="gramEnd"/>
      <w:r w:rsidRPr="00E13CE5">
        <w:rPr>
          <w:rFonts w:eastAsia="Calibri"/>
          <w:sz w:val="22"/>
          <w:szCs w:val="22"/>
        </w:rPr>
        <w:t xml:space="preserve"> a z érték függvényében a következők:</w:t>
      </w:r>
    </w:p>
    <w:tbl>
      <w:tblPr>
        <w:tblW w:w="0" w:type="auto"/>
        <w:jc w:val="center"/>
        <w:tblLook w:val="04A0" w:firstRow="1" w:lastRow="0" w:firstColumn="1" w:lastColumn="0" w:noHBand="0" w:noVBand="1"/>
      </w:tblPr>
      <w:tblGrid>
        <w:gridCol w:w="1559"/>
        <w:gridCol w:w="3828"/>
      </w:tblGrid>
      <w:tr w:rsidR="00FD0545" w:rsidRPr="00C376DE" w14:paraId="3114E899" w14:textId="77777777" w:rsidTr="00026782">
        <w:trPr>
          <w:jc w:val="center"/>
        </w:trPr>
        <w:tc>
          <w:tcPr>
            <w:tcW w:w="1559" w:type="dxa"/>
            <w:shd w:val="clear" w:color="auto" w:fill="auto"/>
          </w:tcPr>
          <w:p w14:paraId="1CA728A1" w14:textId="77777777" w:rsidR="00FD0545" w:rsidRPr="00C376DE" w:rsidRDefault="00FD0545" w:rsidP="00026782">
            <w:pPr>
              <w:contextualSpacing/>
              <w:jc w:val="center"/>
              <w:rPr>
                <w:rFonts w:eastAsia="Calibri"/>
                <w:sz w:val="22"/>
                <w:szCs w:val="22"/>
              </w:rPr>
            </w:pPr>
            <w:r w:rsidRPr="00C376DE">
              <w:rPr>
                <w:rFonts w:eastAsia="Calibri"/>
                <w:sz w:val="22"/>
                <w:szCs w:val="22"/>
              </w:rPr>
              <w:t xml:space="preserve">z </w:t>
            </w:r>
            <w:proofErr w:type="gramStart"/>
            <w:r w:rsidRPr="00C376DE">
              <w:rPr>
                <w:rFonts w:eastAsia="Calibri"/>
                <w:sz w:val="22"/>
                <w:szCs w:val="22"/>
              </w:rPr>
              <w:t>&lt; -</w:t>
            </w:r>
            <w:proofErr w:type="gramEnd"/>
            <w:r w:rsidRPr="00C376DE">
              <w:rPr>
                <w:rFonts w:eastAsia="Calibri"/>
                <w:sz w:val="22"/>
                <w:szCs w:val="22"/>
              </w:rPr>
              <w:t>2</w:t>
            </w:r>
          </w:p>
        </w:tc>
        <w:tc>
          <w:tcPr>
            <w:tcW w:w="3828" w:type="dxa"/>
            <w:shd w:val="clear" w:color="auto" w:fill="auto"/>
          </w:tcPr>
          <w:p w14:paraId="53CE6C13" w14:textId="77777777" w:rsidR="00FD0545" w:rsidRPr="00C376DE" w:rsidRDefault="00FD0545" w:rsidP="00026782">
            <w:pPr>
              <w:contextualSpacing/>
              <w:jc w:val="both"/>
              <w:rPr>
                <w:rFonts w:eastAsia="Calibri"/>
                <w:sz w:val="22"/>
                <w:szCs w:val="22"/>
              </w:rPr>
            </w:pPr>
            <w:r w:rsidRPr="00C376DE">
              <w:rPr>
                <w:rFonts w:eastAsia="Calibri"/>
                <w:sz w:val="22"/>
                <w:szCs w:val="22"/>
              </w:rPr>
              <w:t>az értékelés: nem megfelelő</w:t>
            </w:r>
          </w:p>
        </w:tc>
      </w:tr>
      <w:tr w:rsidR="00FD0545" w:rsidRPr="00C376DE" w14:paraId="4642A4AF" w14:textId="77777777" w:rsidTr="00026782">
        <w:trPr>
          <w:jc w:val="center"/>
        </w:trPr>
        <w:tc>
          <w:tcPr>
            <w:tcW w:w="1559" w:type="dxa"/>
            <w:shd w:val="clear" w:color="auto" w:fill="auto"/>
          </w:tcPr>
          <w:p w14:paraId="0A2C0B4E" w14:textId="77777777" w:rsidR="00FD0545" w:rsidRPr="00C376DE" w:rsidRDefault="00FD0545" w:rsidP="00026782">
            <w:pPr>
              <w:contextualSpacing/>
              <w:jc w:val="center"/>
              <w:rPr>
                <w:rFonts w:eastAsia="Calibri"/>
                <w:sz w:val="22"/>
                <w:szCs w:val="22"/>
              </w:rPr>
            </w:pPr>
            <w:r w:rsidRPr="00C376DE">
              <w:rPr>
                <w:rFonts w:eastAsia="Calibri"/>
                <w:sz w:val="22"/>
                <w:szCs w:val="22"/>
              </w:rPr>
              <w:t xml:space="preserve">-2 ≤ z </w:t>
            </w:r>
            <w:proofErr w:type="gramStart"/>
            <w:r w:rsidRPr="00C376DE">
              <w:rPr>
                <w:rFonts w:eastAsia="Calibri"/>
                <w:sz w:val="22"/>
                <w:szCs w:val="22"/>
              </w:rPr>
              <w:t>&lt; -</w:t>
            </w:r>
            <w:proofErr w:type="gramEnd"/>
            <w:r w:rsidRPr="00C376DE">
              <w:rPr>
                <w:rFonts w:eastAsia="Calibri"/>
                <w:sz w:val="22"/>
                <w:szCs w:val="22"/>
              </w:rPr>
              <w:t>1</w:t>
            </w:r>
          </w:p>
        </w:tc>
        <w:tc>
          <w:tcPr>
            <w:tcW w:w="3828" w:type="dxa"/>
            <w:shd w:val="clear" w:color="auto" w:fill="auto"/>
          </w:tcPr>
          <w:p w14:paraId="56BA5B05" w14:textId="77777777" w:rsidR="00FD0545" w:rsidRPr="00C376DE" w:rsidRDefault="00FD0545" w:rsidP="00026782">
            <w:pPr>
              <w:contextualSpacing/>
              <w:jc w:val="both"/>
              <w:rPr>
                <w:rFonts w:eastAsia="Calibri"/>
                <w:sz w:val="22"/>
                <w:szCs w:val="22"/>
              </w:rPr>
            </w:pPr>
            <w:r w:rsidRPr="00C376DE">
              <w:rPr>
                <w:rFonts w:eastAsia="Calibri"/>
                <w:sz w:val="22"/>
                <w:szCs w:val="22"/>
              </w:rPr>
              <w:t>az értékelés: kevéssé megfelelő (1 pont)</w:t>
            </w:r>
          </w:p>
        </w:tc>
      </w:tr>
      <w:tr w:rsidR="00FD0545" w:rsidRPr="00C376DE" w14:paraId="7CE92C22" w14:textId="77777777" w:rsidTr="00026782">
        <w:trPr>
          <w:jc w:val="center"/>
        </w:trPr>
        <w:tc>
          <w:tcPr>
            <w:tcW w:w="1559" w:type="dxa"/>
            <w:shd w:val="clear" w:color="auto" w:fill="auto"/>
          </w:tcPr>
          <w:p w14:paraId="05B4AD90" w14:textId="77777777" w:rsidR="00FD0545" w:rsidRPr="00C376DE" w:rsidRDefault="00FD0545" w:rsidP="00026782">
            <w:pPr>
              <w:contextualSpacing/>
              <w:jc w:val="center"/>
              <w:rPr>
                <w:rFonts w:eastAsia="Calibri"/>
                <w:sz w:val="22"/>
                <w:szCs w:val="22"/>
              </w:rPr>
            </w:pPr>
            <w:r w:rsidRPr="00C376DE">
              <w:rPr>
                <w:rFonts w:eastAsia="Calibri"/>
                <w:sz w:val="22"/>
                <w:szCs w:val="22"/>
              </w:rPr>
              <w:t>-1 ≤ z &lt;0,2</w:t>
            </w:r>
          </w:p>
        </w:tc>
        <w:tc>
          <w:tcPr>
            <w:tcW w:w="3828" w:type="dxa"/>
            <w:shd w:val="clear" w:color="auto" w:fill="auto"/>
          </w:tcPr>
          <w:p w14:paraId="7F731492" w14:textId="77777777" w:rsidR="00FD0545" w:rsidRPr="00C376DE" w:rsidRDefault="00FD0545" w:rsidP="00026782">
            <w:pPr>
              <w:contextualSpacing/>
              <w:jc w:val="both"/>
              <w:rPr>
                <w:rFonts w:eastAsia="Calibri"/>
                <w:sz w:val="22"/>
                <w:szCs w:val="22"/>
              </w:rPr>
            </w:pPr>
            <w:r w:rsidRPr="00C376DE">
              <w:rPr>
                <w:rFonts w:eastAsia="Calibri"/>
                <w:sz w:val="22"/>
                <w:szCs w:val="22"/>
              </w:rPr>
              <w:t>az értékelés: megfelelő (2 pont)</w:t>
            </w:r>
          </w:p>
        </w:tc>
      </w:tr>
      <w:tr w:rsidR="00FD0545" w:rsidRPr="00C376DE" w14:paraId="23A3823B" w14:textId="77777777" w:rsidTr="00026782">
        <w:trPr>
          <w:jc w:val="center"/>
        </w:trPr>
        <w:tc>
          <w:tcPr>
            <w:tcW w:w="1559" w:type="dxa"/>
            <w:shd w:val="clear" w:color="auto" w:fill="auto"/>
          </w:tcPr>
          <w:p w14:paraId="184F0160" w14:textId="77777777" w:rsidR="00FD0545" w:rsidRPr="00C376DE" w:rsidRDefault="00FD0545" w:rsidP="00026782">
            <w:pPr>
              <w:contextualSpacing/>
              <w:jc w:val="center"/>
              <w:rPr>
                <w:rFonts w:eastAsia="Calibri"/>
                <w:sz w:val="22"/>
                <w:szCs w:val="22"/>
              </w:rPr>
            </w:pPr>
            <w:r w:rsidRPr="00C376DE">
              <w:rPr>
                <w:rFonts w:eastAsia="Calibri"/>
                <w:sz w:val="22"/>
                <w:szCs w:val="22"/>
              </w:rPr>
              <w:t>z ≥ 0,2</w:t>
            </w:r>
          </w:p>
        </w:tc>
        <w:tc>
          <w:tcPr>
            <w:tcW w:w="3828" w:type="dxa"/>
            <w:shd w:val="clear" w:color="auto" w:fill="auto"/>
          </w:tcPr>
          <w:p w14:paraId="29F47E71" w14:textId="77777777" w:rsidR="00FD0545" w:rsidRPr="00C376DE" w:rsidRDefault="00FD0545" w:rsidP="00026782">
            <w:pPr>
              <w:contextualSpacing/>
              <w:jc w:val="both"/>
              <w:rPr>
                <w:rFonts w:eastAsia="Calibri"/>
                <w:sz w:val="22"/>
                <w:szCs w:val="22"/>
              </w:rPr>
            </w:pPr>
            <w:r w:rsidRPr="00C376DE">
              <w:rPr>
                <w:rFonts w:eastAsia="Calibri"/>
                <w:sz w:val="22"/>
                <w:szCs w:val="22"/>
              </w:rPr>
              <w:t>az értékelés: kiemelkedő (3 pont)</w:t>
            </w:r>
          </w:p>
        </w:tc>
      </w:tr>
    </w:tbl>
    <w:p w14:paraId="52C7C85B" w14:textId="77777777" w:rsidR="00FD0545" w:rsidRPr="00E13CE5" w:rsidRDefault="00FD0545" w:rsidP="00FD0545">
      <w:pPr>
        <w:contextualSpacing/>
        <w:jc w:val="both"/>
        <w:rPr>
          <w:rFonts w:eastAsia="Calibri"/>
          <w:b/>
          <w:bCs/>
          <w:sz w:val="22"/>
          <w:szCs w:val="22"/>
        </w:rPr>
      </w:pPr>
    </w:p>
    <w:p w14:paraId="555E2A5E" w14:textId="77777777" w:rsidR="00FD0545" w:rsidRPr="00E13CE5" w:rsidRDefault="00FD0545" w:rsidP="00FD0545">
      <w:pPr>
        <w:contextualSpacing/>
        <w:jc w:val="center"/>
        <w:rPr>
          <w:rFonts w:eastAsia="Calibri"/>
          <w:b/>
          <w:bCs/>
          <w:sz w:val="22"/>
          <w:szCs w:val="22"/>
        </w:rPr>
      </w:pPr>
      <w:r w:rsidRPr="00E13CE5">
        <w:rPr>
          <w:rFonts w:eastAsia="Calibri"/>
          <w:b/>
          <w:bCs/>
          <w:sz w:val="22"/>
          <w:szCs w:val="22"/>
        </w:rPr>
        <w:t>A közalkalmazotti minősítés rendszere</w:t>
      </w:r>
    </w:p>
    <w:p w14:paraId="188C33CA" w14:textId="77777777" w:rsidR="00FD0545" w:rsidRPr="00E13CE5" w:rsidRDefault="00FD0545" w:rsidP="00FD0545">
      <w:pPr>
        <w:contextualSpacing/>
        <w:jc w:val="both"/>
        <w:rPr>
          <w:rFonts w:eastAsia="Calibri"/>
          <w:b/>
          <w:bCs/>
          <w:sz w:val="22"/>
          <w:szCs w:val="22"/>
        </w:rPr>
      </w:pPr>
    </w:p>
    <w:p w14:paraId="55AB857A" w14:textId="77777777" w:rsidR="00FD0545" w:rsidRPr="00E13CE5" w:rsidRDefault="00FD0545" w:rsidP="00FD0545">
      <w:pPr>
        <w:contextualSpacing/>
        <w:jc w:val="both"/>
        <w:rPr>
          <w:rFonts w:eastAsia="Calibri"/>
          <w:sz w:val="22"/>
          <w:szCs w:val="22"/>
        </w:rPr>
      </w:pPr>
      <w:r w:rsidRPr="00E13CE5">
        <w:rPr>
          <w:rFonts w:eastAsia="Calibri"/>
          <w:b/>
          <w:bCs/>
          <w:sz w:val="22"/>
          <w:szCs w:val="22"/>
        </w:rPr>
        <w:t xml:space="preserve">11. § </w:t>
      </w:r>
      <w:r w:rsidRPr="00E13CE5">
        <w:rPr>
          <w:rFonts w:eastAsia="Calibri"/>
          <w:sz w:val="22"/>
          <w:szCs w:val="22"/>
        </w:rPr>
        <w:t xml:space="preserve">A </w:t>
      </w:r>
      <w:proofErr w:type="spellStart"/>
      <w:r w:rsidRPr="00E13CE5">
        <w:rPr>
          <w:rFonts w:eastAsia="Calibri"/>
          <w:sz w:val="22"/>
          <w:szCs w:val="22"/>
        </w:rPr>
        <w:t>Fkr</w:t>
      </w:r>
      <w:proofErr w:type="spellEnd"/>
      <w:r w:rsidRPr="00E13CE5">
        <w:rPr>
          <w:rFonts w:eastAsia="Calibri"/>
          <w:sz w:val="22"/>
          <w:szCs w:val="22"/>
        </w:rPr>
        <w:t xml:space="preserve"> 51. § alapján a TÉR eredményeit felhasználva kerül sor a „Minősítési lap” generálására, ahol az egyes szempontok az alábbi TÉR eredményekből származnak a standardizálás módszerével:</w:t>
      </w:r>
    </w:p>
    <w:tbl>
      <w:tblPr>
        <w:tblW w:w="822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1277"/>
        <w:gridCol w:w="4251"/>
        <w:gridCol w:w="2693"/>
      </w:tblGrid>
      <w:tr w:rsidR="00FD0545" w:rsidRPr="00C376DE" w14:paraId="0C684DFC" w14:textId="77777777" w:rsidTr="00026782">
        <w:trPr>
          <w:jc w:val="center"/>
        </w:trPr>
        <w:tc>
          <w:tcPr>
            <w:tcW w:w="1277" w:type="dxa"/>
            <w:tcBorders>
              <w:top w:val="single" w:sz="4" w:space="0" w:color="FFFFFF"/>
              <w:left w:val="single" w:sz="4" w:space="0" w:color="FFFFFF"/>
              <w:right w:val="nil"/>
            </w:tcBorders>
            <w:shd w:val="clear" w:color="auto" w:fill="A5A5A5"/>
            <w:vAlign w:val="center"/>
          </w:tcPr>
          <w:p w14:paraId="302C82E5" w14:textId="77777777" w:rsidR="00FD0545" w:rsidRPr="00C376DE" w:rsidRDefault="00FD0545" w:rsidP="00026782">
            <w:pPr>
              <w:ind w:left="-106"/>
              <w:contextualSpacing/>
              <w:jc w:val="center"/>
              <w:rPr>
                <w:rFonts w:eastAsia="Calibri"/>
                <w:b/>
                <w:bCs/>
                <w:sz w:val="22"/>
                <w:szCs w:val="22"/>
              </w:rPr>
            </w:pPr>
            <w:r w:rsidRPr="00C376DE">
              <w:rPr>
                <w:rFonts w:eastAsia="Calibri"/>
                <w:b/>
                <w:bCs/>
                <w:sz w:val="22"/>
                <w:szCs w:val="22"/>
              </w:rPr>
              <w:t>Minősítési lap szempontja</w:t>
            </w:r>
          </w:p>
        </w:tc>
        <w:tc>
          <w:tcPr>
            <w:tcW w:w="4251" w:type="dxa"/>
            <w:tcBorders>
              <w:top w:val="single" w:sz="4" w:space="0" w:color="FFFFFF"/>
              <w:left w:val="nil"/>
              <w:right w:val="nil"/>
            </w:tcBorders>
            <w:shd w:val="clear" w:color="auto" w:fill="A5A5A5"/>
            <w:vAlign w:val="center"/>
          </w:tcPr>
          <w:p w14:paraId="36A66269" w14:textId="77777777" w:rsidR="00FD0545" w:rsidRPr="00C376DE" w:rsidRDefault="00FD0545" w:rsidP="00026782">
            <w:pPr>
              <w:contextualSpacing/>
              <w:jc w:val="center"/>
              <w:rPr>
                <w:rFonts w:eastAsia="Calibri"/>
                <w:b/>
                <w:bCs/>
                <w:sz w:val="22"/>
                <w:szCs w:val="22"/>
              </w:rPr>
            </w:pPr>
            <w:r w:rsidRPr="00C376DE">
              <w:rPr>
                <w:rFonts w:eastAsia="Calibri"/>
                <w:b/>
                <w:bCs/>
                <w:sz w:val="22"/>
                <w:szCs w:val="22"/>
              </w:rPr>
              <w:t>TÉR értékelési szempontja</w:t>
            </w:r>
          </w:p>
        </w:tc>
        <w:tc>
          <w:tcPr>
            <w:tcW w:w="2693" w:type="dxa"/>
            <w:tcBorders>
              <w:top w:val="single" w:sz="4" w:space="0" w:color="FFFFFF"/>
              <w:left w:val="nil"/>
              <w:right w:val="single" w:sz="4" w:space="0" w:color="FFFFFF"/>
            </w:tcBorders>
            <w:shd w:val="clear" w:color="auto" w:fill="A5A5A5"/>
            <w:vAlign w:val="center"/>
          </w:tcPr>
          <w:p w14:paraId="281A1A1B" w14:textId="77777777" w:rsidR="00FD0545" w:rsidRPr="00C376DE" w:rsidRDefault="00FD0545" w:rsidP="00026782">
            <w:pPr>
              <w:contextualSpacing/>
              <w:jc w:val="center"/>
              <w:rPr>
                <w:rFonts w:eastAsia="Calibri"/>
                <w:b/>
                <w:bCs/>
                <w:sz w:val="22"/>
                <w:szCs w:val="22"/>
              </w:rPr>
            </w:pPr>
            <w:r w:rsidRPr="00C376DE">
              <w:rPr>
                <w:rFonts w:eastAsia="Calibri"/>
                <w:b/>
                <w:bCs/>
                <w:sz w:val="22"/>
                <w:szCs w:val="22"/>
              </w:rPr>
              <w:t>TÉR értékelési pont</w:t>
            </w:r>
          </w:p>
        </w:tc>
      </w:tr>
      <w:tr w:rsidR="00FD0545" w:rsidRPr="00C376DE" w14:paraId="3D7B209F" w14:textId="77777777" w:rsidTr="00026782">
        <w:trPr>
          <w:jc w:val="center"/>
        </w:trPr>
        <w:tc>
          <w:tcPr>
            <w:tcW w:w="1277" w:type="dxa"/>
            <w:shd w:val="clear" w:color="auto" w:fill="DBDBDB"/>
          </w:tcPr>
          <w:p w14:paraId="18847DAA" w14:textId="77777777" w:rsidR="00FD0545" w:rsidRPr="00C376DE" w:rsidRDefault="00FD0545" w:rsidP="00026782">
            <w:pPr>
              <w:contextualSpacing/>
              <w:jc w:val="center"/>
              <w:rPr>
                <w:rFonts w:eastAsia="Calibri"/>
                <w:sz w:val="22"/>
                <w:szCs w:val="22"/>
              </w:rPr>
            </w:pPr>
            <w:r w:rsidRPr="00C376DE">
              <w:rPr>
                <w:rFonts w:eastAsia="Calibri"/>
                <w:sz w:val="22"/>
                <w:szCs w:val="22"/>
              </w:rPr>
              <w:t>3.1</w:t>
            </w:r>
          </w:p>
        </w:tc>
        <w:tc>
          <w:tcPr>
            <w:tcW w:w="4251" w:type="dxa"/>
            <w:shd w:val="clear" w:color="auto" w:fill="DBDBDB"/>
          </w:tcPr>
          <w:p w14:paraId="2DD59051" w14:textId="77777777" w:rsidR="00FD0545" w:rsidRPr="00C376DE" w:rsidRDefault="00FD0545" w:rsidP="00026782">
            <w:pPr>
              <w:contextualSpacing/>
              <w:jc w:val="both"/>
              <w:rPr>
                <w:rFonts w:eastAsia="Calibri"/>
                <w:sz w:val="22"/>
                <w:szCs w:val="22"/>
              </w:rPr>
            </w:pPr>
            <w:r w:rsidRPr="00C376DE">
              <w:rPr>
                <w:rFonts w:eastAsia="Calibri"/>
                <w:sz w:val="22"/>
                <w:szCs w:val="22"/>
              </w:rPr>
              <w:t>KSZ TÉR+IKSZ TÉR+EKSZ TÉR+</w:t>
            </w:r>
            <w:proofErr w:type="gramStart"/>
            <w:r w:rsidRPr="00C376DE">
              <w:rPr>
                <w:rFonts w:eastAsia="Calibri"/>
                <w:sz w:val="22"/>
                <w:szCs w:val="22"/>
              </w:rPr>
              <w:t>OH</w:t>
            </w:r>
            <w:proofErr w:type="gramEnd"/>
            <w:r w:rsidRPr="00C376DE">
              <w:rPr>
                <w:rFonts w:eastAsia="Calibri"/>
                <w:sz w:val="22"/>
                <w:szCs w:val="22"/>
              </w:rPr>
              <w:t xml:space="preserve"> TÉR+SZHK TÉR+EL TÉR+TAF TÉR+ ZH TÉR+VT TÉR </w:t>
            </w:r>
          </w:p>
        </w:tc>
        <w:tc>
          <w:tcPr>
            <w:tcW w:w="2693" w:type="dxa"/>
            <w:shd w:val="clear" w:color="auto" w:fill="DBDBDB"/>
          </w:tcPr>
          <w:p w14:paraId="750E37AF" w14:textId="77777777" w:rsidR="00FD0545" w:rsidRPr="00C376DE" w:rsidRDefault="00FD0545" w:rsidP="00026782">
            <w:pPr>
              <w:contextualSpacing/>
              <w:jc w:val="both"/>
              <w:rPr>
                <w:rFonts w:eastAsia="Calibri"/>
                <w:sz w:val="22"/>
                <w:szCs w:val="22"/>
              </w:rPr>
            </w:pPr>
            <w:r w:rsidRPr="00C376DE">
              <w:rPr>
                <w:rFonts w:eastAsia="Calibri"/>
                <w:sz w:val="22"/>
                <w:szCs w:val="22"/>
              </w:rPr>
              <w:t>I.</w:t>
            </w:r>
            <w:proofErr w:type="gramStart"/>
            <w:r w:rsidRPr="00C376DE">
              <w:rPr>
                <w:rFonts w:eastAsia="Calibri"/>
                <w:sz w:val="22"/>
                <w:szCs w:val="22"/>
              </w:rPr>
              <w:t>A</w:t>
            </w:r>
            <w:proofErr w:type="gramEnd"/>
            <w:r w:rsidRPr="00C376DE">
              <w:rPr>
                <w:rFonts w:eastAsia="Calibri"/>
                <w:sz w:val="22"/>
                <w:szCs w:val="22"/>
              </w:rPr>
              <w:t>.1, I.A.2, I.A.3, I.A.4, I.A.5, I.A.6, I.A.7, I.A.8, I.A.9</w:t>
            </w:r>
          </w:p>
        </w:tc>
      </w:tr>
      <w:tr w:rsidR="00FD0545" w:rsidRPr="00C376DE" w14:paraId="181CC863" w14:textId="77777777" w:rsidTr="00026782">
        <w:trPr>
          <w:jc w:val="center"/>
        </w:trPr>
        <w:tc>
          <w:tcPr>
            <w:tcW w:w="1277" w:type="dxa"/>
            <w:shd w:val="clear" w:color="auto" w:fill="EDEDED"/>
          </w:tcPr>
          <w:p w14:paraId="379F4AE7" w14:textId="77777777" w:rsidR="00FD0545" w:rsidRPr="00C376DE" w:rsidRDefault="00FD0545" w:rsidP="00026782">
            <w:pPr>
              <w:contextualSpacing/>
              <w:jc w:val="center"/>
              <w:rPr>
                <w:rFonts w:eastAsia="Calibri"/>
                <w:sz w:val="22"/>
                <w:szCs w:val="22"/>
              </w:rPr>
            </w:pPr>
            <w:r w:rsidRPr="00C376DE">
              <w:rPr>
                <w:rFonts w:eastAsia="Calibri"/>
                <w:sz w:val="22"/>
                <w:szCs w:val="22"/>
              </w:rPr>
              <w:t>3.2</w:t>
            </w:r>
          </w:p>
        </w:tc>
        <w:tc>
          <w:tcPr>
            <w:tcW w:w="4251" w:type="dxa"/>
            <w:shd w:val="clear" w:color="auto" w:fill="EDEDED"/>
          </w:tcPr>
          <w:p w14:paraId="75096345" w14:textId="77777777" w:rsidR="00FD0545" w:rsidRPr="00C376DE" w:rsidRDefault="00FD0545" w:rsidP="00026782">
            <w:pPr>
              <w:contextualSpacing/>
              <w:jc w:val="both"/>
              <w:rPr>
                <w:rFonts w:eastAsia="Calibri"/>
                <w:sz w:val="22"/>
                <w:szCs w:val="22"/>
              </w:rPr>
            </w:pPr>
            <w:r w:rsidRPr="00C376DE">
              <w:rPr>
                <w:rFonts w:eastAsia="Calibri"/>
                <w:sz w:val="22"/>
                <w:szCs w:val="22"/>
              </w:rPr>
              <w:t>ZV TÉR</w:t>
            </w:r>
          </w:p>
        </w:tc>
        <w:tc>
          <w:tcPr>
            <w:tcW w:w="2693" w:type="dxa"/>
            <w:shd w:val="clear" w:color="auto" w:fill="EDEDED"/>
          </w:tcPr>
          <w:p w14:paraId="043248BA" w14:textId="77777777" w:rsidR="00FD0545" w:rsidRPr="00C376DE" w:rsidRDefault="00FD0545" w:rsidP="00026782">
            <w:pPr>
              <w:contextualSpacing/>
              <w:jc w:val="both"/>
              <w:rPr>
                <w:rFonts w:eastAsia="Calibri"/>
                <w:sz w:val="22"/>
                <w:szCs w:val="22"/>
              </w:rPr>
            </w:pPr>
            <w:r w:rsidRPr="00C376DE">
              <w:rPr>
                <w:rFonts w:eastAsia="Calibri"/>
                <w:sz w:val="22"/>
                <w:szCs w:val="22"/>
              </w:rPr>
              <w:t>I.</w:t>
            </w:r>
            <w:proofErr w:type="gramStart"/>
            <w:r w:rsidRPr="00C376DE">
              <w:rPr>
                <w:rFonts w:eastAsia="Calibri"/>
                <w:sz w:val="22"/>
                <w:szCs w:val="22"/>
              </w:rPr>
              <w:t>A</w:t>
            </w:r>
            <w:proofErr w:type="gramEnd"/>
            <w:r w:rsidRPr="00C376DE">
              <w:rPr>
                <w:rFonts w:eastAsia="Calibri"/>
                <w:sz w:val="22"/>
                <w:szCs w:val="22"/>
              </w:rPr>
              <w:t>.10</w:t>
            </w:r>
          </w:p>
        </w:tc>
      </w:tr>
      <w:tr w:rsidR="00FD0545" w:rsidRPr="00C376DE" w14:paraId="02609754" w14:textId="77777777" w:rsidTr="00026782">
        <w:trPr>
          <w:jc w:val="center"/>
        </w:trPr>
        <w:tc>
          <w:tcPr>
            <w:tcW w:w="1277" w:type="dxa"/>
            <w:shd w:val="clear" w:color="auto" w:fill="DBDBDB"/>
          </w:tcPr>
          <w:p w14:paraId="23403603" w14:textId="77777777" w:rsidR="00FD0545" w:rsidRPr="00C376DE" w:rsidRDefault="00FD0545" w:rsidP="00026782">
            <w:pPr>
              <w:contextualSpacing/>
              <w:jc w:val="center"/>
              <w:rPr>
                <w:rFonts w:eastAsia="Calibri"/>
                <w:sz w:val="22"/>
                <w:szCs w:val="22"/>
              </w:rPr>
            </w:pPr>
            <w:r w:rsidRPr="00C376DE">
              <w:rPr>
                <w:rFonts w:eastAsia="Calibri"/>
                <w:sz w:val="22"/>
                <w:szCs w:val="22"/>
              </w:rPr>
              <w:t>3.3</w:t>
            </w:r>
          </w:p>
        </w:tc>
        <w:tc>
          <w:tcPr>
            <w:tcW w:w="4251" w:type="dxa"/>
            <w:shd w:val="clear" w:color="auto" w:fill="DBDBDB"/>
          </w:tcPr>
          <w:p w14:paraId="7164E5D5" w14:textId="77777777" w:rsidR="00FD0545" w:rsidRPr="00C376DE" w:rsidRDefault="00FD0545" w:rsidP="00026782">
            <w:pPr>
              <w:contextualSpacing/>
              <w:jc w:val="both"/>
              <w:rPr>
                <w:rFonts w:eastAsia="Calibri"/>
                <w:sz w:val="22"/>
                <w:szCs w:val="22"/>
              </w:rPr>
            </w:pPr>
            <w:r w:rsidRPr="00C376DE">
              <w:rPr>
                <w:rFonts w:eastAsia="Calibri"/>
                <w:sz w:val="22"/>
                <w:szCs w:val="22"/>
              </w:rPr>
              <w:t>TFIR TÉR</w:t>
            </w:r>
          </w:p>
        </w:tc>
        <w:tc>
          <w:tcPr>
            <w:tcW w:w="2693" w:type="dxa"/>
            <w:shd w:val="clear" w:color="auto" w:fill="DBDBDB"/>
          </w:tcPr>
          <w:p w14:paraId="46D206ED" w14:textId="77777777" w:rsidR="00FD0545" w:rsidRPr="00C376DE" w:rsidRDefault="00FD0545" w:rsidP="00026782">
            <w:pPr>
              <w:contextualSpacing/>
              <w:jc w:val="both"/>
              <w:rPr>
                <w:rFonts w:eastAsia="Calibri"/>
                <w:sz w:val="22"/>
                <w:szCs w:val="22"/>
              </w:rPr>
            </w:pPr>
            <w:r w:rsidRPr="00C376DE">
              <w:rPr>
                <w:rFonts w:eastAsia="Calibri"/>
                <w:sz w:val="22"/>
                <w:szCs w:val="22"/>
              </w:rPr>
              <w:t>II.</w:t>
            </w:r>
            <w:proofErr w:type="gramStart"/>
            <w:r w:rsidRPr="00C376DE">
              <w:rPr>
                <w:rFonts w:eastAsia="Calibri"/>
                <w:sz w:val="22"/>
                <w:szCs w:val="22"/>
              </w:rPr>
              <w:t>A</w:t>
            </w:r>
            <w:proofErr w:type="gramEnd"/>
            <w:r w:rsidRPr="00C376DE">
              <w:rPr>
                <w:rFonts w:eastAsia="Calibri"/>
                <w:sz w:val="22"/>
                <w:szCs w:val="22"/>
              </w:rPr>
              <w:t>.1</w:t>
            </w:r>
          </w:p>
        </w:tc>
      </w:tr>
      <w:tr w:rsidR="00FD0545" w:rsidRPr="00C376DE" w14:paraId="52667605" w14:textId="77777777" w:rsidTr="00026782">
        <w:trPr>
          <w:jc w:val="center"/>
        </w:trPr>
        <w:tc>
          <w:tcPr>
            <w:tcW w:w="1277" w:type="dxa"/>
            <w:shd w:val="clear" w:color="auto" w:fill="EDEDED"/>
          </w:tcPr>
          <w:p w14:paraId="4E9A3434" w14:textId="77777777" w:rsidR="00FD0545" w:rsidRPr="00C376DE" w:rsidRDefault="00FD0545" w:rsidP="00026782">
            <w:pPr>
              <w:contextualSpacing/>
              <w:jc w:val="center"/>
              <w:rPr>
                <w:rFonts w:eastAsia="Calibri"/>
                <w:sz w:val="22"/>
                <w:szCs w:val="22"/>
              </w:rPr>
            </w:pPr>
            <w:r w:rsidRPr="00C376DE">
              <w:rPr>
                <w:rFonts w:eastAsia="Calibri"/>
                <w:sz w:val="22"/>
                <w:szCs w:val="22"/>
              </w:rPr>
              <w:t>3.4</w:t>
            </w:r>
          </w:p>
        </w:tc>
        <w:tc>
          <w:tcPr>
            <w:tcW w:w="4251" w:type="dxa"/>
            <w:shd w:val="clear" w:color="auto" w:fill="EDEDED"/>
          </w:tcPr>
          <w:p w14:paraId="0CD17BB3" w14:textId="77777777" w:rsidR="00FD0545" w:rsidRPr="00C376DE" w:rsidRDefault="00FD0545" w:rsidP="00026782">
            <w:pPr>
              <w:contextualSpacing/>
              <w:jc w:val="both"/>
              <w:rPr>
                <w:rFonts w:eastAsia="Calibri"/>
                <w:sz w:val="22"/>
                <w:szCs w:val="22"/>
              </w:rPr>
            </w:pPr>
            <w:r w:rsidRPr="00C376DE">
              <w:rPr>
                <w:rFonts w:eastAsia="Calibri"/>
                <w:sz w:val="22"/>
                <w:szCs w:val="22"/>
              </w:rPr>
              <w:t>TTF TÉR+KÖZ TÉR</w:t>
            </w:r>
          </w:p>
        </w:tc>
        <w:tc>
          <w:tcPr>
            <w:tcW w:w="2693" w:type="dxa"/>
            <w:shd w:val="clear" w:color="auto" w:fill="EDEDED"/>
          </w:tcPr>
          <w:p w14:paraId="5B832D1C" w14:textId="77777777" w:rsidR="00FD0545" w:rsidRPr="00C376DE" w:rsidRDefault="00FD0545" w:rsidP="00026782">
            <w:pPr>
              <w:contextualSpacing/>
              <w:jc w:val="both"/>
              <w:rPr>
                <w:rFonts w:eastAsia="Calibri"/>
                <w:sz w:val="22"/>
                <w:szCs w:val="22"/>
              </w:rPr>
            </w:pPr>
            <w:r w:rsidRPr="00C376DE">
              <w:rPr>
                <w:rFonts w:eastAsia="Calibri"/>
                <w:sz w:val="22"/>
                <w:szCs w:val="22"/>
              </w:rPr>
              <w:t>III.</w:t>
            </w:r>
            <w:proofErr w:type="gramStart"/>
            <w:r w:rsidRPr="00C376DE">
              <w:rPr>
                <w:rFonts w:eastAsia="Calibri"/>
                <w:sz w:val="22"/>
                <w:szCs w:val="22"/>
              </w:rPr>
              <w:t>A</w:t>
            </w:r>
            <w:proofErr w:type="gramEnd"/>
            <w:r w:rsidRPr="00C376DE">
              <w:rPr>
                <w:rFonts w:eastAsia="Calibri"/>
                <w:sz w:val="22"/>
                <w:szCs w:val="22"/>
              </w:rPr>
              <w:t>.3, III.A.8</w:t>
            </w:r>
          </w:p>
        </w:tc>
      </w:tr>
      <w:tr w:rsidR="00FD0545" w:rsidRPr="00C376DE" w14:paraId="630FF3E8" w14:textId="77777777" w:rsidTr="00026782">
        <w:trPr>
          <w:jc w:val="center"/>
        </w:trPr>
        <w:tc>
          <w:tcPr>
            <w:tcW w:w="1277" w:type="dxa"/>
            <w:shd w:val="clear" w:color="auto" w:fill="DBDBDB"/>
          </w:tcPr>
          <w:p w14:paraId="3FCA7868" w14:textId="77777777" w:rsidR="00FD0545" w:rsidRPr="00C376DE" w:rsidRDefault="00FD0545" w:rsidP="00026782">
            <w:pPr>
              <w:contextualSpacing/>
              <w:jc w:val="center"/>
              <w:rPr>
                <w:rFonts w:eastAsia="Calibri"/>
                <w:sz w:val="22"/>
                <w:szCs w:val="22"/>
              </w:rPr>
            </w:pPr>
            <w:r w:rsidRPr="00C376DE">
              <w:rPr>
                <w:rFonts w:eastAsia="Calibri"/>
                <w:sz w:val="22"/>
                <w:szCs w:val="22"/>
              </w:rPr>
              <w:t>3.5</w:t>
            </w:r>
          </w:p>
        </w:tc>
        <w:tc>
          <w:tcPr>
            <w:tcW w:w="4251" w:type="dxa"/>
            <w:shd w:val="clear" w:color="auto" w:fill="DBDBDB"/>
          </w:tcPr>
          <w:p w14:paraId="5579F869" w14:textId="77777777" w:rsidR="00FD0545" w:rsidRPr="00C376DE" w:rsidRDefault="00FD0545" w:rsidP="00026782">
            <w:pPr>
              <w:contextualSpacing/>
              <w:jc w:val="both"/>
              <w:rPr>
                <w:rFonts w:eastAsia="Calibri"/>
                <w:sz w:val="22"/>
                <w:szCs w:val="22"/>
              </w:rPr>
            </w:pPr>
            <w:r w:rsidRPr="00C376DE">
              <w:rPr>
                <w:rFonts w:eastAsia="Calibri"/>
                <w:sz w:val="22"/>
                <w:szCs w:val="22"/>
              </w:rPr>
              <w:t>TKSZ TÉR</w:t>
            </w:r>
          </w:p>
        </w:tc>
        <w:tc>
          <w:tcPr>
            <w:tcW w:w="2693" w:type="dxa"/>
            <w:shd w:val="clear" w:color="auto" w:fill="DBDBDB"/>
          </w:tcPr>
          <w:p w14:paraId="433BAAB0" w14:textId="77777777" w:rsidR="00FD0545" w:rsidRPr="00C376DE" w:rsidRDefault="00FD0545" w:rsidP="00026782">
            <w:pPr>
              <w:contextualSpacing/>
              <w:jc w:val="both"/>
              <w:rPr>
                <w:rFonts w:eastAsia="Calibri"/>
                <w:sz w:val="22"/>
                <w:szCs w:val="22"/>
              </w:rPr>
            </w:pPr>
            <w:r w:rsidRPr="00C376DE">
              <w:rPr>
                <w:rFonts w:eastAsia="Calibri"/>
                <w:sz w:val="22"/>
                <w:szCs w:val="22"/>
              </w:rPr>
              <w:t>II.</w:t>
            </w:r>
            <w:proofErr w:type="gramStart"/>
            <w:r w:rsidRPr="00C376DE">
              <w:rPr>
                <w:rFonts w:eastAsia="Calibri"/>
                <w:sz w:val="22"/>
                <w:szCs w:val="22"/>
              </w:rPr>
              <w:t>A</w:t>
            </w:r>
            <w:proofErr w:type="gramEnd"/>
            <w:r w:rsidRPr="00C376DE">
              <w:rPr>
                <w:rFonts w:eastAsia="Calibri"/>
                <w:sz w:val="22"/>
                <w:szCs w:val="22"/>
              </w:rPr>
              <w:t>.2</w:t>
            </w:r>
          </w:p>
        </w:tc>
      </w:tr>
      <w:tr w:rsidR="00FD0545" w:rsidRPr="00C376DE" w14:paraId="3B15977E" w14:textId="77777777" w:rsidTr="00026782">
        <w:trPr>
          <w:jc w:val="center"/>
        </w:trPr>
        <w:tc>
          <w:tcPr>
            <w:tcW w:w="1277" w:type="dxa"/>
            <w:shd w:val="clear" w:color="auto" w:fill="EDEDED"/>
          </w:tcPr>
          <w:p w14:paraId="760D008B" w14:textId="77777777" w:rsidR="00FD0545" w:rsidRPr="00C376DE" w:rsidRDefault="00FD0545" w:rsidP="00026782">
            <w:pPr>
              <w:contextualSpacing/>
              <w:jc w:val="center"/>
              <w:rPr>
                <w:rFonts w:eastAsia="Calibri"/>
                <w:sz w:val="22"/>
                <w:szCs w:val="22"/>
              </w:rPr>
            </w:pPr>
            <w:r w:rsidRPr="00C376DE">
              <w:rPr>
                <w:rFonts w:eastAsia="Calibri"/>
                <w:sz w:val="22"/>
                <w:szCs w:val="22"/>
              </w:rPr>
              <w:t>3.6</w:t>
            </w:r>
          </w:p>
        </w:tc>
        <w:tc>
          <w:tcPr>
            <w:tcW w:w="4251" w:type="dxa"/>
            <w:shd w:val="clear" w:color="auto" w:fill="EDEDED"/>
          </w:tcPr>
          <w:p w14:paraId="6BDAB899" w14:textId="77777777" w:rsidR="00FD0545" w:rsidRPr="00C376DE" w:rsidRDefault="00FD0545" w:rsidP="00026782">
            <w:pPr>
              <w:contextualSpacing/>
              <w:jc w:val="both"/>
              <w:rPr>
                <w:rFonts w:eastAsia="Calibri"/>
                <w:sz w:val="22"/>
                <w:szCs w:val="22"/>
              </w:rPr>
            </w:pPr>
            <w:r w:rsidRPr="00C376DE">
              <w:rPr>
                <w:rFonts w:eastAsia="Calibri"/>
                <w:sz w:val="22"/>
                <w:szCs w:val="22"/>
              </w:rPr>
              <w:t>KIV TÉR</w:t>
            </w:r>
          </w:p>
        </w:tc>
        <w:tc>
          <w:tcPr>
            <w:tcW w:w="2693" w:type="dxa"/>
            <w:shd w:val="clear" w:color="auto" w:fill="EDEDED"/>
          </w:tcPr>
          <w:p w14:paraId="40E8B932" w14:textId="77777777" w:rsidR="00FD0545" w:rsidRPr="00C376DE" w:rsidRDefault="00FD0545" w:rsidP="00026782">
            <w:pPr>
              <w:contextualSpacing/>
              <w:jc w:val="both"/>
              <w:rPr>
                <w:rFonts w:eastAsia="Calibri"/>
                <w:sz w:val="22"/>
                <w:szCs w:val="22"/>
              </w:rPr>
            </w:pPr>
            <w:r w:rsidRPr="00C376DE">
              <w:rPr>
                <w:rFonts w:eastAsia="Calibri"/>
                <w:sz w:val="22"/>
                <w:szCs w:val="22"/>
              </w:rPr>
              <w:t>II.</w:t>
            </w:r>
            <w:proofErr w:type="gramStart"/>
            <w:r w:rsidRPr="00C376DE">
              <w:rPr>
                <w:rFonts w:eastAsia="Calibri"/>
                <w:sz w:val="22"/>
                <w:szCs w:val="22"/>
              </w:rPr>
              <w:t>A</w:t>
            </w:r>
            <w:proofErr w:type="gramEnd"/>
            <w:r w:rsidRPr="00C376DE">
              <w:rPr>
                <w:rFonts w:eastAsia="Calibri"/>
                <w:sz w:val="22"/>
                <w:szCs w:val="22"/>
              </w:rPr>
              <w:t>.6</w:t>
            </w:r>
          </w:p>
        </w:tc>
      </w:tr>
      <w:tr w:rsidR="00FD0545" w:rsidRPr="00C376DE" w14:paraId="613D9B2C" w14:textId="77777777" w:rsidTr="00026782">
        <w:trPr>
          <w:jc w:val="center"/>
        </w:trPr>
        <w:tc>
          <w:tcPr>
            <w:tcW w:w="1277" w:type="dxa"/>
            <w:shd w:val="clear" w:color="auto" w:fill="DBDBDB"/>
          </w:tcPr>
          <w:p w14:paraId="46619EEE" w14:textId="77777777" w:rsidR="00FD0545" w:rsidRPr="00C376DE" w:rsidRDefault="00FD0545" w:rsidP="00026782">
            <w:pPr>
              <w:contextualSpacing/>
              <w:jc w:val="center"/>
              <w:rPr>
                <w:rFonts w:eastAsia="Calibri"/>
                <w:sz w:val="22"/>
                <w:szCs w:val="22"/>
              </w:rPr>
            </w:pPr>
            <w:r w:rsidRPr="00C376DE">
              <w:rPr>
                <w:rFonts w:eastAsia="Calibri"/>
                <w:sz w:val="22"/>
                <w:szCs w:val="22"/>
              </w:rPr>
              <w:t>3.7</w:t>
            </w:r>
          </w:p>
        </w:tc>
        <w:tc>
          <w:tcPr>
            <w:tcW w:w="4251" w:type="dxa"/>
            <w:shd w:val="clear" w:color="auto" w:fill="DBDBDB"/>
          </w:tcPr>
          <w:p w14:paraId="2A1AE85A" w14:textId="77777777" w:rsidR="00FD0545" w:rsidRPr="00C376DE" w:rsidRDefault="00FD0545" w:rsidP="00026782">
            <w:pPr>
              <w:contextualSpacing/>
              <w:jc w:val="both"/>
              <w:rPr>
                <w:rFonts w:eastAsia="Calibri"/>
                <w:sz w:val="22"/>
                <w:szCs w:val="22"/>
              </w:rPr>
            </w:pPr>
            <w:r w:rsidRPr="00C376DE">
              <w:rPr>
                <w:rFonts w:eastAsia="Calibri"/>
                <w:sz w:val="22"/>
                <w:szCs w:val="22"/>
              </w:rPr>
              <w:t>TV TÉR+TG TÉR</w:t>
            </w:r>
          </w:p>
        </w:tc>
        <w:tc>
          <w:tcPr>
            <w:tcW w:w="2693" w:type="dxa"/>
            <w:shd w:val="clear" w:color="auto" w:fill="DBDBDB"/>
          </w:tcPr>
          <w:p w14:paraId="6550A101" w14:textId="77777777" w:rsidR="00FD0545" w:rsidRPr="00C376DE" w:rsidRDefault="00FD0545" w:rsidP="00026782">
            <w:pPr>
              <w:contextualSpacing/>
              <w:jc w:val="both"/>
              <w:rPr>
                <w:rFonts w:eastAsia="Calibri"/>
                <w:sz w:val="22"/>
                <w:szCs w:val="22"/>
              </w:rPr>
            </w:pPr>
            <w:r w:rsidRPr="00C376DE">
              <w:rPr>
                <w:rFonts w:eastAsia="Calibri"/>
                <w:sz w:val="22"/>
                <w:szCs w:val="22"/>
              </w:rPr>
              <w:t>II.</w:t>
            </w:r>
            <w:proofErr w:type="gramStart"/>
            <w:r w:rsidRPr="00C376DE">
              <w:rPr>
                <w:rFonts w:eastAsia="Calibri"/>
                <w:sz w:val="22"/>
                <w:szCs w:val="22"/>
              </w:rPr>
              <w:t>A</w:t>
            </w:r>
            <w:proofErr w:type="gramEnd"/>
            <w:r w:rsidRPr="00C376DE">
              <w:rPr>
                <w:rFonts w:eastAsia="Calibri"/>
                <w:sz w:val="22"/>
                <w:szCs w:val="22"/>
              </w:rPr>
              <w:t>.3, III.A.7</w:t>
            </w:r>
          </w:p>
        </w:tc>
      </w:tr>
      <w:tr w:rsidR="00FD0545" w:rsidRPr="00C376DE" w14:paraId="3CB7F5C0" w14:textId="77777777" w:rsidTr="00026782">
        <w:trPr>
          <w:jc w:val="center"/>
        </w:trPr>
        <w:tc>
          <w:tcPr>
            <w:tcW w:w="1277" w:type="dxa"/>
            <w:shd w:val="clear" w:color="auto" w:fill="EDEDED"/>
          </w:tcPr>
          <w:p w14:paraId="1376D1D6" w14:textId="77777777" w:rsidR="00FD0545" w:rsidRPr="00C376DE" w:rsidRDefault="00FD0545" w:rsidP="00026782">
            <w:pPr>
              <w:contextualSpacing/>
              <w:jc w:val="center"/>
              <w:rPr>
                <w:rFonts w:eastAsia="Calibri"/>
                <w:sz w:val="22"/>
                <w:szCs w:val="22"/>
              </w:rPr>
            </w:pPr>
            <w:r w:rsidRPr="00C376DE">
              <w:rPr>
                <w:rFonts w:eastAsia="Calibri"/>
                <w:sz w:val="22"/>
                <w:szCs w:val="22"/>
              </w:rPr>
              <w:t>3.8</w:t>
            </w:r>
          </w:p>
        </w:tc>
        <w:tc>
          <w:tcPr>
            <w:tcW w:w="4251" w:type="dxa"/>
            <w:shd w:val="clear" w:color="auto" w:fill="EDEDED"/>
          </w:tcPr>
          <w:p w14:paraId="505CB2F7" w14:textId="77777777" w:rsidR="00FD0545" w:rsidRPr="00C376DE" w:rsidRDefault="00FD0545" w:rsidP="00026782">
            <w:pPr>
              <w:contextualSpacing/>
              <w:jc w:val="both"/>
              <w:rPr>
                <w:rFonts w:eastAsia="Calibri"/>
                <w:sz w:val="22"/>
                <w:szCs w:val="22"/>
              </w:rPr>
            </w:pPr>
            <w:r w:rsidRPr="00C376DE">
              <w:rPr>
                <w:rFonts w:eastAsia="Calibri"/>
                <w:sz w:val="22"/>
                <w:szCs w:val="22"/>
              </w:rPr>
              <w:t>DTV TÉR</w:t>
            </w:r>
          </w:p>
        </w:tc>
        <w:tc>
          <w:tcPr>
            <w:tcW w:w="2693" w:type="dxa"/>
            <w:shd w:val="clear" w:color="auto" w:fill="EDEDED"/>
          </w:tcPr>
          <w:p w14:paraId="0F4A9EBA" w14:textId="77777777" w:rsidR="00FD0545" w:rsidRPr="00C376DE" w:rsidRDefault="00FD0545" w:rsidP="00026782">
            <w:pPr>
              <w:contextualSpacing/>
              <w:jc w:val="both"/>
              <w:rPr>
                <w:rFonts w:eastAsia="Calibri"/>
                <w:sz w:val="22"/>
                <w:szCs w:val="22"/>
              </w:rPr>
            </w:pPr>
            <w:r w:rsidRPr="00C376DE">
              <w:rPr>
                <w:rFonts w:eastAsia="Calibri"/>
                <w:sz w:val="22"/>
                <w:szCs w:val="22"/>
              </w:rPr>
              <w:t>II.</w:t>
            </w:r>
            <w:proofErr w:type="gramStart"/>
            <w:r w:rsidRPr="00C376DE">
              <w:rPr>
                <w:rFonts w:eastAsia="Calibri"/>
                <w:sz w:val="22"/>
                <w:szCs w:val="22"/>
              </w:rPr>
              <w:t>A</w:t>
            </w:r>
            <w:proofErr w:type="gramEnd"/>
            <w:r w:rsidRPr="00C376DE">
              <w:rPr>
                <w:rFonts w:eastAsia="Calibri"/>
                <w:sz w:val="22"/>
                <w:szCs w:val="22"/>
              </w:rPr>
              <w:t>.4</w:t>
            </w:r>
          </w:p>
        </w:tc>
      </w:tr>
      <w:tr w:rsidR="00FD0545" w:rsidRPr="00C376DE" w14:paraId="5B985134" w14:textId="77777777" w:rsidTr="00026782">
        <w:trPr>
          <w:jc w:val="center"/>
        </w:trPr>
        <w:tc>
          <w:tcPr>
            <w:tcW w:w="1277" w:type="dxa"/>
            <w:shd w:val="clear" w:color="auto" w:fill="DBDBDB"/>
          </w:tcPr>
          <w:p w14:paraId="785B98B8" w14:textId="77777777" w:rsidR="00FD0545" w:rsidRPr="00C376DE" w:rsidRDefault="00FD0545" w:rsidP="00026782">
            <w:pPr>
              <w:contextualSpacing/>
              <w:jc w:val="center"/>
              <w:rPr>
                <w:rFonts w:eastAsia="Calibri"/>
                <w:sz w:val="22"/>
                <w:szCs w:val="22"/>
              </w:rPr>
            </w:pPr>
            <w:r w:rsidRPr="00C376DE">
              <w:rPr>
                <w:rFonts w:eastAsia="Calibri"/>
                <w:sz w:val="22"/>
                <w:szCs w:val="22"/>
              </w:rPr>
              <w:t>3.9</w:t>
            </w:r>
          </w:p>
        </w:tc>
        <w:tc>
          <w:tcPr>
            <w:tcW w:w="4251" w:type="dxa"/>
            <w:shd w:val="clear" w:color="auto" w:fill="DBDBDB"/>
          </w:tcPr>
          <w:p w14:paraId="6CFEC01B" w14:textId="77777777" w:rsidR="00FD0545" w:rsidRPr="00C376DE" w:rsidRDefault="00FD0545" w:rsidP="00026782">
            <w:pPr>
              <w:contextualSpacing/>
              <w:jc w:val="both"/>
              <w:rPr>
                <w:rFonts w:eastAsia="Calibri"/>
                <w:sz w:val="22"/>
                <w:szCs w:val="22"/>
              </w:rPr>
            </w:pPr>
            <w:r w:rsidRPr="00C376DE">
              <w:rPr>
                <w:rFonts w:eastAsia="Calibri"/>
                <w:sz w:val="22"/>
                <w:szCs w:val="22"/>
              </w:rPr>
              <w:t>OMHV</w:t>
            </w:r>
            <w:r w:rsidRPr="00C376DE">
              <w:rPr>
                <w:rFonts w:eastAsia="Calibri"/>
                <w:sz w:val="22"/>
                <w:szCs w:val="22"/>
                <w:vertAlign w:val="subscript"/>
              </w:rPr>
              <w:t>I</w:t>
            </w:r>
            <w:r w:rsidRPr="00C376DE">
              <w:rPr>
                <w:rFonts w:eastAsia="Calibri"/>
                <w:sz w:val="22"/>
                <w:szCs w:val="22"/>
              </w:rPr>
              <w:t xml:space="preserve"> szorzó</w:t>
            </w:r>
          </w:p>
        </w:tc>
        <w:tc>
          <w:tcPr>
            <w:tcW w:w="2693" w:type="dxa"/>
            <w:shd w:val="clear" w:color="auto" w:fill="DBDBDB"/>
          </w:tcPr>
          <w:p w14:paraId="041CAFFE" w14:textId="77777777" w:rsidR="00FD0545" w:rsidRPr="00C376DE" w:rsidRDefault="00FD0545" w:rsidP="00026782">
            <w:pPr>
              <w:contextualSpacing/>
              <w:jc w:val="both"/>
              <w:rPr>
                <w:rFonts w:eastAsia="Calibri"/>
                <w:sz w:val="22"/>
                <w:szCs w:val="22"/>
              </w:rPr>
            </w:pPr>
            <w:r w:rsidRPr="00C376DE">
              <w:rPr>
                <w:rFonts w:eastAsia="Calibri"/>
                <w:sz w:val="22"/>
                <w:szCs w:val="22"/>
              </w:rPr>
              <w:t>I.B.1</w:t>
            </w:r>
          </w:p>
        </w:tc>
      </w:tr>
      <w:tr w:rsidR="00FD0545" w:rsidRPr="00C376DE" w14:paraId="001F0004" w14:textId="77777777" w:rsidTr="00026782">
        <w:trPr>
          <w:jc w:val="center"/>
        </w:trPr>
        <w:tc>
          <w:tcPr>
            <w:tcW w:w="1277" w:type="dxa"/>
            <w:shd w:val="clear" w:color="auto" w:fill="EDEDED"/>
          </w:tcPr>
          <w:p w14:paraId="7D701EFD" w14:textId="77777777" w:rsidR="00FD0545" w:rsidRPr="00C376DE" w:rsidRDefault="00FD0545" w:rsidP="00026782">
            <w:pPr>
              <w:contextualSpacing/>
              <w:jc w:val="center"/>
              <w:rPr>
                <w:rFonts w:eastAsia="Calibri"/>
                <w:sz w:val="22"/>
                <w:szCs w:val="22"/>
              </w:rPr>
            </w:pPr>
            <w:r w:rsidRPr="00C376DE">
              <w:rPr>
                <w:rFonts w:eastAsia="Calibri"/>
                <w:sz w:val="22"/>
                <w:szCs w:val="22"/>
              </w:rPr>
              <w:t>3.10</w:t>
            </w:r>
          </w:p>
        </w:tc>
        <w:tc>
          <w:tcPr>
            <w:tcW w:w="4251" w:type="dxa"/>
            <w:shd w:val="clear" w:color="auto" w:fill="EDEDED"/>
          </w:tcPr>
          <w:p w14:paraId="5161CDB7" w14:textId="77777777" w:rsidR="00FD0545" w:rsidRPr="00C376DE" w:rsidRDefault="00FD0545" w:rsidP="00026782">
            <w:pPr>
              <w:contextualSpacing/>
              <w:jc w:val="both"/>
              <w:rPr>
                <w:rFonts w:eastAsia="Calibri"/>
                <w:sz w:val="22"/>
                <w:szCs w:val="22"/>
              </w:rPr>
            </w:pPr>
            <w:r w:rsidRPr="00C376DE">
              <w:rPr>
                <w:rFonts w:eastAsia="Calibri"/>
                <w:sz w:val="22"/>
                <w:szCs w:val="22"/>
              </w:rPr>
              <w:t>OMHV</w:t>
            </w:r>
            <w:r w:rsidRPr="00C376DE">
              <w:rPr>
                <w:rFonts w:eastAsia="Calibri"/>
                <w:sz w:val="22"/>
                <w:szCs w:val="22"/>
                <w:vertAlign w:val="subscript"/>
              </w:rPr>
              <w:t>II</w:t>
            </w:r>
            <w:r w:rsidRPr="00C376DE">
              <w:rPr>
                <w:rFonts w:eastAsia="Calibri"/>
                <w:sz w:val="22"/>
                <w:szCs w:val="22"/>
              </w:rPr>
              <w:t xml:space="preserve"> szorzó</w:t>
            </w:r>
          </w:p>
        </w:tc>
        <w:tc>
          <w:tcPr>
            <w:tcW w:w="2693" w:type="dxa"/>
            <w:shd w:val="clear" w:color="auto" w:fill="EDEDED"/>
          </w:tcPr>
          <w:p w14:paraId="301DBE6C" w14:textId="77777777" w:rsidR="00FD0545" w:rsidRPr="00C376DE" w:rsidRDefault="00FD0545" w:rsidP="00026782">
            <w:pPr>
              <w:contextualSpacing/>
              <w:jc w:val="both"/>
              <w:rPr>
                <w:rFonts w:eastAsia="Calibri"/>
                <w:sz w:val="22"/>
                <w:szCs w:val="22"/>
              </w:rPr>
            </w:pPr>
            <w:r w:rsidRPr="00C376DE">
              <w:rPr>
                <w:rFonts w:eastAsia="Calibri"/>
                <w:sz w:val="22"/>
                <w:szCs w:val="22"/>
              </w:rPr>
              <w:t>I.B.2</w:t>
            </w:r>
          </w:p>
        </w:tc>
      </w:tr>
      <w:tr w:rsidR="00FD0545" w:rsidRPr="00C376DE" w14:paraId="3A7F1036" w14:textId="77777777" w:rsidTr="00026782">
        <w:trPr>
          <w:jc w:val="center"/>
        </w:trPr>
        <w:tc>
          <w:tcPr>
            <w:tcW w:w="1277" w:type="dxa"/>
            <w:shd w:val="clear" w:color="auto" w:fill="DBDBDB"/>
          </w:tcPr>
          <w:p w14:paraId="40505792" w14:textId="77777777" w:rsidR="00FD0545" w:rsidRPr="00C376DE" w:rsidRDefault="00FD0545" w:rsidP="00026782">
            <w:pPr>
              <w:contextualSpacing/>
              <w:jc w:val="center"/>
              <w:rPr>
                <w:rFonts w:eastAsia="Calibri"/>
                <w:sz w:val="22"/>
                <w:szCs w:val="22"/>
              </w:rPr>
            </w:pPr>
            <w:r w:rsidRPr="00C376DE">
              <w:rPr>
                <w:rFonts w:eastAsia="Calibri"/>
                <w:sz w:val="22"/>
                <w:szCs w:val="22"/>
              </w:rPr>
              <w:t>4.1</w:t>
            </w:r>
          </w:p>
        </w:tc>
        <w:tc>
          <w:tcPr>
            <w:tcW w:w="4251" w:type="dxa"/>
            <w:shd w:val="clear" w:color="auto" w:fill="DBDBDB"/>
          </w:tcPr>
          <w:p w14:paraId="653C45C5" w14:textId="77777777" w:rsidR="00FD0545" w:rsidRPr="00C376DE" w:rsidRDefault="00FD0545" w:rsidP="00026782">
            <w:pPr>
              <w:contextualSpacing/>
              <w:jc w:val="both"/>
              <w:rPr>
                <w:rFonts w:eastAsia="Calibri"/>
                <w:sz w:val="22"/>
                <w:szCs w:val="22"/>
              </w:rPr>
            </w:pPr>
            <w:r w:rsidRPr="00C376DE">
              <w:rPr>
                <w:rFonts w:eastAsia="Calibri"/>
                <w:sz w:val="22"/>
                <w:szCs w:val="22"/>
              </w:rPr>
              <w:t>VA TÉR X VV X TF</w:t>
            </w:r>
          </w:p>
        </w:tc>
        <w:tc>
          <w:tcPr>
            <w:tcW w:w="2693" w:type="dxa"/>
            <w:shd w:val="clear" w:color="auto" w:fill="DBDBDB"/>
          </w:tcPr>
          <w:p w14:paraId="544D749A" w14:textId="77777777" w:rsidR="00FD0545" w:rsidRPr="00C376DE" w:rsidRDefault="00FD0545" w:rsidP="00026782">
            <w:pPr>
              <w:contextualSpacing/>
              <w:jc w:val="both"/>
              <w:rPr>
                <w:rFonts w:eastAsia="Calibri"/>
                <w:sz w:val="22"/>
                <w:szCs w:val="22"/>
              </w:rPr>
            </w:pPr>
            <w:r w:rsidRPr="00C376DE">
              <w:rPr>
                <w:rFonts w:eastAsia="Calibri"/>
                <w:sz w:val="22"/>
                <w:szCs w:val="22"/>
              </w:rPr>
              <w:t>IV.</w:t>
            </w:r>
            <w:proofErr w:type="gramStart"/>
            <w:r w:rsidRPr="00C376DE">
              <w:rPr>
                <w:rFonts w:eastAsia="Calibri"/>
                <w:sz w:val="22"/>
                <w:szCs w:val="22"/>
              </w:rPr>
              <w:t>A</w:t>
            </w:r>
            <w:proofErr w:type="gramEnd"/>
            <w:r w:rsidRPr="00C376DE">
              <w:rPr>
                <w:rFonts w:eastAsia="Calibri"/>
                <w:sz w:val="22"/>
                <w:szCs w:val="22"/>
              </w:rPr>
              <w:t>.1</w:t>
            </w:r>
          </w:p>
        </w:tc>
      </w:tr>
      <w:tr w:rsidR="00FD0545" w:rsidRPr="00C376DE" w14:paraId="6CA8080B" w14:textId="77777777" w:rsidTr="00026782">
        <w:trPr>
          <w:jc w:val="center"/>
        </w:trPr>
        <w:tc>
          <w:tcPr>
            <w:tcW w:w="1277" w:type="dxa"/>
            <w:shd w:val="clear" w:color="auto" w:fill="EDEDED"/>
          </w:tcPr>
          <w:p w14:paraId="379DC068" w14:textId="77777777" w:rsidR="00FD0545" w:rsidRPr="00C376DE" w:rsidRDefault="00FD0545" w:rsidP="00026782">
            <w:pPr>
              <w:contextualSpacing/>
              <w:jc w:val="center"/>
              <w:rPr>
                <w:rFonts w:eastAsia="Calibri"/>
                <w:sz w:val="22"/>
                <w:szCs w:val="22"/>
              </w:rPr>
            </w:pPr>
            <w:r w:rsidRPr="00C376DE">
              <w:rPr>
                <w:rFonts w:eastAsia="Calibri"/>
                <w:sz w:val="22"/>
                <w:szCs w:val="22"/>
              </w:rPr>
              <w:t>4.2</w:t>
            </w:r>
          </w:p>
        </w:tc>
        <w:tc>
          <w:tcPr>
            <w:tcW w:w="4251" w:type="dxa"/>
            <w:shd w:val="clear" w:color="auto" w:fill="EDEDED"/>
          </w:tcPr>
          <w:p w14:paraId="39EB38FD" w14:textId="77777777" w:rsidR="00FD0545" w:rsidRPr="00C376DE" w:rsidRDefault="00FD0545" w:rsidP="00026782">
            <w:pPr>
              <w:contextualSpacing/>
              <w:jc w:val="both"/>
              <w:rPr>
                <w:rFonts w:eastAsia="Calibri"/>
                <w:sz w:val="22"/>
                <w:szCs w:val="22"/>
              </w:rPr>
            </w:pPr>
            <w:r w:rsidRPr="00C376DE">
              <w:rPr>
                <w:rFonts w:eastAsia="Calibri"/>
                <w:sz w:val="22"/>
                <w:szCs w:val="22"/>
              </w:rPr>
              <w:t>TQ TÉR</w:t>
            </w:r>
          </w:p>
        </w:tc>
        <w:tc>
          <w:tcPr>
            <w:tcW w:w="2693" w:type="dxa"/>
            <w:shd w:val="clear" w:color="auto" w:fill="EDEDED"/>
          </w:tcPr>
          <w:p w14:paraId="0FF60845" w14:textId="77777777" w:rsidR="00FD0545" w:rsidRPr="00C376DE" w:rsidRDefault="00FD0545" w:rsidP="00026782">
            <w:pPr>
              <w:contextualSpacing/>
              <w:jc w:val="both"/>
              <w:rPr>
                <w:rFonts w:eastAsia="Calibri"/>
                <w:sz w:val="22"/>
                <w:szCs w:val="22"/>
              </w:rPr>
            </w:pPr>
            <w:r w:rsidRPr="00C376DE">
              <w:rPr>
                <w:rFonts w:eastAsia="Calibri"/>
                <w:sz w:val="22"/>
                <w:szCs w:val="22"/>
              </w:rPr>
              <w:t>IV.</w:t>
            </w:r>
            <w:proofErr w:type="gramStart"/>
            <w:r w:rsidRPr="00C376DE">
              <w:rPr>
                <w:rFonts w:eastAsia="Calibri"/>
                <w:sz w:val="22"/>
                <w:szCs w:val="22"/>
              </w:rPr>
              <w:t>A</w:t>
            </w:r>
            <w:proofErr w:type="gramEnd"/>
            <w:r w:rsidRPr="00C376DE">
              <w:rPr>
                <w:rFonts w:eastAsia="Calibri"/>
                <w:sz w:val="22"/>
                <w:szCs w:val="22"/>
              </w:rPr>
              <w:t>.2</w:t>
            </w:r>
          </w:p>
        </w:tc>
      </w:tr>
    </w:tbl>
    <w:p w14:paraId="05498B0E" w14:textId="77777777" w:rsidR="00FD0545" w:rsidRPr="00E13CE5" w:rsidRDefault="00FD0545" w:rsidP="00FD0545">
      <w:pPr>
        <w:ind w:left="924"/>
        <w:contextualSpacing/>
        <w:jc w:val="both"/>
        <w:rPr>
          <w:rFonts w:eastAsia="Calibri"/>
          <w:sz w:val="22"/>
          <w:szCs w:val="22"/>
        </w:rPr>
      </w:pPr>
    </w:p>
    <w:p w14:paraId="716851B4" w14:textId="77777777" w:rsidR="00FD0545" w:rsidRPr="00E13CE5" w:rsidRDefault="00FD0545" w:rsidP="00FD0545">
      <w:pPr>
        <w:contextualSpacing/>
        <w:jc w:val="both"/>
        <w:rPr>
          <w:rFonts w:eastAsia="Calibri"/>
          <w:sz w:val="22"/>
          <w:szCs w:val="22"/>
        </w:rPr>
      </w:pPr>
      <w:r w:rsidRPr="00E13CE5">
        <w:rPr>
          <w:rFonts w:eastAsia="Calibri"/>
          <w:b/>
          <w:sz w:val="22"/>
          <w:szCs w:val="22"/>
        </w:rPr>
        <w:lastRenderedPageBreak/>
        <w:t>12. §</w:t>
      </w:r>
      <w:r w:rsidRPr="00E13CE5">
        <w:rPr>
          <w:rFonts w:eastAsia="Calibri"/>
          <w:sz w:val="22"/>
          <w:szCs w:val="22"/>
        </w:rPr>
        <w:t xml:space="preserve"> A 3.1 minősítési szempont esetében nem megfelelő az értékelés abban az esetben is, amennyiben a TÉR I. </w:t>
      </w:r>
      <w:proofErr w:type="spellStart"/>
      <w:r w:rsidRPr="00E13CE5">
        <w:rPr>
          <w:rFonts w:eastAsia="Calibri"/>
          <w:sz w:val="22"/>
          <w:szCs w:val="22"/>
        </w:rPr>
        <w:t>összpontszám</w:t>
      </w:r>
      <w:proofErr w:type="spellEnd"/>
      <w:r w:rsidRPr="00E13CE5">
        <w:rPr>
          <w:rFonts w:eastAsia="Calibri"/>
          <w:sz w:val="22"/>
          <w:szCs w:val="22"/>
        </w:rPr>
        <w:t xml:space="preserve"> nem éri el a 600 pontot. A 3.3 szempont esetében nem megfelelő az értékelés, amennyiben a TÉR II. </w:t>
      </w:r>
      <w:proofErr w:type="spellStart"/>
      <w:r w:rsidRPr="00E13CE5">
        <w:rPr>
          <w:rFonts w:eastAsia="Calibri"/>
          <w:sz w:val="22"/>
          <w:szCs w:val="22"/>
        </w:rPr>
        <w:t>összpontszáma</w:t>
      </w:r>
      <w:proofErr w:type="spellEnd"/>
      <w:r w:rsidRPr="00E13CE5">
        <w:rPr>
          <w:rFonts w:eastAsia="Calibri"/>
          <w:sz w:val="22"/>
          <w:szCs w:val="22"/>
        </w:rPr>
        <w:t xml:space="preserve"> nem éri el a 20 pontot. A 3.4 minősítési szempontnál nem megfelelő az értékelés, amennyiben a TÉR III. </w:t>
      </w:r>
      <w:proofErr w:type="spellStart"/>
      <w:r w:rsidRPr="00E13CE5">
        <w:rPr>
          <w:rFonts w:eastAsia="Calibri"/>
          <w:sz w:val="22"/>
          <w:szCs w:val="22"/>
        </w:rPr>
        <w:t>összpontszáma</w:t>
      </w:r>
      <w:proofErr w:type="spellEnd"/>
      <w:r w:rsidRPr="00E13CE5">
        <w:rPr>
          <w:rFonts w:eastAsia="Calibri"/>
          <w:sz w:val="22"/>
          <w:szCs w:val="22"/>
        </w:rPr>
        <w:t xml:space="preserve"> nem éri el a 300 pontot. Amennyiben az adott évben a TQ TÉR/VA TÉR ≥ 0,3 feltétel nem teljesül, akkor a közalkalmazotti minősítés 4.2 szempontja kizárólag nem megfelelő lehet.</w:t>
      </w:r>
    </w:p>
    <w:p w14:paraId="4A135A61" w14:textId="77777777" w:rsidR="00FD0545" w:rsidRPr="00E13CE5" w:rsidRDefault="00FD0545" w:rsidP="00FD0545">
      <w:pPr>
        <w:contextualSpacing/>
        <w:jc w:val="both"/>
        <w:rPr>
          <w:rFonts w:eastAsia="Calibri"/>
          <w:b/>
          <w:sz w:val="22"/>
          <w:szCs w:val="22"/>
        </w:rPr>
      </w:pPr>
    </w:p>
    <w:p w14:paraId="637F1BF8" w14:textId="77777777" w:rsidR="00FD0545" w:rsidRPr="00E13CE5" w:rsidRDefault="00FD0545" w:rsidP="00FD0545">
      <w:pPr>
        <w:contextualSpacing/>
        <w:jc w:val="both"/>
        <w:rPr>
          <w:rFonts w:eastAsia="Calibri"/>
          <w:sz w:val="22"/>
          <w:szCs w:val="22"/>
        </w:rPr>
      </w:pPr>
      <w:r w:rsidRPr="00E13CE5">
        <w:rPr>
          <w:rFonts w:eastAsia="Calibri"/>
          <w:b/>
          <w:sz w:val="22"/>
          <w:szCs w:val="22"/>
        </w:rPr>
        <w:t xml:space="preserve">13. § </w:t>
      </w:r>
      <w:r w:rsidRPr="00E13CE5">
        <w:rPr>
          <w:rFonts w:eastAsia="Calibri"/>
          <w:sz w:val="22"/>
          <w:szCs w:val="22"/>
        </w:rPr>
        <w:t xml:space="preserve">A </w:t>
      </w:r>
      <w:proofErr w:type="spellStart"/>
      <w:r w:rsidRPr="00E13CE5">
        <w:rPr>
          <w:rFonts w:eastAsia="Calibri"/>
          <w:sz w:val="22"/>
          <w:szCs w:val="22"/>
        </w:rPr>
        <w:t>Fkr</w:t>
      </w:r>
      <w:proofErr w:type="spellEnd"/>
      <w:r w:rsidRPr="00E13CE5">
        <w:rPr>
          <w:rFonts w:eastAsia="Calibri"/>
          <w:sz w:val="22"/>
          <w:szCs w:val="22"/>
        </w:rPr>
        <w:t xml:space="preserve"> 51.§ (8) alapján a közalkalmazott a minősítés eredményeként kiválóan alkalmas, alkalmas, kevéssé alkalmas és alkalmatlan értékelést kaphat.  Az értékelés eredményét az egyes szempontok értékelésekor adható legmagasabb pontszámnak a ténylegesen adott pontszámokhoz való viszonyított aránya alapján kell megállapítani az alábbiak szerint: </w:t>
      </w:r>
    </w:p>
    <w:p w14:paraId="1E60E60B" w14:textId="77777777" w:rsidR="00FD0545" w:rsidRPr="00E13CE5" w:rsidRDefault="00FD0545" w:rsidP="00FD0545">
      <w:pPr>
        <w:ind w:left="851"/>
        <w:contextualSpacing/>
        <w:jc w:val="both"/>
        <w:rPr>
          <w:rFonts w:eastAsia="Calibri"/>
          <w:sz w:val="22"/>
          <w:szCs w:val="22"/>
        </w:rPr>
      </w:pPr>
    </w:p>
    <w:p w14:paraId="0665EB86" w14:textId="77777777" w:rsidR="00FD0545" w:rsidRPr="00E13CE5" w:rsidRDefault="00FD0545" w:rsidP="00F83E93">
      <w:pPr>
        <w:numPr>
          <w:ilvl w:val="0"/>
          <w:numId w:val="147"/>
        </w:numPr>
        <w:ind w:left="851"/>
        <w:contextualSpacing/>
        <w:jc w:val="both"/>
        <w:rPr>
          <w:rFonts w:eastAsia="Calibri"/>
          <w:sz w:val="22"/>
          <w:szCs w:val="22"/>
        </w:rPr>
      </w:pPr>
      <w:r w:rsidRPr="00E13CE5">
        <w:rPr>
          <w:rFonts w:eastAsia="Calibri"/>
          <w:sz w:val="22"/>
          <w:szCs w:val="22"/>
        </w:rPr>
        <w:t xml:space="preserve">nyolcvantól száz százalékig kiválóan alkalmas, </w:t>
      </w:r>
    </w:p>
    <w:p w14:paraId="0F0917A6" w14:textId="77777777" w:rsidR="00FD0545" w:rsidRPr="00E13CE5" w:rsidRDefault="00FD0545" w:rsidP="00F83E93">
      <w:pPr>
        <w:numPr>
          <w:ilvl w:val="0"/>
          <w:numId w:val="147"/>
        </w:numPr>
        <w:ind w:left="851"/>
        <w:contextualSpacing/>
        <w:jc w:val="both"/>
        <w:rPr>
          <w:rFonts w:eastAsia="Calibri"/>
          <w:sz w:val="22"/>
          <w:szCs w:val="22"/>
        </w:rPr>
      </w:pPr>
      <w:r w:rsidRPr="00E13CE5">
        <w:rPr>
          <w:rFonts w:eastAsia="Calibri"/>
          <w:sz w:val="22"/>
          <w:szCs w:val="22"/>
        </w:rPr>
        <w:t xml:space="preserve">hatvantól hetvenkilenc százalékig alkalmas, </w:t>
      </w:r>
    </w:p>
    <w:p w14:paraId="6ADCF5F9" w14:textId="77777777" w:rsidR="00FD0545" w:rsidRPr="00E13CE5" w:rsidRDefault="00FD0545" w:rsidP="00F83E93">
      <w:pPr>
        <w:numPr>
          <w:ilvl w:val="0"/>
          <w:numId w:val="147"/>
        </w:numPr>
        <w:ind w:left="851"/>
        <w:contextualSpacing/>
        <w:jc w:val="both"/>
        <w:rPr>
          <w:rFonts w:eastAsia="Calibri"/>
          <w:sz w:val="22"/>
          <w:szCs w:val="22"/>
        </w:rPr>
      </w:pPr>
      <w:r w:rsidRPr="00E13CE5">
        <w:rPr>
          <w:rFonts w:eastAsia="Calibri"/>
          <w:sz w:val="22"/>
          <w:szCs w:val="22"/>
        </w:rPr>
        <w:t>harminctól ötvenkilenc százalékig kevéssé alkalmas,</w:t>
      </w:r>
    </w:p>
    <w:p w14:paraId="39D533EA" w14:textId="77777777" w:rsidR="00FD0545" w:rsidRPr="00E13CE5" w:rsidRDefault="00FD0545" w:rsidP="00F83E93">
      <w:pPr>
        <w:numPr>
          <w:ilvl w:val="0"/>
          <w:numId w:val="147"/>
        </w:numPr>
        <w:ind w:left="851"/>
        <w:contextualSpacing/>
        <w:jc w:val="both"/>
        <w:rPr>
          <w:rFonts w:eastAsia="Calibri"/>
          <w:sz w:val="22"/>
          <w:szCs w:val="22"/>
        </w:rPr>
      </w:pPr>
      <w:r w:rsidRPr="00E13CE5">
        <w:rPr>
          <w:rFonts w:eastAsia="Calibri"/>
          <w:sz w:val="22"/>
          <w:szCs w:val="22"/>
        </w:rPr>
        <w:t xml:space="preserve">harminc százalék alatt alkalmatlan </w:t>
      </w:r>
    </w:p>
    <w:p w14:paraId="4335658F" w14:textId="77777777" w:rsidR="00FD0545" w:rsidRPr="00E13CE5" w:rsidRDefault="00FD0545" w:rsidP="00FD0545">
      <w:pPr>
        <w:ind w:left="851"/>
        <w:contextualSpacing/>
        <w:jc w:val="both"/>
        <w:rPr>
          <w:rFonts w:eastAsia="Calibri"/>
          <w:sz w:val="22"/>
          <w:szCs w:val="22"/>
        </w:rPr>
      </w:pPr>
    </w:p>
    <w:p w14:paraId="7285F8B6" w14:textId="77777777" w:rsidR="00FD0545" w:rsidRPr="00E13CE5" w:rsidRDefault="00FD0545" w:rsidP="00FD0545">
      <w:pPr>
        <w:contextualSpacing/>
        <w:jc w:val="both"/>
        <w:rPr>
          <w:rFonts w:eastAsia="Calibri"/>
          <w:sz w:val="22"/>
          <w:szCs w:val="22"/>
        </w:rPr>
      </w:pPr>
      <w:proofErr w:type="gramStart"/>
      <w:r w:rsidRPr="00E13CE5">
        <w:rPr>
          <w:rFonts w:eastAsia="Calibri"/>
          <w:sz w:val="22"/>
          <w:szCs w:val="22"/>
        </w:rPr>
        <w:t>minősítést</w:t>
      </w:r>
      <w:proofErr w:type="gramEnd"/>
      <w:r w:rsidRPr="00E13CE5">
        <w:rPr>
          <w:rFonts w:eastAsia="Calibri"/>
          <w:sz w:val="22"/>
          <w:szCs w:val="22"/>
        </w:rPr>
        <w:t xml:space="preserve"> kap a közalkalmazott. Ettől eltérően, a közalkalmazott alkalmatlan minősítést kap, ha legalább egy szempont értékelése nem megfelelő.</w:t>
      </w:r>
    </w:p>
    <w:p w14:paraId="18A34F30" w14:textId="77777777" w:rsidR="00FD0545" w:rsidRPr="00E13CE5" w:rsidRDefault="00FD0545" w:rsidP="00FD0545">
      <w:pPr>
        <w:contextualSpacing/>
        <w:jc w:val="both"/>
        <w:rPr>
          <w:rFonts w:eastAsia="Calibri"/>
          <w:b/>
          <w:sz w:val="22"/>
          <w:szCs w:val="22"/>
        </w:rPr>
      </w:pPr>
    </w:p>
    <w:p w14:paraId="4C219BA9" w14:textId="77777777" w:rsidR="00FD0545" w:rsidRPr="00E13CE5" w:rsidRDefault="00FD0545" w:rsidP="00FD0545">
      <w:pPr>
        <w:contextualSpacing/>
        <w:jc w:val="both"/>
        <w:rPr>
          <w:rFonts w:eastAsia="Calibri"/>
          <w:sz w:val="22"/>
          <w:szCs w:val="22"/>
        </w:rPr>
      </w:pPr>
      <w:r w:rsidRPr="00E13CE5">
        <w:rPr>
          <w:rFonts w:eastAsia="Calibri"/>
          <w:b/>
          <w:sz w:val="22"/>
          <w:szCs w:val="22"/>
        </w:rPr>
        <w:t>14. §</w:t>
      </w:r>
      <w:r w:rsidRPr="00E13CE5">
        <w:rPr>
          <w:rFonts w:eastAsia="Calibri"/>
          <w:sz w:val="22"/>
          <w:szCs w:val="22"/>
        </w:rPr>
        <w:t xml:space="preserve"> Amennyiben az értékelt az értékelési eljárás során három egymás utáni időszakban alkalmatlan minősítést szerez, munkaviszonya a </w:t>
      </w:r>
      <w:proofErr w:type="spellStart"/>
      <w:r w:rsidRPr="00E13CE5">
        <w:rPr>
          <w:rFonts w:eastAsia="Calibri"/>
          <w:sz w:val="22"/>
          <w:szCs w:val="22"/>
        </w:rPr>
        <w:t>Fkr</w:t>
      </w:r>
      <w:proofErr w:type="spellEnd"/>
      <w:r w:rsidRPr="00E13CE5">
        <w:rPr>
          <w:rFonts w:eastAsia="Calibri"/>
          <w:sz w:val="22"/>
          <w:szCs w:val="22"/>
        </w:rPr>
        <w:t xml:space="preserve"> 52.§ (7) szerint, a dékán döntése alapján, a munkakör betöltésére való alkalmatlanság okán felmentéssel megszüntethető.</w:t>
      </w:r>
    </w:p>
    <w:p w14:paraId="405D7737" w14:textId="77777777" w:rsidR="00FD0545" w:rsidRPr="00E13CE5" w:rsidRDefault="00FD0545" w:rsidP="00FD0545">
      <w:pPr>
        <w:contextualSpacing/>
        <w:jc w:val="both"/>
        <w:rPr>
          <w:rFonts w:eastAsia="Calibri"/>
          <w:b/>
          <w:sz w:val="22"/>
          <w:szCs w:val="22"/>
        </w:rPr>
      </w:pPr>
    </w:p>
    <w:p w14:paraId="5CB34422" w14:textId="77777777" w:rsidR="00FD0545" w:rsidRPr="00E13CE5" w:rsidRDefault="00FD0545" w:rsidP="00FD0545">
      <w:pPr>
        <w:contextualSpacing/>
        <w:jc w:val="both"/>
        <w:rPr>
          <w:rFonts w:eastAsia="Calibri"/>
          <w:sz w:val="22"/>
          <w:szCs w:val="22"/>
        </w:rPr>
      </w:pPr>
      <w:r w:rsidRPr="00E13CE5">
        <w:rPr>
          <w:rFonts w:eastAsia="Calibri"/>
          <w:b/>
          <w:sz w:val="22"/>
          <w:szCs w:val="22"/>
        </w:rPr>
        <w:t>15. §</w:t>
      </w:r>
      <w:r w:rsidRPr="00E13CE5">
        <w:rPr>
          <w:rFonts w:eastAsia="Calibri"/>
          <w:sz w:val="22"/>
          <w:szCs w:val="22"/>
        </w:rPr>
        <w:t xml:space="preserve"> Az Egészségtudományi Kar jelen TÉR szabályzatát elsőként a 2019/2020-as tanévben alkalmazza azzal, hogy az első értékelési időszakban nem alkalmazhatók a minősítés eredményéhez kapcsolódóan meghatározott jogkövetkezmények.</w:t>
      </w:r>
    </w:p>
    <w:p w14:paraId="6449AD4F" w14:textId="77777777" w:rsidR="00FD0545" w:rsidRPr="00E13CE5" w:rsidRDefault="00FD0545" w:rsidP="00FD0545">
      <w:pPr>
        <w:contextualSpacing/>
        <w:jc w:val="both"/>
        <w:rPr>
          <w:rFonts w:eastAsia="Yu Gothic Light"/>
          <w:spacing w:val="-10"/>
          <w:kern w:val="28"/>
          <w:sz w:val="22"/>
          <w:szCs w:val="22"/>
        </w:rPr>
      </w:pPr>
    </w:p>
    <w:p w14:paraId="798A8B2F" w14:textId="77777777" w:rsidR="00FD0545" w:rsidRPr="00E13CE5" w:rsidRDefault="00FD0545" w:rsidP="00FD0545">
      <w:pPr>
        <w:contextualSpacing/>
        <w:jc w:val="center"/>
        <w:rPr>
          <w:rFonts w:eastAsia="Yu Gothic Light"/>
          <w:b/>
          <w:spacing w:val="-10"/>
          <w:kern w:val="28"/>
          <w:sz w:val="22"/>
          <w:szCs w:val="22"/>
        </w:rPr>
      </w:pPr>
      <w:r w:rsidRPr="00E13CE5">
        <w:rPr>
          <w:rFonts w:eastAsia="Yu Gothic Light"/>
          <w:b/>
          <w:spacing w:val="-10"/>
          <w:kern w:val="28"/>
          <w:sz w:val="22"/>
          <w:szCs w:val="22"/>
        </w:rPr>
        <w:t>A teljesítményértékelés folyamata</w:t>
      </w:r>
    </w:p>
    <w:p w14:paraId="530A81F5" w14:textId="77777777" w:rsidR="00FD0545" w:rsidRPr="00E13CE5" w:rsidRDefault="00FD0545" w:rsidP="00FD0545">
      <w:pPr>
        <w:contextualSpacing/>
        <w:jc w:val="both"/>
        <w:rPr>
          <w:rFonts w:eastAsia="Yu Gothic Light"/>
          <w:spacing w:val="-10"/>
          <w:kern w:val="28"/>
          <w:sz w:val="22"/>
          <w:szCs w:val="22"/>
        </w:rPr>
      </w:pPr>
    </w:p>
    <w:p w14:paraId="552885D2" w14:textId="77777777" w:rsidR="00FD0545" w:rsidRPr="00E13CE5" w:rsidRDefault="00FD0545" w:rsidP="00FD0545">
      <w:pPr>
        <w:contextualSpacing/>
        <w:jc w:val="both"/>
        <w:rPr>
          <w:rFonts w:eastAsia="Calibri"/>
          <w:sz w:val="22"/>
          <w:szCs w:val="22"/>
        </w:rPr>
      </w:pPr>
      <w:r w:rsidRPr="00E13CE5">
        <w:rPr>
          <w:rFonts w:eastAsia="Yu Gothic Light"/>
          <w:b/>
          <w:spacing w:val="-10"/>
          <w:kern w:val="28"/>
          <w:sz w:val="22"/>
          <w:szCs w:val="22"/>
        </w:rPr>
        <w:t>16. §</w:t>
      </w:r>
      <w:r w:rsidRPr="00E13CE5">
        <w:rPr>
          <w:rFonts w:eastAsia="Yu Gothic Light"/>
          <w:spacing w:val="-10"/>
          <w:kern w:val="28"/>
          <w:sz w:val="22"/>
          <w:szCs w:val="22"/>
        </w:rPr>
        <w:t xml:space="preserve"> </w:t>
      </w:r>
      <w:r w:rsidRPr="00E13CE5">
        <w:rPr>
          <w:rFonts w:eastAsia="Calibri"/>
          <w:sz w:val="22"/>
          <w:szCs w:val="22"/>
        </w:rPr>
        <w:t>A Teljesítményértékelés éves időszak oktatói, tudományos, közéleti és vezetői teljesítményét értékeli a kari elvárásokhoz és az intézményi átlagos teljesítményhez viszonyítva. Az értékelés folyamat a következő szakazokra oszlik:</w:t>
      </w:r>
    </w:p>
    <w:p w14:paraId="0EA29FC2" w14:textId="77777777" w:rsidR="00FD0545" w:rsidRPr="00E13CE5" w:rsidRDefault="00FD0545" w:rsidP="00FD0545">
      <w:pPr>
        <w:contextualSpacing/>
        <w:jc w:val="both"/>
        <w:rPr>
          <w:rFonts w:eastAsia="Calibri"/>
          <w:sz w:val="22"/>
          <w:szCs w:val="22"/>
        </w:rPr>
      </w:pPr>
    </w:p>
    <w:p w14:paraId="0FD7A07C"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Adatközlési időszak (szeptember 1-június 30)</w:t>
      </w:r>
    </w:p>
    <w:p w14:paraId="5E3461B4" w14:textId="77777777" w:rsidR="00FD0545" w:rsidRPr="00E13CE5" w:rsidRDefault="00FD0545" w:rsidP="00FD0545">
      <w:pPr>
        <w:contextualSpacing/>
        <w:jc w:val="both"/>
        <w:rPr>
          <w:rFonts w:eastAsia="Calibri"/>
          <w:b/>
          <w:bCs/>
          <w:sz w:val="22"/>
          <w:szCs w:val="22"/>
        </w:rPr>
      </w:pPr>
    </w:p>
    <w:p w14:paraId="1A951A1F"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Az értékelt oktatói és kutatói munkakörben foglalkoztatott munkavállaló az adatközlési időszak végéig folyamatosan eléri a teljesítményigazolási hálózati felületet, melyre az igazolást jelentő </w:t>
      </w:r>
      <w:proofErr w:type="gramStart"/>
      <w:r w:rsidRPr="00E13CE5">
        <w:rPr>
          <w:rFonts w:eastAsia="Calibri"/>
          <w:sz w:val="22"/>
          <w:szCs w:val="22"/>
        </w:rPr>
        <w:t>dokumentumokat</w:t>
      </w:r>
      <w:proofErr w:type="gramEnd"/>
      <w:r w:rsidRPr="00E13CE5">
        <w:rPr>
          <w:rFonts w:eastAsia="Calibri"/>
          <w:sz w:val="22"/>
          <w:szCs w:val="22"/>
        </w:rPr>
        <w:t xml:space="preserve"> feltöltheti. Ezek:</w:t>
      </w:r>
    </w:p>
    <w:p w14:paraId="6517E808"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 xml:space="preserve">elektronikus felületen (is) </w:t>
      </w:r>
      <w:proofErr w:type="gramStart"/>
      <w:r w:rsidRPr="00E13CE5">
        <w:rPr>
          <w:rFonts w:eastAsia="Calibri"/>
          <w:sz w:val="22"/>
          <w:szCs w:val="22"/>
        </w:rPr>
        <w:t>publikált</w:t>
      </w:r>
      <w:proofErr w:type="gramEnd"/>
      <w:r w:rsidRPr="00E13CE5">
        <w:rPr>
          <w:rFonts w:eastAsia="Calibri"/>
          <w:sz w:val="22"/>
          <w:szCs w:val="22"/>
        </w:rPr>
        <w:t xml:space="preserve"> magyar és idegen nyelvű jegyzet internetes elérési hivatkozása</w:t>
      </w:r>
    </w:p>
    <w:p w14:paraId="612D73C4"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TÉR-</w:t>
      </w:r>
      <w:proofErr w:type="spellStart"/>
      <w:r w:rsidRPr="00E13CE5">
        <w:rPr>
          <w:rFonts w:eastAsia="Calibri"/>
          <w:sz w:val="22"/>
          <w:szCs w:val="22"/>
        </w:rPr>
        <w:t>ben</w:t>
      </w:r>
      <w:proofErr w:type="spellEnd"/>
      <w:r w:rsidRPr="00E13CE5">
        <w:rPr>
          <w:rFonts w:eastAsia="Calibri"/>
          <w:sz w:val="22"/>
          <w:szCs w:val="22"/>
        </w:rPr>
        <w:t xml:space="preserve"> újnak jelzett ZH dolgozat, vizsgadolgozat </w:t>
      </w:r>
      <w:proofErr w:type="spellStart"/>
      <w:r w:rsidRPr="00E13CE5">
        <w:rPr>
          <w:rFonts w:eastAsia="Calibri"/>
          <w:sz w:val="22"/>
          <w:szCs w:val="22"/>
        </w:rPr>
        <w:t>pdf</w:t>
      </w:r>
      <w:proofErr w:type="spellEnd"/>
      <w:r w:rsidRPr="00E13CE5">
        <w:rPr>
          <w:rFonts w:eastAsia="Calibri"/>
          <w:sz w:val="22"/>
          <w:szCs w:val="22"/>
        </w:rPr>
        <w:t xml:space="preserve"> változata</w:t>
      </w:r>
    </w:p>
    <w:p w14:paraId="27BEFF85"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 xml:space="preserve">Hivatalos felkérőlevél üléselnökségbe, konferenciaprogram, </w:t>
      </w:r>
      <w:proofErr w:type="gramStart"/>
      <w:r w:rsidRPr="00E13CE5">
        <w:rPr>
          <w:rFonts w:eastAsia="Calibri"/>
          <w:sz w:val="22"/>
          <w:szCs w:val="22"/>
        </w:rPr>
        <w:t>absztrakt</w:t>
      </w:r>
      <w:proofErr w:type="gramEnd"/>
      <w:r w:rsidRPr="00E13CE5">
        <w:rPr>
          <w:rFonts w:eastAsia="Calibri"/>
          <w:sz w:val="22"/>
          <w:szCs w:val="22"/>
        </w:rPr>
        <w:t>kötet (melyben szerepel az üléselnökségi tagság)</w:t>
      </w:r>
    </w:p>
    <w:p w14:paraId="655D5892"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Tudományos előmenetelt igazoló oklevél</w:t>
      </w:r>
    </w:p>
    <w:p w14:paraId="491BCF47"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 xml:space="preserve">Egyetemen kívüli tudományos bizottsági tagságot (MTA területi bizottság, </w:t>
      </w:r>
      <w:proofErr w:type="gramStart"/>
      <w:r w:rsidRPr="00E13CE5">
        <w:rPr>
          <w:rFonts w:eastAsia="Calibri"/>
          <w:sz w:val="22"/>
          <w:szCs w:val="22"/>
        </w:rPr>
        <w:t>etikai</w:t>
      </w:r>
      <w:proofErr w:type="gramEnd"/>
      <w:r w:rsidRPr="00E13CE5">
        <w:rPr>
          <w:rFonts w:eastAsia="Calibri"/>
          <w:sz w:val="22"/>
          <w:szCs w:val="22"/>
        </w:rPr>
        <w:t xml:space="preserve"> bizottság) igazoló dokumentum</w:t>
      </w:r>
    </w:p>
    <w:p w14:paraId="4AEBA265" w14:textId="77777777" w:rsidR="00FD0545" w:rsidRPr="00E13CE5" w:rsidRDefault="00FD0545" w:rsidP="00F83E93">
      <w:pPr>
        <w:numPr>
          <w:ilvl w:val="1"/>
          <w:numId w:val="148"/>
        </w:numPr>
        <w:contextualSpacing/>
        <w:jc w:val="both"/>
        <w:rPr>
          <w:rFonts w:eastAsia="Calibri"/>
          <w:sz w:val="22"/>
          <w:szCs w:val="22"/>
        </w:rPr>
      </w:pPr>
      <w:r w:rsidRPr="00E13CE5">
        <w:rPr>
          <w:rFonts w:eastAsia="Calibri"/>
          <w:sz w:val="22"/>
          <w:szCs w:val="22"/>
        </w:rPr>
        <w:t xml:space="preserve">Minden további, TÉR pont odaítélését alátámasztó </w:t>
      </w:r>
      <w:proofErr w:type="gramStart"/>
      <w:r w:rsidRPr="00E13CE5">
        <w:rPr>
          <w:rFonts w:eastAsia="Calibri"/>
          <w:sz w:val="22"/>
          <w:szCs w:val="22"/>
        </w:rPr>
        <w:t>dokumentum</w:t>
      </w:r>
      <w:proofErr w:type="gramEnd"/>
      <w:r w:rsidRPr="00E13CE5">
        <w:rPr>
          <w:rFonts w:eastAsia="Calibri"/>
          <w:sz w:val="22"/>
          <w:szCs w:val="22"/>
        </w:rPr>
        <w:t>.</w:t>
      </w:r>
    </w:p>
    <w:p w14:paraId="4CC1E118" w14:textId="77777777" w:rsidR="00FD0545" w:rsidRPr="00E13CE5" w:rsidRDefault="00FD0545" w:rsidP="00FD0545">
      <w:pPr>
        <w:ind w:left="1440"/>
        <w:contextualSpacing/>
        <w:jc w:val="both"/>
        <w:rPr>
          <w:rFonts w:eastAsia="Calibri"/>
          <w:sz w:val="22"/>
          <w:szCs w:val="22"/>
        </w:rPr>
      </w:pPr>
    </w:p>
    <w:p w14:paraId="44E53ED8"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Az adatközlési időszakban az értékelt oktató felelőssége az MTMT adatbázis naprakészségének biztosítása, ugyanis publikációs és tudományos tevékenység nem kerül teljesítményként elismerésre, amennyiben az nem szerepel a MTMT adatbázisban.</w:t>
      </w:r>
    </w:p>
    <w:p w14:paraId="29A8B83E" w14:textId="77777777" w:rsidR="00FD0545" w:rsidRPr="00E13CE5" w:rsidRDefault="00FD0545" w:rsidP="00FD0545">
      <w:pPr>
        <w:ind w:left="720"/>
        <w:contextualSpacing/>
        <w:jc w:val="both"/>
        <w:rPr>
          <w:rFonts w:eastAsia="Calibri"/>
          <w:sz w:val="22"/>
          <w:szCs w:val="22"/>
        </w:rPr>
      </w:pPr>
    </w:p>
    <w:p w14:paraId="48B0D8D9"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Ugyancsak az értékelt oktató feladata a következő adatbázisok naprakészségének biztosítása: ORCID, Google </w:t>
      </w:r>
      <w:proofErr w:type="spellStart"/>
      <w:r w:rsidRPr="00E13CE5">
        <w:rPr>
          <w:rFonts w:eastAsia="Calibri"/>
          <w:sz w:val="22"/>
          <w:szCs w:val="22"/>
        </w:rPr>
        <w:t>Scholar</w:t>
      </w:r>
      <w:proofErr w:type="spellEnd"/>
      <w:r w:rsidRPr="00E13CE5">
        <w:rPr>
          <w:rFonts w:eastAsia="Calibri"/>
          <w:sz w:val="22"/>
          <w:szCs w:val="22"/>
        </w:rPr>
        <w:t xml:space="preserve">, </w:t>
      </w:r>
      <w:proofErr w:type="spellStart"/>
      <w:r w:rsidRPr="00E13CE5">
        <w:rPr>
          <w:rFonts w:eastAsia="Calibri"/>
          <w:sz w:val="22"/>
          <w:szCs w:val="22"/>
        </w:rPr>
        <w:t>Scopus</w:t>
      </w:r>
      <w:proofErr w:type="spellEnd"/>
      <w:r w:rsidRPr="00E13CE5">
        <w:rPr>
          <w:rFonts w:eastAsia="Calibri"/>
          <w:sz w:val="22"/>
          <w:szCs w:val="22"/>
        </w:rPr>
        <w:t xml:space="preserve">, ResearchGate, </w:t>
      </w:r>
      <w:proofErr w:type="spellStart"/>
      <w:r w:rsidRPr="00E13CE5">
        <w:rPr>
          <w:rFonts w:eastAsia="Calibri"/>
          <w:sz w:val="22"/>
          <w:szCs w:val="22"/>
        </w:rPr>
        <w:t>Publons</w:t>
      </w:r>
      <w:proofErr w:type="spellEnd"/>
      <w:r w:rsidRPr="00E13CE5">
        <w:rPr>
          <w:rFonts w:eastAsia="Calibri"/>
          <w:sz w:val="22"/>
          <w:szCs w:val="22"/>
        </w:rPr>
        <w:t>.</w:t>
      </w:r>
    </w:p>
    <w:p w14:paraId="437BCAC2"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lastRenderedPageBreak/>
        <w:t>Az adatközlési időszakban valamennyi, dékán által ezzel a feladattal megbízott koordinátor számára az általa kitöltendő jelentési felület nyitva áll az adatok folyamatos feltölthetőségének biztosítása érdekében. Ezek a jelentések a következők:</w:t>
      </w:r>
    </w:p>
    <w:p w14:paraId="7F1E4AB7" w14:textId="77777777" w:rsidR="00FD0545" w:rsidRPr="00E13CE5" w:rsidRDefault="00FD0545" w:rsidP="00FD0545">
      <w:pPr>
        <w:ind w:left="720"/>
        <w:contextualSpacing/>
        <w:jc w:val="both"/>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988"/>
        <w:gridCol w:w="3402"/>
      </w:tblGrid>
      <w:tr w:rsidR="00FD0545" w:rsidRPr="00C376DE" w14:paraId="396DC131" w14:textId="77777777" w:rsidTr="00026782">
        <w:trPr>
          <w:jc w:val="center"/>
        </w:trPr>
        <w:tc>
          <w:tcPr>
            <w:tcW w:w="988" w:type="dxa"/>
            <w:tcBorders>
              <w:top w:val="single" w:sz="4" w:space="0" w:color="FFFFFF"/>
              <w:left w:val="single" w:sz="4" w:space="0" w:color="FFFFFF"/>
              <w:right w:val="nil"/>
            </w:tcBorders>
            <w:shd w:val="clear" w:color="auto" w:fill="EDEDED"/>
            <w:vAlign w:val="center"/>
          </w:tcPr>
          <w:p w14:paraId="4825514E" w14:textId="77777777" w:rsidR="00FD0545" w:rsidRPr="00C376DE" w:rsidRDefault="00FD0545" w:rsidP="00026782">
            <w:pPr>
              <w:contextualSpacing/>
              <w:jc w:val="center"/>
              <w:rPr>
                <w:rFonts w:eastAsia="Calibri"/>
                <w:b/>
                <w:bCs/>
                <w:sz w:val="22"/>
                <w:szCs w:val="22"/>
              </w:rPr>
            </w:pPr>
            <w:r w:rsidRPr="00C376DE">
              <w:rPr>
                <w:rFonts w:eastAsia="Calibri"/>
                <w:b/>
                <w:bCs/>
                <w:sz w:val="22"/>
                <w:szCs w:val="22"/>
              </w:rPr>
              <w:t>Jelentés száma</w:t>
            </w:r>
          </w:p>
        </w:tc>
        <w:tc>
          <w:tcPr>
            <w:tcW w:w="3402" w:type="dxa"/>
            <w:tcBorders>
              <w:top w:val="single" w:sz="4" w:space="0" w:color="FFFFFF"/>
              <w:left w:val="nil"/>
              <w:right w:val="single" w:sz="4" w:space="0" w:color="FFFFFF"/>
            </w:tcBorders>
            <w:shd w:val="clear" w:color="auto" w:fill="EDEDED"/>
            <w:vAlign w:val="center"/>
          </w:tcPr>
          <w:p w14:paraId="5AACFCDE" w14:textId="77777777" w:rsidR="00FD0545" w:rsidRPr="00C376DE" w:rsidRDefault="00FD0545" w:rsidP="00026782">
            <w:pPr>
              <w:contextualSpacing/>
              <w:jc w:val="center"/>
              <w:rPr>
                <w:rFonts w:eastAsia="Calibri"/>
                <w:b/>
                <w:bCs/>
                <w:sz w:val="22"/>
                <w:szCs w:val="22"/>
              </w:rPr>
            </w:pPr>
            <w:r w:rsidRPr="00C376DE">
              <w:rPr>
                <w:rFonts w:eastAsia="Calibri"/>
                <w:b/>
                <w:bCs/>
                <w:sz w:val="22"/>
                <w:szCs w:val="22"/>
              </w:rPr>
              <w:t>Jelentés címe</w:t>
            </w:r>
          </w:p>
        </w:tc>
      </w:tr>
      <w:tr w:rsidR="00FD0545" w:rsidRPr="00C376DE" w14:paraId="6ADD257A" w14:textId="77777777" w:rsidTr="00026782">
        <w:trPr>
          <w:jc w:val="center"/>
        </w:trPr>
        <w:tc>
          <w:tcPr>
            <w:tcW w:w="988" w:type="dxa"/>
            <w:shd w:val="clear" w:color="auto" w:fill="EDEDED"/>
          </w:tcPr>
          <w:p w14:paraId="429947E5" w14:textId="77777777" w:rsidR="00FD0545" w:rsidRPr="00C376DE" w:rsidRDefault="00FD0545" w:rsidP="00026782">
            <w:pPr>
              <w:contextualSpacing/>
              <w:jc w:val="both"/>
              <w:rPr>
                <w:rFonts w:eastAsia="Calibri"/>
                <w:sz w:val="22"/>
                <w:szCs w:val="22"/>
              </w:rPr>
            </w:pPr>
            <w:r w:rsidRPr="00C376DE">
              <w:rPr>
                <w:rFonts w:eastAsia="Calibri"/>
                <w:sz w:val="22"/>
                <w:szCs w:val="22"/>
              </w:rPr>
              <w:t>J/1.</w:t>
            </w:r>
          </w:p>
        </w:tc>
        <w:tc>
          <w:tcPr>
            <w:tcW w:w="3402" w:type="dxa"/>
            <w:shd w:val="clear" w:color="auto" w:fill="EDEDED"/>
          </w:tcPr>
          <w:p w14:paraId="0D6806E5" w14:textId="77777777" w:rsidR="00FD0545" w:rsidRPr="00C376DE" w:rsidRDefault="00FD0545" w:rsidP="00026782">
            <w:pPr>
              <w:contextualSpacing/>
              <w:jc w:val="both"/>
              <w:rPr>
                <w:rFonts w:eastAsia="Calibri"/>
                <w:sz w:val="22"/>
                <w:szCs w:val="22"/>
              </w:rPr>
            </w:pPr>
            <w:r w:rsidRPr="00C376DE">
              <w:rPr>
                <w:rFonts w:eastAsia="Calibri"/>
                <w:sz w:val="22"/>
                <w:szCs w:val="22"/>
              </w:rPr>
              <w:t>Intézeti TÉR jelentés</w:t>
            </w:r>
          </w:p>
        </w:tc>
      </w:tr>
      <w:tr w:rsidR="00FD0545" w:rsidRPr="00C376DE" w14:paraId="3E946CFF" w14:textId="77777777" w:rsidTr="00026782">
        <w:trPr>
          <w:jc w:val="center"/>
        </w:trPr>
        <w:tc>
          <w:tcPr>
            <w:tcW w:w="988" w:type="dxa"/>
            <w:shd w:val="clear" w:color="auto" w:fill="EDEDED"/>
          </w:tcPr>
          <w:p w14:paraId="40F3B28E" w14:textId="77777777" w:rsidR="00FD0545" w:rsidRPr="00C376DE" w:rsidRDefault="00FD0545" w:rsidP="00026782">
            <w:pPr>
              <w:contextualSpacing/>
              <w:jc w:val="both"/>
              <w:rPr>
                <w:rFonts w:eastAsia="Calibri"/>
                <w:sz w:val="22"/>
                <w:szCs w:val="22"/>
              </w:rPr>
            </w:pPr>
            <w:r w:rsidRPr="00C376DE">
              <w:rPr>
                <w:rFonts w:eastAsia="Calibri"/>
                <w:sz w:val="22"/>
                <w:szCs w:val="22"/>
              </w:rPr>
              <w:t>J/2.</w:t>
            </w:r>
          </w:p>
        </w:tc>
        <w:tc>
          <w:tcPr>
            <w:tcW w:w="3402" w:type="dxa"/>
            <w:shd w:val="clear" w:color="auto" w:fill="EDEDED"/>
          </w:tcPr>
          <w:p w14:paraId="6015C787" w14:textId="77777777" w:rsidR="00FD0545" w:rsidRPr="00C376DE" w:rsidRDefault="00FD0545" w:rsidP="00026782">
            <w:pPr>
              <w:contextualSpacing/>
              <w:jc w:val="both"/>
              <w:rPr>
                <w:rFonts w:eastAsia="Calibri"/>
                <w:sz w:val="22"/>
                <w:szCs w:val="22"/>
              </w:rPr>
            </w:pPr>
            <w:r w:rsidRPr="00C376DE">
              <w:rPr>
                <w:rFonts w:eastAsia="Calibri"/>
                <w:sz w:val="22"/>
                <w:szCs w:val="22"/>
              </w:rPr>
              <w:t>E-</w:t>
            </w:r>
            <w:proofErr w:type="spellStart"/>
            <w:r w:rsidRPr="00C376DE">
              <w:rPr>
                <w:rFonts w:eastAsia="Calibri"/>
                <w:sz w:val="22"/>
                <w:szCs w:val="22"/>
              </w:rPr>
              <w:t>learning</w:t>
            </w:r>
            <w:proofErr w:type="spellEnd"/>
            <w:r w:rsidRPr="00C376DE">
              <w:rPr>
                <w:rFonts w:eastAsia="Calibri"/>
                <w:sz w:val="22"/>
                <w:szCs w:val="22"/>
              </w:rPr>
              <w:t xml:space="preserve"> TÉR jelentés</w:t>
            </w:r>
          </w:p>
        </w:tc>
      </w:tr>
      <w:tr w:rsidR="00FD0545" w:rsidRPr="00C376DE" w14:paraId="5A6C7E7F" w14:textId="77777777" w:rsidTr="00026782">
        <w:trPr>
          <w:jc w:val="center"/>
        </w:trPr>
        <w:tc>
          <w:tcPr>
            <w:tcW w:w="988" w:type="dxa"/>
            <w:shd w:val="clear" w:color="auto" w:fill="EDEDED"/>
          </w:tcPr>
          <w:p w14:paraId="5F263C24" w14:textId="77777777" w:rsidR="00FD0545" w:rsidRPr="00C376DE" w:rsidRDefault="00FD0545" w:rsidP="00026782">
            <w:pPr>
              <w:contextualSpacing/>
              <w:jc w:val="both"/>
              <w:rPr>
                <w:rFonts w:eastAsia="Calibri"/>
                <w:sz w:val="22"/>
                <w:szCs w:val="22"/>
              </w:rPr>
            </w:pPr>
            <w:r w:rsidRPr="00C376DE">
              <w:rPr>
                <w:rFonts w:eastAsia="Calibri"/>
                <w:sz w:val="22"/>
                <w:szCs w:val="22"/>
              </w:rPr>
              <w:t>J/3.</w:t>
            </w:r>
          </w:p>
        </w:tc>
        <w:tc>
          <w:tcPr>
            <w:tcW w:w="3402" w:type="dxa"/>
            <w:shd w:val="clear" w:color="auto" w:fill="EDEDED"/>
          </w:tcPr>
          <w:p w14:paraId="58DE122F" w14:textId="77777777" w:rsidR="00FD0545" w:rsidRPr="00C376DE" w:rsidRDefault="00FD0545" w:rsidP="00026782">
            <w:pPr>
              <w:contextualSpacing/>
              <w:jc w:val="both"/>
              <w:rPr>
                <w:rFonts w:eastAsia="Calibri"/>
                <w:sz w:val="22"/>
                <w:szCs w:val="22"/>
              </w:rPr>
            </w:pPr>
            <w:r w:rsidRPr="00C376DE">
              <w:rPr>
                <w:rFonts w:eastAsia="Calibri"/>
                <w:sz w:val="22"/>
                <w:szCs w:val="22"/>
              </w:rPr>
              <w:t>MTMT TÉR jelentés</w:t>
            </w:r>
          </w:p>
        </w:tc>
      </w:tr>
      <w:tr w:rsidR="00FD0545" w:rsidRPr="00C376DE" w14:paraId="61D16058" w14:textId="77777777" w:rsidTr="00026782">
        <w:trPr>
          <w:jc w:val="center"/>
        </w:trPr>
        <w:tc>
          <w:tcPr>
            <w:tcW w:w="988" w:type="dxa"/>
            <w:shd w:val="clear" w:color="auto" w:fill="EDEDED"/>
          </w:tcPr>
          <w:p w14:paraId="0F3DBDC8" w14:textId="77777777" w:rsidR="00FD0545" w:rsidRPr="00C376DE" w:rsidRDefault="00FD0545" w:rsidP="00026782">
            <w:pPr>
              <w:contextualSpacing/>
              <w:jc w:val="both"/>
              <w:rPr>
                <w:rFonts w:eastAsia="Calibri"/>
                <w:sz w:val="22"/>
                <w:szCs w:val="22"/>
              </w:rPr>
            </w:pPr>
            <w:r w:rsidRPr="00C376DE">
              <w:rPr>
                <w:rFonts w:eastAsia="Calibri"/>
                <w:sz w:val="22"/>
                <w:szCs w:val="22"/>
              </w:rPr>
              <w:t>J/4.</w:t>
            </w:r>
          </w:p>
        </w:tc>
        <w:tc>
          <w:tcPr>
            <w:tcW w:w="3402" w:type="dxa"/>
            <w:shd w:val="clear" w:color="auto" w:fill="EDEDED"/>
          </w:tcPr>
          <w:p w14:paraId="4EA66DDC" w14:textId="77777777" w:rsidR="00FD0545" w:rsidRPr="00C376DE" w:rsidRDefault="00FD0545" w:rsidP="00026782">
            <w:pPr>
              <w:contextualSpacing/>
              <w:jc w:val="both"/>
              <w:rPr>
                <w:rFonts w:eastAsia="Calibri"/>
                <w:sz w:val="22"/>
                <w:szCs w:val="22"/>
              </w:rPr>
            </w:pPr>
            <w:r w:rsidRPr="00C376DE">
              <w:rPr>
                <w:rFonts w:eastAsia="Calibri"/>
                <w:sz w:val="22"/>
                <w:szCs w:val="22"/>
              </w:rPr>
              <w:t>Tehetséggondozási TÉR jelentés</w:t>
            </w:r>
          </w:p>
        </w:tc>
      </w:tr>
      <w:tr w:rsidR="00FD0545" w:rsidRPr="00C376DE" w14:paraId="32F61D3A" w14:textId="77777777" w:rsidTr="00026782">
        <w:trPr>
          <w:jc w:val="center"/>
        </w:trPr>
        <w:tc>
          <w:tcPr>
            <w:tcW w:w="988" w:type="dxa"/>
            <w:shd w:val="clear" w:color="auto" w:fill="EDEDED"/>
          </w:tcPr>
          <w:p w14:paraId="3869FE7D" w14:textId="77777777" w:rsidR="00FD0545" w:rsidRPr="00C376DE" w:rsidRDefault="00FD0545" w:rsidP="00026782">
            <w:pPr>
              <w:contextualSpacing/>
              <w:jc w:val="both"/>
              <w:rPr>
                <w:rFonts w:eastAsia="Calibri"/>
                <w:sz w:val="22"/>
                <w:szCs w:val="22"/>
              </w:rPr>
            </w:pPr>
            <w:r w:rsidRPr="00C376DE">
              <w:rPr>
                <w:rFonts w:eastAsia="Calibri"/>
                <w:sz w:val="22"/>
                <w:szCs w:val="22"/>
              </w:rPr>
              <w:t>J/5.</w:t>
            </w:r>
          </w:p>
        </w:tc>
        <w:tc>
          <w:tcPr>
            <w:tcW w:w="3402" w:type="dxa"/>
            <w:shd w:val="clear" w:color="auto" w:fill="EDEDED"/>
          </w:tcPr>
          <w:p w14:paraId="5554D82D" w14:textId="77777777" w:rsidR="00FD0545" w:rsidRPr="00C376DE" w:rsidRDefault="00FD0545" w:rsidP="00026782">
            <w:pPr>
              <w:contextualSpacing/>
              <w:jc w:val="both"/>
              <w:rPr>
                <w:rFonts w:eastAsia="Calibri"/>
                <w:sz w:val="22"/>
                <w:szCs w:val="22"/>
              </w:rPr>
            </w:pPr>
            <w:r w:rsidRPr="00C376DE">
              <w:rPr>
                <w:rFonts w:eastAsia="Calibri"/>
                <w:sz w:val="22"/>
                <w:szCs w:val="22"/>
              </w:rPr>
              <w:t>Doktori TÉR jelentés</w:t>
            </w:r>
          </w:p>
        </w:tc>
      </w:tr>
      <w:tr w:rsidR="00FD0545" w:rsidRPr="00C376DE" w14:paraId="670F8FD1" w14:textId="77777777" w:rsidTr="00026782">
        <w:trPr>
          <w:jc w:val="center"/>
        </w:trPr>
        <w:tc>
          <w:tcPr>
            <w:tcW w:w="988" w:type="dxa"/>
            <w:shd w:val="clear" w:color="auto" w:fill="EDEDED"/>
          </w:tcPr>
          <w:p w14:paraId="26CBFC9C" w14:textId="77777777" w:rsidR="00FD0545" w:rsidRPr="00C376DE" w:rsidRDefault="00FD0545" w:rsidP="00026782">
            <w:pPr>
              <w:contextualSpacing/>
              <w:jc w:val="both"/>
              <w:rPr>
                <w:rFonts w:eastAsia="Calibri"/>
                <w:sz w:val="22"/>
                <w:szCs w:val="22"/>
              </w:rPr>
            </w:pPr>
            <w:r w:rsidRPr="00C376DE">
              <w:rPr>
                <w:rFonts w:eastAsia="Calibri"/>
                <w:sz w:val="22"/>
                <w:szCs w:val="22"/>
              </w:rPr>
              <w:t>J/6.</w:t>
            </w:r>
          </w:p>
        </w:tc>
        <w:tc>
          <w:tcPr>
            <w:tcW w:w="3402" w:type="dxa"/>
            <w:shd w:val="clear" w:color="auto" w:fill="EDEDED"/>
          </w:tcPr>
          <w:p w14:paraId="7AA6AB89" w14:textId="77777777" w:rsidR="00FD0545" w:rsidRPr="00C376DE" w:rsidRDefault="00FD0545" w:rsidP="00026782">
            <w:pPr>
              <w:contextualSpacing/>
              <w:jc w:val="both"/>
              <w:rPr>
                <w:rFonts w:eastAsia="Calibri"/>
                <w:sz w:val="22"/>
                <w:szCs w:val="22"/>
              </w:rPr>
            </w:pPr>
            <w:r w:rsidRPr="00C376DE">
              <w:rPr>
                <w:rFonts w:eastAsia="Calibri"/>
                <w:sz w:val="22"/>
                <w:szCs w:val="22"/>
              </w:rPr>
              <w:t>Tudományszervezési TÉR jelentés</w:t>
            </w:r>
          </w:p>
        </w:tc>
      </w:tr>
      <w:tr w:rsidR="00FD0545" w:rsidRPr="00C376DE" w14:paraId="40990B97" w14:textId="77777777" w:rsidTr="00026782">
        <w:trPr>
          <w:jc w:val="center"/>
        </w:trPr>
        <w:tc>
          <w:tcPr>
            <w:tcW w:w="988" w:type="dxa"/>
            <w:shd w:val="clear" w:color="auto" w:fill="EDEDED"/>
          </w:tcPr>
          <w:p w14:paraId="5B0D383D" w14:textId="77777777" w:rsidR="00FD0545" w:rsidRPr="00C376DE" w:rsidRDefault="00FD0545" w:rsidP="00026782">
            <w:pPr>
              <w:contextualSpacing/>
              <w:jc w:val="both"/>
              <w:rPr>
                <w:rFonts w:eastAsia="Calibri"/>
                <w:sz w:val="22"/>
                <w:szCs w:val="22"/>
              </w:rPr>
            </w:pPr>
            <w:r w:rsidRPr="00C376DE">
              <w:rPr>
                <w:rFonts w:eastAsia="Calibri"/>
                <w:sz w:val="22"/>
                <w:szCs w:val="22"/>
              </w:rPr>
              <w:t>J/7.</w:t>
            </w:r>
          </w:p>
        </w:tc>
        <w:tc>
          <w:tcPr>
            <w:tcW w:w="3402" w:type="dxa"/>
            <w:shd w:val="clear" w:color="auto" w:fill="EDEDED"/>
          </w:tcPr>
          <w:p w14:paraId="25336AE8" w14:textId="77777777" w:rsidR="00FD0545" w:rsidRPr="00C376DE" w:rsidRDefault="00FD0545" w:rsidP="00026782">
            <w:pPr>
              <w:contextualSpacing/>
              <w:jc w:val="both"/>
              <w:rPr>
                <w:rFonts w:eastAsia="Calibri"/>
                <w:sz w:val="22"/>
                <w:szCs w:val="22"/>
              </w:rPr>
            </w:pPr>
            <w:r w:rsidRPr="00C376DE">
              <w:rPr>
                <w:rFonts w:eastAsia="Calibri"/>
                <w:sz w:val="22"/>
                <w:szCs w:val="22"/>
              </w:rPr>
              <w:t>Marketing és rendezvényszervezési TÉR jelentés</w:t>
            </w:r>
          </w:p>
        </w:tc>
      </w:tr>
      <w:tr w:rsidR="00FD0545" w:rsidRPr="00C376DE" w14:paraId="20223CA6" w14:textId="77777777" w:rsidTr="00026782">
        <w:trPr>
          <w:jc w:val="center"/>
        </w:trPr>
        <w:tc>
          <w:tcPr>
            <w:tcW w:w="988" w:type="dxa"/>
            <w:shd w:val="clear" w:color="auto" w:fill="EDEDED"/>
          </w:tcPr>
          <w:p w14:paraId="4A5E7A5E" w14:textId="77777777" w:rsidR="00FD0545" w:rsidRPr="00C376DE" w:rsidRDefault="00FD0545" w:rsidP="00026782">
            <w:pPr>
              <w:contextualSpacing/>
              <w:jc w:val="both"/>
              <w:rPr>
                <w:rFonts w:eastAsia="Calibri"/>
                <w:sz w:val="22"/>
                <w:szCs w:val="22"/>
              </w:rPr>
            </w:pPr>
            <w:r w:rsidRPr="00C376DE">
              <w:rPr>
                <w:rFonts w:eastAsia="Calibri"/>
                <w:sz w:val="22"/>
                <w:szCs w:val="22"/>
              </w:rPr>
              <w:t>J/8.</w:t>
            </w:r>
          </w:p>
        </w:tc>
        <w:tc>
          <w:tcPr>
            <w:tcW w:w="3402" w:type="dxa"/>
            <w:shd w:val="clear" w:color="auto" w:fill="EDEDED"/>
          </w:tcPr>
          <w:p w14:paraId="2589522D" w14:textId="77777777" w:rsidR="00FD0545" w:rsidRPr="00C376DE" w:rsidRDefault="00FD0545" w:rsidP="00026782">
            <w:pPr>
              <w:contextualSpacing/>
              <w:jc w:val="both"/>
              <w:rPr>
                <w:rFonts w:eastAsia="Calibri"/>
                <w:sz w:val="22"/>
                <w:szCs w:val="22"/>
              </w:rPr>
            </w:pPr>
            <w:r w:rsidRPr="00C376DE">
              <w:rPr>
                <w:rFonts w:eastAsia="Calibri"/>
                <w:sz w:val="22"/>
                <w:szCs w:val="22"/>
              </w:rPr>
              <w:t>Szervezetfejlesztési TÉR jelentés</w:t>
            </w:r>
          </w:p>
        </w:tc>
      </w:tr>
      <w:tr w:rsidR="00FD0545" w:rsidRPr="00C376DE" w14:paraId="0CC5B0F5" w14:textId="77777777" w:rsidTr="00026782">
        <w:trPr>
          <w:jc w:val="center"/>
        </w:trPr>
        <w:tc>
          <w:tcPr>
            <w:tcW w:w="988" w:type="dxa"/>
            <w:shd w:val="clear" w:color="auto" w:fill="EDEDED"/>
          </w:tcPr>
          <w:p w14:paraId="5C7D7DE6" w14:textId="77777777" w:rsidR="00FD0545" w:rsidRPr="00C376DE" w:rsidRDefault="00FD0545" w:rsidP="00026782">
            <w:pPr>
              <w:contextualSpacing/>
              <w:jc w:val="both"/>
              <w:rPr>
                <w:rFonts w:eastAsia="Calibri"/>
                <w:sz w:val="22"/>
                <w:szCs w:val="22"/>
              </w:rPr>
            </w:pPr>
            <w:r w:rsidRPr="00C376DE">
              <w:rPr>
                <w:rFonts w:eastAsia="Calibri"/>
                <w:sz w:val="22"/>
                <w:szCs w:val="22"/>
              </w:rPr>
              <w:t>J/9.</w:t>
            </w:r>
          </w:p>
        </w:tc>
        <w:tc>
          <w:tcPr>
            <w:tcW w:w="3402" w:type="dxa"/>
            <w:shd w:val="clear" w:color="auto" w:fill="EDEDED"/>
          </w:tcPr>
          <w:p w14:paraId="5553D957" w14:textId="77777777" w:rsidR="00FD0545" w:rsidRPr="00C376DE" w:rsidRDefault="00FD0545" w:rsidP="00026782">
            <w:pPr>
              <w:contextualSpacing/>
              <w:jc w:val="both"/>
              <w:rPr>
                <w:rFonts w:eastAsia="Calibri"/>
                <w:sz w:val="22"/>
                <w:szCs w:val="22"/>
              </w:rPr>
            </w:pPr>
            <w:r w:rsidRPr="00C376DE">
              <w:rPr>
                <w:rFonts w:eastAsia="Calibri"/>
                <w:sz w:val="22"/>
                <w:szCs w:val="22"/>
              </w:rPr>
              <w:t>Külügyi TÉR jelentés</w:t>
            </w:r>
          </w:p>
        </w:tc>
      </w:tr>
      <w:tr w:rsidR="00FD0545" w:rsidRPr="00C376DE" w14:paraId="2249918D" w14:textId="77777777" w:rsidTr="00026782">
        <w:trPr>
          <w:jc w:val="center"/>
        </w:trPr>
        <w:tc>
          <w:tcPr>
            <w:tcW w:w="988" w:type="dxa"/>
            <w:shd w:val="clear" w:color="auto" w:fill="EDEDED"/>
          </w:tcPr>
          <w:p w14:paraId="17224C05" w14:textId="77777777" w:rsidR="00FD0545" w:rsidRPr="00C376DE" w:rsidRDefault="00FD0545" w:rsidP="00026782">
            <w:pPr>
              <w:contextualSpacing/>
              <w:jc w:val="both"/>
              <w:rPr>
                <w:rFonts w:eastAsia="Calibri"/>
                <w:sz w:val="22"/>
                <w:szCs w:val="22"/>
              </w:rPr>
            </w:pPr>
            <w:r w:rsidRPr="00C376DE">
              <w:rPr>
                <w:rFonts w:eastAsia="Calibri"/>
                <w:sz w:val="22"/>
                <w:szCs w:val="22"/>
              </w:rPr>
              <w:t>J/10.</w:t>
            </w:r>
          </w:p>
        </w:tc>
        <w:tc>
          <w:tcPr>
            <w:tcW w:w="3402" w:type="dxa"/>
            <w:shd w:val="clear" w:color="auto" w:fill="EDEDED"/>
          </w:tcPr>
          <w:p w14:paraId="19CB2B51" w14:textId="77777777" w:rsidR="00FD0545" w:rsidRPr="00C376DE" w:rsidRDefault="00FD0545" w:rsidP="00026782">
            <w:pPr>
              <w:contextualSpacing/>
              <w:jc w:val="both"/>
              <w:rPr>
                <w:rFonts w:eastAsia="Calibri"/>
                <w:sz w:val="22"/>
                <w:szCs w:val="22"/>
              </w:rPr>
            </w:pPr>
            <w:r w:rsidRPr="00C376DE">
              <w:rPr>
                <w:rFonts w:eastAsia="Calibri"/>
                <w:sz w:val="22"/>
                <w:szCs w:val="22"/>
              </w:rPr>
              <w:t>Akkreditációs TÉR jelentés</w:t>
            </w:r>
          </w:p>
        </w:tc>
      </w:tr>
      <w:tr w:rsidR="00FD0545" w:rsidRPr="00C376DE" w14:paraId="281D9C16" w14:textId="77777777" w:rsidTr="00026782">
        <w:trPr>
          <w:jc w:val="center"/>
        </w:trPr>
        <w:tc>
          <w:tcPr>
            <w:tcW w:w="988" w:type="dxa"/>
            <w:shd w:val="clear" w:color="auto" w:fill="EDEDED"/>
          </w:tcPr>
          <w:p w14:paraId="7B61A0DE" w14:textId="77777777" w:rsidR="00FD0545" w:rsidRPr="00C376DE" w:rsidRDefault="00FD0545" w:rsidP="00026782">
            <w:pPr>
              <w:contextualSpacing/>
              <w:jc w:val="both"/>
              <w:rPr>
                <w:rFonts w:eastAsia="Calibri"/>
                <w:sz w:val="22"/>
                <w:szCs w:val="22"/>
              </w:rPr>
            </w:pPr>
            <w:r w:rsidRPr="00C376DE">
              <w:rPr>
                <w:rFonts w:eastAsia="Calibri"/>
                <w:sz w:val="22"/>
                <w:szCs w:val="22"/>
              </w:rPr>
              <w:t>J/11.</w:t>
            </w:r>
          </w:p>
        </w:tc>
        <w:tc>
          <w:tcPr>
            <w:tcW w:w="3402" w:type="dxa"/>
            <w:shd w:val="clear" w:color="auto" w:fill="EDEDED"/>
          </w:tcPr>
          <w:p w14:paraId="6B654BE6" w14:textId="77777777" w:rsidR="00FD0545" w:rsidRPr="00C376DE" w:rsidRDefault="00FD0545" w:rsidP="00026782">
            <w:pPr>
              <w:contextualSpacing/>
              <w:jc w:val="both"/>
              <w:rPr>
                <w:rFonts w:eastAsia="Calibri"/>
                <w:sz w:val="22"/>
                <w:szCs w:val="22"/>
              </w:rPr>
            </w:pPr>
            <w:r w:rsidRPr="00C376DE">
              <w:rPr>
                <w:rFonts w:eastAsia="Calibri"/>
                <w:sz w:val="22"/>
                <w:szCs w:val="22"/>
              </w:rPr>
              <w:t>Közéleti TÉR jelentés</w:t>
            </w:r>
          </w:p>
        </w:tc>
      </w:tr>
    </w:tbl>
    <w:p w14:paraId="12F9B044" w14:textId="77777777" w:rsidR="00FD0545" w:rsidRPr="00E13CE5" w:rsidRDefault="00FD0545" w:rsidP="00FD0545">
      <w:pPr>
        <w:ind w:left="720"/>
        <w:contextualSpacing/>
        <w:jc w:val="both"/>
        <w:rPr>
          <w:rFonts w:eastAsia="Calibri"/>
          <w:sz w:val="22"/>
          <w:szCs w:val="22"/>
        </w:rPr>
      </w:pPr>
    </w:p>
    <w:p w14:paraId="0FEBE3FE"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Amennyiben az adatközlő, bármely okból kifolyólag nem képes adatközlési kötelezettségének eleget tenni, e feladatkörben helyettesét a vonalbeli szakmai felettese bízza meg.</w:t>
      </w:r>
    </w:p>
    <w:p w14:paraId="67963F18" w14:textId="77777777" w:rsidR="00FD0545" w:rsidRPr="00E13CE5" w:rsidRDefault="00FD0545" w:rsidP="00FD0545">
      <w:pPr>
        <w:ind w:left="720"/>
        <w:contextualSpacing/>
        <w:jc w:val="both"/>
        <w:rPr>
          <w:rFonts w:eastAsia="Calibri"/>
          <w:sz w:val="22"/>
          <w:szCs w:val="22"/>
        </w:rPr>
      </w:pPr>
    </w:p>
    <w:p w14:paraId="09FF61ED"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Jelentési időszak (július 1-július 15)</w:t>
      </w:r>
    </w:p>
    <w:p w14:paraId="255C6B49"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 4. pontban részletezett jelentéseket teljes adattartalommal tárgyév július 15-ig kell a kitöltésért felelős személyeknek összeállítaniuk.</w:t>
      </w:r>
    </w:p>
    <w:p w14:paraId="658C8D1C" w14:textId="77777777" w:rsidR="00FD0545" w:rsidRPr="00E13CE5" w:rsidRDefault="00FD0545" w:rsidP="00FD0545">
      <w:pPr>
        <w:ind w:left="720"/>
        <w:contextualSpacing/>
        <w:jc w:val="both"/>
        <w:rPr>
          <w:rFonts w:eastAsia="Calibri"/>
          <w:sz w:val="22"/>
          <w:szCs w:val="22"/>
        </w:rPr>
      </w:pPr>
    </w:p>
    <w:p w14:paraId="5C0E50D9"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 jelentés összeállítása során figyelembe kell venni, hogy időszaki adatok az értékelési időszakra vonatkoztatva jelentendők (</w:t>
      </w:r>
      <w:r w:rsidRPr="00E13CE5">
        <w:rPr>
          <w:rFonts w:eastAsia="Calibri"/>
          <w:b/>
          <w:bCs/>
          <w:sz w:val="22"/>
          <w:szCs w:val="22"/>
        </w:rPr>
        <w:t>az értékelési időszak alatt tárgyévet megelőző év július 1-től tárgyév június 30-ig tartó időszakot kell érteni</w:t>
      </w:r>
      <w:r w:rsidRPr="00E13CE5">
        <w:rPr>
          <w:rFonts w:eastAsia="Calibri"/>
          <w:sz w:val="22"/>
          <w:szCs w:val="22"/>
        </w:rPr>
        <w:t>), míg a keresztmetszeti adatokat a fordulónapra vonatkozóan, azaz a tárgyév június 30-ai napon kell lekérdezni.</w:t>
      </w:r>
    </w:p>
    <w:p w14:paraId="2C408154" w14:textId="77777777" w:rsidR="00FD0545" w:rsidRPr="00E13CE5" w:rsidRDefault="00FD0545" w:rsidP="00FD0545">
      <w:pPr>
        <w:contextualSpacing/>
        <w:jc w:val="both"/>
        <w:rPr>
          <w:rFonts w:eastAsia="Calibri"/>
          <w:sz w:val="22"/>
          <w:szCs w:val="22"/>
        </w:rPr>
      </w:pPr>
    </w:p>
    <w:p w14:paraId="41AE4DF4"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Időszaki adatok esetén, amennyiben nem a teljes értékelési évben állt fenn a többletteljesítés alapját szolgáló tevékenység, akkor a fennállási időszaknak megfelelően, arányosítva szükséges a pontot megállapítani, és ezt a jelentésben fel kell tüntetni (így például választott tisztségek esetén, eseti bizottsági munka esetében).</w:t>
      </w:r>
    </w:p>
    <w:p w14:paraId="56F16CB2" w14:textId="77777777" w:rsidR="00FD0545" w:rsidRPr="00E13CE5" w:rsidRDefault="00FD0545" w:rsidP="00FD0545">
      <w:pPr>
        <w:contextualSpacing/>
        <w:jc w:val="both"/>
        <w:rPr>
          <w:rFonts w:eastAsia="Calibri"/>
          <w:sz w:val="22"/>
          <w:szCs w:val="22"/>
        </w:rPr>
      </w:pPr>
    </w:p>
    <w:p w14:paraId="06E3C774"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Az intézeti TÉR jelentést, tekintettel arra, hogy az intézet mutatóit tartalmazza, az intézetigazgatónak jóvá kell hagynia. Amennyiben részletes indoklással ellátva ezt elutasítja, azt az intézeti minőségügyi és teljesítményértékelési referensnek továbbítani kell, de ezt követően az érintett intézettel a minőségügyi és szervezetfejlesztési dékáni megbízott felveszi a kapcsolatot a </w:t>
      </w:r>
      <w:proofErr w:type="gramStart"/>
      <w:r w:rsidRPr="00E13CE5">
        <w:rPr>
          <w:rFonts w:eastAsia="Calibri"/>
          <w:sz w:val="22"/>
          <w:szCs w:val="22"/>
        </w:rPr>
        <w:t>konszenzusos</w:t>
      </w:r>
      <w:proofErr w:type="gramEnd"/>
      <w:r w:rsidRPr="00E13CE5">
        <w:rPr>
          <w:rFonts w:eastAsia="Calibri"/>
          <w:sz w:val="22"/>
          <w:szCs w:val="22"/>
        </w:rPr>
        <w:t xml:space="preserve"> jelentés elkészítése érdekében, melynek legkésőbb július 20-ig el kell készülnie. Amennyiben erre nem kerül sor, abban az esetben az eredetileg megküldött jelentés adatainak rögzítésére kerül sor.</w:t>
      </w:r>
    </w:p>
    <w:p w14:paraId="6B6757FF" w14:textId="77777777" w:rsidR="00FD0545" w:rsidRPr="00E13CE5" w:rsidRDefault="00FD0545" w:rsidP="00FD0545">
      <w:pPr>
        <w:contextualSpacing/>
        <w:jc w:val="both"/>
        <w:rPr>
          <w:rFonts w:eastAsia="Calibri"/>
          <w:sz w:val="22"/>
          <w:szCs w:val="22"/>
        </w:rPr>
      </w:pPr>
    </w:p>
    <w:p w14:paraId="76A7CDF1"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Adatfeldolgozási időszak (július 16-július 20)</w:t>
      </w:r>
    </w:p>
    <w:p w14:paraId="1E947D94"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Az adatfeldolgozási időszakban a minőségügyi és teljesítményértékelési koordinátor ellenőrzi a megküldött és feltöltött adatokat, hiány esetén </w:t>
      </w:r>
      <w:proofErr w:type="gramStart"/>
      <w:r w:rsidRPr="00E13CE5">
        <w:rPr>
          <w:rFonts w:eastAsia="Calibri"/>
          <w:sz w:val="22"/>
          <w:szCs w:val="22"/>
        </w:rPr>
        <w:t>korrekciót</w:t>
      </w:r>
      <w:proofErr w:type="gramEnd"/>
      <w:r w:rsidRPr="00E13CE5">
        <w:rPr>
          <w:rFonts w:eastAsia="Calibri"/>
          <w:sz w:val="22"/>
          <w:szCs w:val="22"/>
        </w:rPr>
        <w:t xml:space="preserve"> kezdeményez.</w:t>
      </w:r>
    </w:p>
    <w:p w14:paraId="41A26750" w14:textId="77777777" w:rsidR="00FD0545" w:rsidRPr="00E13CE5" w:rsidRDefault="00FD0545" w:rsidP="00FD0545">
      <w:pPr>
        <w:ind w:left="720"/>
        <w:contextualSpacing/>
        <w:jc w:val="both"/>
        <w:rPr>
          <w:rFonts w:eastAsia="Calibri"/>
          <w:sz w:val="22"/>
          <w:szCs w:val="22"/>
        </w:rPr>
      </w:pPr>
    </w:p>
    <w:p w14:paraId="0E624C05"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Ellenőrzési időszak (július 21-július 31)</w:t>
      </w:r>
    </w:p>
    <w:p w14:paraId="6C0B1B21"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Ebben az időszakban valamennyi értékelt oktató és kutató a rá vonatkozó adatokat megtekintheti, amennyiben valamelyik adattal nem ért </w:t>
      </w:r>
      <w:proofErr w:type="gramStart"/>
      <w:r w:rsidRPr="00E13CE5">
        <w:rPr>
          <w:rFonts w:eastAsia="Calibri"/>
          <w:sz w:val="22"/>
          <w:szCs w:val="22"/>
        </w:rPr>
        <w:t>egyet korrekciót</w:t>
      </w:r>
      <w:proofErr w:type="gramEnd"/>
      <w:r w:rsidRPr="00E13CE5">
        <w:rPr>
          <w:rFonts w:eastAsia="Calibri"/>
          <w:sz w:val="22"/>
          <w:szCs w:val="22"/>
        </w:rPr>
        <w:t xml:space="preserve"> kezdeményezhet az adat közléséért felelős személynél.</w:t>
      </w:r>
    </w:p>
    <w:p w14:paraId="011CAD7D"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lastRenderedPageBreak/>
        <w:t xml:space="preserve">A korrekciót kizárólag a </w:t>
      </w:r>
      <w:proofErr w:type="gramStart"/>
      <w:r w:rsidRPr="00E13CE5">
        <w:rPr>
          <w:rFonts w:eastAsia="Calibri"/>
          <w:sz w:val="22"/>
          <w:szCs w:val="22"/>
        </w:rPr>
        <w:t>kifogásolt adat</w:t>
      </w:r>
      <w:proofErr w:type="gramEnd"/>
      <w:r w:rsidRPr="00E13CE5">
        <w:rPr>
          <w:rFonts w:eastAsia="Calibri"/>
          <w:sz w:val="22"/>
          <w:szCs w:val="22"/>
        </w:rPr>
        <w:t xml:space="preserve"> forrását tartalmazó jelentés elkészítéséért, illetve az adatközlésért felelős személy végezheti úgy, hogy arra legkésőbb augusztus 5-ig sor kell, hogy kerüljön.</w:t>
      </w:r>
    </w:p>
    <w:p w14:paraId="4438487C" w14:textId="77777777" w:rsidR="00FD0545" w:rsidRPr="00E13CE5" w:rsidRDefault="00FD0545" w:rsidP="00FD0545">
      <w:pPr>
        <w:ind w:left="720"/>
        <w:contextualSpacing/>
        <w:jc w:val="both"/>
        <w:rPr>
          <w:rFonts w:eastAsia="Calibri"/>
          <w:sz w:val="22"/>
          <w:szCs w:val="22"/>
        </w:rPr>
      </w:pPr>
    </w:p>
    <w:p w14:paraId="3E41A01B"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Értékelés időszaka (augusztus 1-augusztus 20)</w:t>
      </w:r>
    </w:p>
    <w:p w14:paraId="76A7EFB1"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Az értékelés időszakában a TÉR III.</w:t>
      </w:r>
      <w:proofErr w:type="gramStart"/>
      <w:r w:rsidRPr="00E13CE5">
        <w:rPr>
          <w:rFonts w:eastAsia="Calibri"/>
          <w:sz w:val="22"/>
          <w:szCs w:val="22"/>
        </w:rPr>
        <w:t>A</w:t>
      </w:r>
      <w:proofErr w:type="gramEnd"/>
      <w:r w:rsidRPr="00E13CE5">
        <w:rPr>
          <w:rFonts w:eastAsia="Calibri"/>
          <w:sz w:val="22"/>
          <w:szCs w:val="22"/>
        </w:rPr>
        <w:t>.4 szempont tanszékvezető, illetve amennyiben az nincs, akkor az intézetigazgató általi értékelésére kerül sor. Ennek érdekében a szervezeti egység vezetője a tanszék/intézet valamennyi munkatársa vonatkozásában a TÉR valamennyi szempontját és az elért teljesítményt megtekintheti (kivéve a TÉR IV. eredményeket).</w:t>
      </w:r>
    </w:p>
    <w:p w14:paraId="23A348DF"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 xml:space="preserve">A tanszékvezető (illetve a 13. pont alapján az intézetigazgató) az elektronikus értékelő rendszerben indokolt esetben </w:t>
      </w:r>
      <w:proofErr w:type="gramStart"/>
      <w:r w:rsidRPr="00E13CE5">
        <w:rPr>
          <w:rFonts w:eastAsia="Calibri"/>
          <w:sz w:val="22"/>
          <w:szCs w:val="22"/>
        </w:rPr>
        <w:t>delegálhatja</w:t>
      </w:r>
      <w:proofErr w:type="gramEnd"/>
      <w:r w:rsidRPr="00E13CE5">
        <w:rPr>
          <w:rFonts w:eastAsia="Calibri"/>
          <w:sz w:val="22"/>
          <w:szCs w:val="22"/>
        </w:rPr>
        <w:t xml:space="preserve"> a feladatot helyettesére.</w:t>
      </w:r>
    </w:p>
    <w:p w14:paraId="4A2F5852"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Vezetői megbízatás esetén ebben az időszakban kerül sor a TÉR IV.</w:t>
      </w:r>
      <w:proofErr w:type="gramStart"/>
      <w:r w:rsidRPr="00E13CE5">
        <w:rPr>
          <w:rFonts w:eastAsia="Calibri"/>
          <w:sz w:val="22"/>
          <w:szCs w:val="22"/>
        </w:rPr>
        <w:t>A</w:t>
      </w:r>
      <w:proofErr w:type="gramEnd"/>
      <w:r w:rsidRPr="00E13CE5">
        <w:rPr>
          <w:rFonts w:eastAsia="Calibri"/>
          <w:sz w:val="22"/>
          <w:szCs w:val="22"/>
        </w:rPr>
        <w:t>.2 szempont szerinti értékelésre is, melyet az ott meghatározott szakmai vonalbeli felettes(</w:t>
      </w:r>
      <w:proofErr w:type="spellStart"/>
      <w:r w:rsidRPr="00E13CE5">
        <w:rPr>
          <w:rFonts w:eastAsia="Calibri"/>
          <w:sz w:val="22"/>
          <w:szCs w:val="22"/>
        </w:rPr>
        <w:t>ek</w:t>
      </w:r>
      <w:proofErr w:type="spellEnd"/>
      <w:r w:rsidRPr="00E13CE5">
        <w:rPr>
          <w:rFonts w:eastAsia="Calibri"/>
          <w:sz w:val="22"/>
          <w:szCs w:val="22"/>
        </w:rPr>
        <w:t>) végez(</w:t>
      </w:r>
      <w:proofErr w:type="spellStart"/>
      <w:r w:rsidRPr="00E13CE5">
        <w:rPr>
          <w:rFonts w:eastAsia="Calibri"/>
          <w:sz w:val="22"/>
          <w:szCs w:val="22"/>
        </w:rPr>
        <w:t>nek</w:t>
      </w:r>
      <w:proofErr w:type="spellEnd"/>
      <w:r w:rsidRPr="00E13CE5">
        <w:rPr>
          <w:rFonts w:eastAsia="Calibri"/>
          <w:sz w:val="22"/>
          <w:szCs w:val="22"/>
        </w:rPr>
        <w:t xml:space="preserve">). A </w:t>
      </w:r>
      <w:proofErr w:type="gramStart"/>
      <w:r w:rsidRPr="00E13CE5">
        <w:rPr>
          <w:rFonts w:eastAsia="Calibri"/>
          <w:sz w:val="22"/>
          <w:szCs w:val="22"/>
        </w:rPr>
        <w:t>reális</w:t>
      </w:r>
      <w:proofErr w:type="gramEnd"/>
      <w:r w:rsidRPr="00E13CE5">
        <w:rPr>
          <w:rFonts w:eastAsia="Calibri"/>
          <w:sz w:val="22"/>
          <w:szCs w:val="22"/>
        </w:rPr>
        <w:t xml:space="preserve"> értékelés érdekében a TÉR IV. értékelése során a többi (I-III.) TÉR eredmény nem látható az értékelő vezető számára.</w:t>
      </w:r>
    </w:p>
    <w:p w14:paraId="155C1C4E" w14:textId="77777777" w:rsidR="00FD0545" w:rsidRPr="00E13CE5" w:rsidRDefault="00FD0545" w:rsidP="00FD0545">
      <w:pPr>
        <w:ind w:left="720"/>
        <w:contextualSpacing/>
        <w:jc w:val="both"/>
        <w:rPr>
          <w:rFonts w:eastAsia="Calibri"/>
          <w:sz w:val="22"/>
          <w:szCs w:val="22"/>
        </w:rPr>
      </w:pPr>
    </w:p>
    <w:p w14:paraId="09B6A000"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Összesítési időszak (augusztus 21-augusztus 31)</w:t>
      </w:r>
    </w:p>
    <w:p w14:paraId="3E24D44D"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Ekkor kerül sor valamennyi értékelt munkavállaló dokumentációjának ellenőrzésére és összesítésére, az értékelő lap és a minősítési lap összeállítására, mely koordinációjáért a minőségügyi és teljesítményértékelési koordinátor felel.</w:t>
      </w:r>
    </w:p>
    <w:p w14:paraId="25F15F92" w14:textId="77777777" w:rsidR="00FD0545" w:rsidRPr="00E13CE5" w:rsidRDefault="00FD0545" w:rsidP="00FD0545">
      <w:pPr>
        <w:contextualSpacing/>
        <w:jc w:val="both"/>
        <w:rPr>
          <w:rFonts w:eastAsia="Calibri"/>
          <w:b/>
          <w:bCs/>
          <w:sz w:val="22"/>
          <w:szCs w:val="22"/>
        </w:rPr>
      </w:pPr>
    </w:p>
    <w:p w14:paraId="37EC3676" w14:textId="77777777" w:rsidR="00FD0545" w:rsidRPr="00E13CE5" w:rsidRDefault="00FD0545" w:rsidP="00FD0545">
      <w:pPr>
        <w:contextualSpacing/>
        <w:jc w:val="both"/>
        <w:rPr>
          <w:rFonts w:eastAsia="Calibri"/>
          <w:b/>
          <w:bCs/>
          <w:sz w:val="22"/>
          <w:szCs w:val="22"/>
        </w:rPr>
      </w:pPr>
      <w:r w:rsidRPr="00E13CE5">
        <w:rPr>
          <w:rFonts w:eastAsia="Calibri"/>
          <w:b/>
          <w:bCs/>
          <w:sz w:val="22"/>
          <w:szCs w:val="22"/>
        </w:rPr>
        <w:t>Értékelés átadása (szeptember 1)</w:t>
      </w:r>
    </w:p>
    <w:p w14:paraId="7BF21F36"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Az értékelt kézhez kapja a szervezeti egység vezetője által aláírt értékelőlapot és minősítési lapot. Ezek 1-1 példányát aláírásával ellátva visszajuttatja, amennyiben megjegyzéssel kíván élni, azt mindkét példányon megteszi.</w:t>
      </w:r>
    </w:p>
    <w:p w14:paraId="12A44C5D" w14:textId="77777777" w:rsidR="00FD0545" w:rsidRPr="00E13CE5" w:rsidRDefault="00FD0545" w:rsidP="00F83E93">
      <w:pPr>
        <w:numPr>
          <w:ilvl w:val="0"/>
          <w:numId w:val="148"/>
        </w:numPr>
        <w:contextualSpacing/>
        <w:jc w:val="both"/>
        <w:rPr>
          <w:rFonts w:eastAsia="Calibri"/>
          <w:sz w:val="22"/>
          <w:szCs w:val="22"/>
        </w:rPr>
      </w:pPr>
      <w:r w:rsidRPr="00E13CE5">
        <w:rPr>
          <w:rFonts w:eastAsia="Calibri"/>
          <w:sz w:val="22"/>
          <w:szCs w:val="22"/>
        </w:rPr>
        <w:t>Az értékelt az erre szolgálómezőben írásos megjegyzést fűzhet az értékeléshez különösen akkor, ha az abban foglaltakkal nem ért egyet.</w:t>
      </w:r>
    </w:p>
    <w:p w14:paraId="44123512" w14:textId="77777777" w:rsidR="00FD0545" w:rsidRPr="00E13CE5" w:rsidRDefault="00FD0545" w:rsidP="00FD0545">
      <w:pPr>
        <w:ind w:left="720"/>
        <w:contextualSpacing/>
        <w:jc w:val="both"/>
        <w:rPr>
          <w:rFonts w:eastAsia="Calibri"/>
          <w:sz w:val="22"/>
          <w:szCs w:val="22"/>
        </w:rPr>
      </w:pPr>
    </w:p>
    <w:p w14:paraId="098AD09B" w14:textId="77777777" w:rsidR="00FD0545" w:rsidRPr="00E13CE5" w:rsidRDefault="00FD0545" w:rsidP="00FD0545">
      <w:pPr>
        <w:contextualSpacing/>
        <w:jc w:val="center"/>
        <w:rPr>
          <w:rFonts w:eastAsia="Yu Gothic Light"/>
          <w:b/>
          <w:spacing w:val="-10"/>
          <w:kern w:val="28"/>
          <w:sz w:val="22"/>
          <w:szCs w:val="22"/>
        </w:rPr>
      </w:pPr>
      <w:r w:rsidRPr="00E13CE5">
        <w:rPr>
          <w:rFonts w:eastAsia="Yu Gothic Light"/>
          <w:b/>
          <w:spacing w:val="-10"/>
          <w:kern w:val="28"/>
          <w:sz w:val="22"/>
          <w:szCs w:val="22"/>
        </w:rPr>
        <w:t>Mérési Rendszer</w:t>
      </w:r>
    </w:p>
    <w:p w14:paraId="2D716E5A" w14:textId="77777777" w:rsidR="00FD0545" w:rsidRPr="00E13CE5" w:rsidRDefault="00FD0545" w:rsidP="00FD0545">
      <w:pPr>
        <w:contextualSpacing/>
        <w:jc w:val="center"/>
        <w:rPr>
          <w:rFonts w:eastAsia="Yu Gothic Light"/>
          <w:b/>
          <w:spacing w:val="-10"/>
          <w:kern w:val="28"/>
          <w:sz w:val="22"/>
          <w:szCs w:val="22"/>
        </w:rPr>
      </w:pPr>
    </w:p>
    <w:p w14:paraId="73A33454" w14:textId="77777777" w:rsidR="00FD0545" w:rsidRPr="00E13CE5" w:rsidRDefault="00FD0545" w:rsidP="00FD0545">
      <w:pPr>
        <w:contextualSpacing/>
        <w:jc w:val="both"/>
        <w:rPr>
          <w:rFonts w:eastAsia="Yu Gothic Light"/>
          <w:spacing w:val="-10"/>
          <w:kern w:val="28"/>
          <w:sz w:val="22"/>
          <w:szCs w:val="22"/>
        </w:rPr>
      </w:pPr>
      <w:r w:rsidRPr="00E13CE5">
        <w:rPr>
          <w:rFonts w:eastAsia="Yu Gothic Light"/>
          <w:b/>
          <w:spacing w:val="-10"/>
          <w:kern w:val="28"/>
          <w:sz w:val="22"/>
          <w:szCs w:val="22"/>
        </w:rPr>
        <w:t xml:space="preserve">17. § </w:t>
      </w:r>
      <w:r w:rsidRPr="00E13CE5">
        <w:rPr>
          <w:rFonts w:eastAsia="Yu Gothic Light"/>
          <w:spacing w:val="-10"/>
          <w:kern w:val="28"/>
          <w:sz w:val="22"/>
          <w:szCs w:val="22"/>
        </w:rPr>
        <w:t>A mérési rendszer az oktatási tevékenység (I. fejezet), a tudományos tevékenység (II. fejezet), a közéleti tevékenység (III. fejezet), valamint a vezetői TÉR (IV. fejezet) alábbi részletszabályaiból épül fel.</w:t>
      </w:r>
    </w:p>
    <w:p w14:paraId="571B7F36" w14:textId="77777777" w:rsidR="00FD0545" w:rsidRDefault="00FD0545" w:rsidP="00FD0545">
      <w:pPr>
        <w:jc w:val="both"/>
        <w:rPr>
          <w:rFonts w:eastAsia="Calibri"/>
          <w:sz w:val="22"/>
          <w:szCs w:val="22"/>
        </w:rPr>
      </w:pPr>
    </w:p>
    <w:p w14:paraId="54EC2ED4" w14:textId="77777777" w:rsidR="00FD0545" w:rsidRPr="00DF7985" w:rsidRDefault="00FD0545" w:rsidP="00FD0545">
      <w:pPr>
        <w:jc w:val="both"/>
        <w:rPr>
          <w:rFonts w:eastAsia="Calibri"/>
          <w:b/>
          <w:sz w:val="22"/>
          <w:szCs w:val="22"/>
        </w:rPr>
      </w:pPr>
      <w:r w:rsidRPr="00DF7985">
        <w:rPr>
          <w:rFonts w:eastAsia="Calibri"/>
          <w:b/>
          <w:sz w:val="22"/>
          <w:szCs w:val="22"/>
        </w:rPr>
        <w:t>I. Oktatási tevékenység</w:t>
      </w:r>
    </w:p>
    <w:p w14:paraId="03CD70A8" w14:textId="77777777" w:rsidR="00FD0545" w:rsidRDefault="00FD0545" w:rsidP="00FD0545">
      <w:pPr>
        <w:jc w:val="both"/>
        <w:rPr>
          <w:rFonts w:eastAsia="Calibri"/>
          <w:sz w:val="22"/>
          <w:szCs w:val="22"/>
        </w:rPr>
      </w:pPr>
    </w:p>
    <w:p w14:paraId="7B67973F" w14:textId="77777777" w:rsidR="00FD0545" w:rsidRDefault="00FD0545" w:rsidP="00FD0545">
      <w:pPr>
        <w:jc w:val="both"/>
        <w:rPr>
          <w:rFonts w:eastAsia="Calibri"/>
          <w:sz w:val="22"/>
          <w:szCs w:val="22"/>
        </w:rPr>
      </w:pPr>
      <w:r w:rsidRPr="00E13CE5">
        <w:rPr>
          <w:rFonts w:eastAsia="Calibri"/>
          <w:sz w:val="22"/>
          <w:szCs w:val="22"/>
        </w:rPr>
        <w:t xml:space="preserve">Az oktatási tevékenység teljesítményértékelésének alapja az oktató által, a vizsgált időszakban teljesített kontaktóra, mely az oktatás minőségi jellemzőivel az alábbiakban részletesen ismertetettek szerint kerül súlyozásra. A teljesítményértékelés során az OMHV </w:t>
      </w:r>
      <w:proofErr w:type="gramStart"/>
      <w:r w:rsidRPr="00E13CE5">
        <w:rPr>
          <w:rFonts w:eastAsia="Calibri"/>
          <w:sz w:val="22"/>
          <w:szCs w:val="22"/>
        </w:rPr>
        <w:t>korrekció</w:t>
      </w:r>
      <w:proofErr w:type="gramEnd"/>
      <w:r w:rsidRPr="00E13CE5">
        <w:rPr>
          <w:rFonts w:eastAsia="Calibri"/>
          <w:sz w:val="22"/>
          <w:szCs w:val="22"/>
        </w:rPr>
        <w:t xml:space="preserve"> kivételével kizárólag azok a kontaktórák kerülnek értékelésre, melyeket az értékelt munkaviszonya keretében teljesített, így a külön megállapodás alapján oktatott kontaktórák nem képezik részét a folyamatnak.</w:t>
      </w:r>
    </w:p>
    <w:p w14:paraId="50225142" w14:textId="77777777" w:rsidR="00FD0545" w:rsidRPr="00DF7985" w:rsidRDefault="00FD0545" w:rsidP="00FD0545">
      <w:pPr>
        <w:jc w:val="both"/>
        <w:rPr>
          <w:rFonts w:eastAsia="Calibri"/>
          <w:sz w:val="22"/>
          <w:szCs w:val="22"/>
        </w:rPr>
      </w:pPr>
    </w:p>
    <w:p w14:paraId="4F94371A" w14:textId="77777777" w:rsidR="00FD0545" w:rsidRPr="00DF7985" w:rsidRDefault="00FD0545" w:rsidP="00FD0545">
      <w:pPr>
        <w:ind w:left="708"/>
        <w:jc w:val="both"/>
        <w:rPr>
          <w:rFonts w:eastAsia="Calibri"/>
          <w:b/>
          <w:sz w:val="22"/>
          <w:szCs w:val="22"/>
        </w:rPr>
      </w:pPr>
      <w:r w:rsidRPr="00DF7985">
        <w:rPr>
          <w:rFonts w:eastAsia="Calibri"/>
          <w:b/>
          <w:sz w:val="22"/>
          <w:szCs w:val="22"/>
        </w:rPr>
        <w:t xml:space="preserve">A) Pontszámítás </w:t>
      </w:r>
    </w:p>
    <w:p w14:paraId="0412D064" w14:textId="77777777" w:rsidR="00FD0545" w:rsidRPr="00DF7985" w:rsidRDefault="00FD0545" w:rsidP="00FD0545">
      <w:pPr>
        <w:rPr>
          <w:sz w:val="22"/>
          <w:szCs w:val="22"/>
        </w:rPr>
      </w:pPr>
    </w:p>
    <w:p w14:paraId="60D14E0A" w14:textId="77777777" w:rsidR="00FD0545" w:rsidRPr="00DF7985" w:rsidRDefault="00FD0545" w:rsidP="00FD0545">
      <w:pPr>
        <w:ind w:left="1416"/>
        <w:rPr>
          <w:b/>
          <w:sz w:val="22"/>
          <w:szCs w:val="22"/>
        </w:rPr>
      </w:pPr>
      <w:r w:rsidRPr="00DF7985">
        <w:rPr>
          <w:b/>
          <w:sz w:val="22"/>
          <w:szCs w:val="22"/>
        </w:rPr>
        <w:t xml:space="preserve">1. Kontaktóraalappontszám (KSZ TÉR) </w:t>
      </w:r>
    </w:p>
    <w:p w14:paraId="58ABBAEF" w14:textId="77777777" w:rsidR="00FD0545" w:rsidRPr="00DF7985" w:rsidRDefault="00FD0545" w:rsidP="00FD0545">
      <w:pPr>
        <w:rPr>
          <w:sz w:val="22"/>
          <w:szCs w:val="22"/>
        </w:rPr>
      </w:pPr>
    </w:p>
    <w:p w14:paraId="4F2F52D7" w14:textId="77777777" w:rsidR="00FD0545" w:rsidRPr="00E13CE5" w:rsidRDefault="00FD0545" w:rsidP="00FD0545">
      <w:pPr>
        <w:jc w:val="both"/>
        <w:rPr>
          <w:rFonts w:eastAsia="Calibri"/>
          <w:sz w:val="22"/>
          <w:szCs w:val="22"/>
        </w:rPr>
      </w:pPr>
      <w:r w:rsidRPr="00E13CE5">
        <w:rPr>
          <w:rFonts w:eastAsia="Calibri"/>
          <w:sz w:val="22"/>
          <w:szCs w:val="22"/>
        </w:rPr>
        <w:t xml:space="preserve">A kontaktóra pontszámot az </w:t>
      </w:r>
      <w:proofErr w:type="gramStart"/>
      <w:r w:rsidRPr="00E13CE5">
        <w:rPr>
          <w:rFonts w:eastAsia="Calibri"/>
          <w:sz w:val="22"/>
          <w:szCs w:val="22"/>
        </w:rPr>
        <w:t>aktuális</w:t>
      </w:r>
      <w:proofErr w:type="gramEnd"/>
      <w:r w:rsidRPr="00E13CE5">
        <w:rPr>
          <w:rFonts w:eastAsia="Calibri"/>
          <w:sz w:val="22"/>
          <w:szCs w:val="22"/>
        </w:rPr>
        <w:t xml:space="preserve"> értékelési időszakba eső két utolsó lezárt szemeszter összesített kontaktóraszáma alapján kell a következők szerint meghatározni:</w:t>
      </w:r>
    </w:p>
    <w:p w14:paraId="6589F126" w14:textId="77777777" w:rsidR="00FD0545" w:rsidRPr="00E13CE5" w:rsidRDefault="00FD0545" w:rsidP="00FD0545">
      <w:pPr>
        <w:jc w:val="both"/>
        <w:rPr>
          <w:rFonts w:eastAsia="Calibri"/>
          <w:sz w:val="22"/>
          <w:szCs w:val="22"/>
        </w:rPr>
      </w:pPr>
    </w:p>
    <w:p w14:paraId="77F51FFC"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KSZ T</m:t>
          </m:r>
          <m:r>
            <m:rPr>
              <m:sty m:val="p"/>
            </m:rPr>
            <w:rPr>
              <w:rFonts w:ascii="Cambria Math" w:eastAsia="Calibri" w:hAnsi="Cambria Math"/>
              <w:sz w:val="22"/>
              <w:szCs w:val="22"/>
            </w:rPr>
            <m:t>É</m:t>
          </m:r>
          <m:r>
            <w:rPr>
              <w:rFonts w:ascii="Cambria Math" w:eastAsia="Calibri" w:hAnsi="Cambria Math"/>
              <w:sz w:val="22"/>
              <w:szCs w:val="22"/>
            </w:rPr>
            <m:t>R</m:t>
          </m:r>
          <m:r>
            <m:rPr>
              <m:sty m:val="p"/>
            </m:rPr>
            <w:rPr>
              <w:rFonts w:ascii="Cambria Math" w:eastAsia="Calibri" w:hAnsi="Cambria Math"/>
              <w:sz w:val="22"/>
              <w:szCs w:val="22"/>
            </w:rPr>
            <m:t xml:space="preserve"> </m:t>
          </m:r>
          <m:r>
            <w:rPr>
              <w:rFonts w:ascii="Cambria Math" w:eastAsia="Calibri" w:hAnsi="Cambria Math"/>
              <w:sz w:val="22"/>
              <w:szCs w:val="22"/>
            </w:rPr>
            <m:t>pont</m:t>
          </m:r>
          <m:r>
            <m:rPr>
              <m:sty m:val="p"/>
            </m:rPr>
            <w:rPr>
              <w:rFonts w:ascii="Cambria Math" w:eastAsia="Calibri" w:hAnsi="Cambria Math"/>
              <w:sz w:val="22"/>
              <w:szCs w:val="22"/>
            </w:rPr>
            <m:t>=</m:t>
          </m:r>
          <m:r>
            <w:rPr>
              <w:rFonts w:ascii="Cambria Math" w:eastAsia="Calibri" w:hAnsi="Cambria Math"/>
              <w:sz w:val="22"/>
              <w:szCs w:val="22"/>
            </w:rPr>
            <m:t>KSZ</m:t>
          </m:r>
          <m:r>
            <m:rPr>
              <m:sty m:val="p"/>
            </m:rPr>
            <w:rPr>
              <w:rFonts w:ascii="Cambria Math" w:eastAsia="Calibri" w:hAnsi="Cambria Math"/>
              <w:sz w:val="22"/>
              <w:szCs w:val="22"/>
            </w:rPr>
            <m:t>×4</m:t>
          </m:r>
        </m:oMath>
      </m:oMathPara>
    </w:p>
    <w:p w14:paraId="11D8F6F1" w14:textId="77777777" w:rsidR="00FD0545" w:rsidRDefault="00FD0545" w:rsidP="00FD0545">
      <w:pPr>
        <w:jc w:val="both"/>
        <w:rPr>
          <w:rFonts w:eastAsia="Calibri"/>
          <w:sz w:val="22"/>
          <w:szCs w:val="22"/>
        </w:rPr>
      </w:pPr>
    </w:p>
    <w:p w14:paraId="4B8640B6" w14:textId="77777777" w:rsidR="00FD0545" w:rsidRPr="00E13CE5" w:rsidRDefault="00FD0545" w:rsidP="00FD0545">
      <w:pPr>
        <w:jc w:val="both"/>
        <w:rPr>
          <w:rFonts w:eastAsia="Calibri"/>
          <w:sz w:val="22"/>
          <w:szCs w:val="22"/>
        </w:rPr>
      </w:pPr>
    </w:p>
    <w:p w14:paraId="786D52B1" w14:textId="77777777" w:rsidR="00FD0545" w:rsidRPr="00E13CE5" w:rsidRDefault="00FD0545" w:rsidP="00FD0545">
      <w:pPr>
        <w:jc w:val="both"/>
        <w:rPr>
          <w:rFonts w:eastAsia="Calibri"/>
          <w:sz w:val="22"/>
          <w:szCs w:val="22"/>
        </w:rPr>
      </w:pPr>
      <w:r w:rsidRPr="00E13CE5">
        <w:rPr>
          <w:rFonts w:eastAsia="Calibri"/>
          <w:sz w:val="22"/>
          <w:szCs w:val="22"/>
        </w:rPr>
        <w:t>Ahol KSZ a Pécsi Tudományegyetemen teljesített kontaktórák száma. Az értékelés alapjául szolgáló adatok forrása, az adatnyerés módja:</w:t>
      </w:r>
    </w:p>
    <w:p w14:paraId="150A4292" w14:textId="77777777" w:rsidR="00FD0545" w:rsidRPr="00E13CE5" w:rsidRDefault="00FD0545" w:rsidP="00FD0545">
      <w:pPr>
        <w:jc w:val="both"/>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4"/>
        <w:gridCol w:w="7078"/>
      </w:tblGrid>
      <w:tr w:rsidR="00FD0545" w:rsidRPr="00C376DE" w14:paraId="3D6CBA4C" w14:textId="77777777" w:rsidTr="00026782">
        <w:trPr>
          <w:jc w:val="center"/>
        </w:trPr>
        <w:tc>
          <w:tcPr>
            <w:tcW w:w="1985" w:type="dxa"/>
            <w:shd w:val="clear" w:color="auto" w:fill="F2F2F2"/>
          </w:tcPr>
          <w:p w14:paraId="45A88EAA" w14:textId="77777777" w:rsidR="00FD0545" w:rsidRPr="00C376DE" w:rsidRDefault="00FD0545" w:rsidP="00026782">
            <w:pPr>
              <w:rPr>
                <w:rFonts w:eastAsia="Calibri"/>
                <w:b/>
                <w:bCs/>
                <w:sz w:val="22"/>
                <w:szCs w:val="22"/>
              </w:rPr>
            </w:pPr>
            <w:r w:rsidRPr="00C376DE">
              <w:rPr>
                <w:rFonts w:eastAsia="Calibri"/>
                <w:b/>
                <w:bCs/>
                <w:sz w:val="22"/>
                <w:szCs w:val="22"/>
              </w:rPr>
              <w:lastRenderedPageBreak/>
              <w:t>Adatok forrása:</w:t>
            </w:r>
          </w:p>
        </w:tc>
        <w:tc>
          <w:tcPr>
            <w:tcW w:w="7088" w:type="dxa"/>
            <w:shd w:val="clear" w:color="auto" w:fill="F2F2F2"/>
          </w:tcPr>
          <w:p w14:paraId="6E75EF5D" w14:textId="77777777" w:rsidR="00FD0545" w:rsidRPr="00C376DE" w:rsidRDefault="00FD0545" w:rsidP="00026782">
            <w:pPr>
              <w:rPr>
                <w:rFonts w:eastAsia="Calibri"/>
                <w:b/>
                <w:bCs/>
                <w:sz w:val="22"/>
                <w:szCs w:val="22"/>
              </w:rPr>
            </w:pPr>
            <w:r w:rsidRPr="00C376DE">
              <w:rPr>
                <w:rFonts w:eastAsia="Calibri"/>
                <w:b/>
                <w:bCs/>
                <w:sz w:val="22"/>
                <w:szCs w:val="22"/>
              </w:rPr>
              <w:t>Megvalósult kontaktóra nyilvántartás</w:t>
            </w:r>
          </w:p>
        </w:tc>
      </w:tr>
      <w:tr w:rsidR="00FD0545" w:rsidRPr="00C376DE" w14:paraId="03DBC4EA" w14:textId="77777777" w:rsidTr="00026782">
        <w:trPr>
          <w:jc w:val="center"/>
        </w:trPr>
        <w:tc>
          <w:tcPr>
            <w:tcW w:w="1985" w:type="dxa"/>
            <w:shd w:val="clear" w:color="auto" w:fill="F2F2F2"/>
          </w:tcPr>
          <w:p w14:paraId="0F33C4A9"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8" w:type="dxa"/>
            <w:shd w:val="clear" w:color="auto" w:fill="F2F2F2"/>
          </w:tcPr>
          <w:p w14:paraId="500C5312" w14:textId="77777777" w:rsidR="00FD0545" w:rsidRPr="00C376DE" w:rsidRDefault="00FD0545" w:rsidP="00026782">
            <w:pPr>
              <w:rPr>
                <w:rFonts w:eastAsia="Calibri"/>
                <w:b/>
                <w:bCs/>
                <w:sz w:val="22"/>
                <w:szCs w:val="22"/>
              </w:rPr>
            </w:pPr>
            <w:r w:rsidRPr="00C376DE">
              <w:rPr>
                <w:rFonts w:eastAsia="Calibri"/>
                <w:b/>
                <w:bCs/>
                <w:sz w:val="22"/>
                <w:szCs w:val="22"/>
              </w:rPr>
              <w:t xml:space="preserve">Nyilvántartásból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w:t>
            </w:r>
          </w:p>
        </w:tc>
      </w:tr>
      <w:tr w:rsidR="00FD0545" w:rsidRPr="00C376DE" w14:paraId="764FD3F0" w14:textId="77777777" w:rsidTr="00026782">
        <w:trPr>
          <w:jc w:val="center"/>
        </w:trPr>
        <w:tc>
          <w:tcPr>
            <w:tcW w:w="1985" w:type="dxa"/>
            <w:shd w:val="clear" w:color="auto" w:fill="F2F2F2"/>
          </w:tcPr>
          <w:p w14:paraId="211E03A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8" w:type="dxa"/>
            <w:shd w:val="clear" w:color="auto" w:fill="F2F2F2"/>
          </w:tcPr>
          <w:p w14:paraId="177ECB74" w14:textId="77777777" w:rsidR="00FD0545" w:rsidRPr="00C376DE" w:rsidRDefault="00FD0545" w:rsidP="00026782">
            <w:pPr>
              <w:rPr>
                <w:rFonts w:eastAsia="Calibri"/>
                <w:b/>
                <w:bCs/>
                <w:sz w:val="22"/>
                <w:szCs w:val="22"/>
              </w:rPr>
            </w:pPr>
            <w:r w:rsidRPr="00C376DE">
              <w:rPr>
                <w:rFonts w:eastAsia="Calibri"/>
                <w:b/>
                <w:bCs/>
                <w:sz w:val="22"/>
                <w:szCs w:val="22"/>
              </w:rPr>
              <w:t>Oktatásszervezési koordinátor</w:t>
            </w:r>
          </w:p>
        </w:tc>
      </w:tr>
    </w:tbl>
    <w:p w14:paraId="6F82A43B" w14:textId="77777777" w:rsidR="00FD0545" w:rsidRPr="00E13CE5" w:rsidRDefault="00FD0545" w:rsidP="00FD0545">
      <w:pPr>
        <w:rPr>
          <w:rFonts w:eastAsia="Calibri"/>
          <w:sz w:val="22"/>
          <w:szCs w:val="22"/>
        </w:rPr>
      </w:pPr>
    </w:p>
    <w:p w14:paraId="01E369FE" w14:textId="77777777" w:rsidR="00FD0545" w:rsidRPr="00E13CE5" w:rsidRDefault="00FD0545" w:rsidP="00FD0545">
      <w:pPr>
        <w:jc w:val="both"/>
        <w:rPr>
          <w:rFonts w:eastAsia="Calibri"/>
          <w:sz w:val="22"/>
          <w:szCs w:val="22"/>
        </w:rPr>
      </w:pPr>
      <w:r w:rsidRPr="00E13CE5">
        <w:rPr>
          <w:rFonts w:eastAsia="Calibri"/>
          <w:b/>
          <w:bCs/>
          <w:sz w:val="22"/>
          <w:szCs w:val="22"/>
        </w:rPr>
        <w:t>Az egyes munkakörök esetében az alábbi táblázatban szereplő maximális pontok vehetők figyelembe</w:t>
      </w:r>
      <w:r w:rsidRPr="00E13CE5">
        <w:rPr>
          <w:rFonts w:eastAsia="Calibri"/>
          <w:sz w:val="22"/>
          <w:szCs w:val="22"/>
        </w:rPr>
        <w:t xml:space="preserve"> tekintettel ara, hogy e feletti teljesítés esetén a többletteljesítés a TÉR rendszerén kívül ellentételezésre kerül.</w:t>
      </w:r>
    </w:p>
    <w:tbl>
      <w:tblPr>
        <w:tblW w:w="3048"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104"/>
        <w:gridCol w:w="2420"/>
      </w:tblGrid>
      <w:tr w:rsidR="00FD0545" w:rsidRPr="00C376DE" w14:paraId="0CC64A36" w14:textId="77777777" w:rsidTr="00026782">
        <w:trPr>
          <w:trHeight w:val="557"/>
          <w:tblHeader/>
          <w:jc w:val="center"/>
        </w:trPr>
        <w:tc>
          <w:tcPr>
            <w:tcW w:w="2810" w:type="pct"/>
            <w:tcBorders>
              <w:top w:val="single" w:sz="4" w:space="0" w:color="FFFFFF"/>
              <w:left w:val="single" w:sz="4" w:space="0" w:color="FFFFFF"/>
              <w:right w:val="nil"/>
            </w:tcBorders>
            <w:shd w:val="clear" w:color="auto" w:fill="EDEDED"/>
            <w:noWrap/>
            <w:vAlign w:val="center"/>
            <w:hideMark/>
          </w:tcPr>
          <w:p w14:paraId="0C65E0CF" w14:textId="77777777" w:rsidR="00FD0545" w:rsidRPr="00C376DE" w:rsidRDefault="00FD0545" w:rsidP="00026782">
            <w:pPr>
              <w:jc w:val="center"/>
              <w:rPr>
                <w:rFonts w:eastAsia="Calibri"/>
                <w:b/>
                <w:bCs/>
                <w:sz w:val="22"/>
                <w:szCs w:val="22"/>
              </w:rPr>
            </w:pPr>
            <w:r w:rsidRPr="00C376DE">
              <w:rPr>
                <w:rFonts w:eastAsia="Calibri"/>
                <w:b/>
                <w:bCs/>
                <w:sz w:val="22"/>
                <w:szCs w:val="22"/>
              </w:rPr>
              <w:t>Munkakör</w:t>
            </w:r>
          </w:p>
        </w:tc>
        <w:tc>
          <w:tcPr>
            <w:tcW w:w="2190" w:type="pct"/>
            <w:tcBorders>
              <w:top w:val="single" w:sz="4" w:space="0" w:color="FFFFFF"/>
              <w:left w:val="nil"/>
              <w:right w:val="single" w:sz="4" w:space="0" w:color="FFFFFF"/>
            </w:tcBorders>
            <w:shd w:val="clear" w:color="auto" w:fill="EDEDED"/>
            <w:vAlign w:val="center"/>
            <w:hideMark/>
          </w:tcPr>
          <w:p w14:paraId="3B6E2D22" w14:textId="77777777" w:rsidR="00FD0545" w:rsidRPr="00C376DE" w:rsidRDefault="00FD0545" w:rsidP="00026782">
            <w:pPr>
              <w:jc w:val="center"/>
              <w:rPr>
                <w:rFonts w:eastAsia="Calibri"/>
                <w:b/>
                <w:bCs/>
                <w:sz w:val="22"/>
                <w:szCs w:val="22"/>
              </w:rPr>
            </w:pPr>
            <w:r w:rsidRPr="00C376DE">
              <w:rPr>
                <w:rFonts w:eastAsia="Calibri"/>
                <w:b/>
                <w:bCs/>
                <w:sz w:val="22"/>
                <w:szCs w:val="22"/>
              </w:rPr>
              <w:t>KSZ TÉR pont elfogadható maximuma</w:t>
            </w:r>
          </w:p>
        </w:tc>
      </w:tr>
      <w:tr w:rsidR="00FD0545" w:rsidRPr="00C376DE" w14:paraId="2189F730" w14:textId="77777777" w:rsidTr="00026782">
        <w:trPr>
          <w:trHeight w:val="385"/>
          <w:jc w:val="center"/>
        </w:trPr>
        <w:tc>
          <w:tcPr>
            <w:tcW w:w="2810" w:type="pct"/>
            <w:shd w:val="clear" w:color="auto" w:fill="EDEDED"/>
            <w:vAlign w:val="center"/>
            <w:hideMark/>
          </w:tcPr>
          <w:p w14:paraId="2E19AE25" w14:textId="77777777" w:rsidR="00FD0545" w:rsidRPr="00C376DE" w:rsidRDefault="00FD0545" w:rsidP="00026782">
            <w:pPr>
              <w:rPr>
                <w:rFonts w:eastAsia="Calibri"/>
                <w:sz w:val="22"/>
                <w:szCs w:val="22"/>
              </w:rPr>
            </w:pPr>
            <w:r w:rsidRPr="00C376DE">
              <w:rPr>
                <w:rFonts w:eastAsia="Calibri"/>
                <w:sz w:val="22"/>
                <w:szCs w:val="22"/>
              </w:rPr>
              <w:t>egyetemi tanár</w:t>
            </w:r>
          </w:p>
        </w:tc>
        <w:tc>
          <w:tcPr>
            <w:tcW w:w="2190" w:type="pct"/>
            <w:shd w:val="clear" w:color="auto" w:fill="EDEDED"/>
            <w:noWrap/>
            <w:vAlign w:val="center"/>
            <w:hideMark/>
          </w:tcPr>
          <w:p w14:paraId="2A3A8195" w14:textId="77777777" w:rsidR="00FD0545" w:rsidRPr="00C376DE" w:rsidRDefault="00FD0545" w:rsidP="00026782">
            <w:pPr>
              <w:jc w:val="center"/>
              <w:rPr>
                <w:rFonts w:eastAsia="Calibri"/>
                <w:sz w:val="22"/>
                <w:szCs w:val="22"/>
              </w:rPr>
            </w:pPr>
            <w:r w:rsidRPr="00C376DE">
              <w:rPr>
                <w:rFonts w:eastAsia="Calibri"/>
                <w:sz w:val="22"/>
                <w:szCs w:val="22"/>
              </w:rPr>
              <w:t>1072</w:t>
            </w:r>
          </w:p>
        </w:tc>
      </w:tr>
      <w:tr w:rsidR="00FD0545" w:rsidRPr="00C376DE" w14:paraId="1A267CEB" w14:textId="77777777" w:rsidTr="00026782">
        <w:trPr>
          <w:trHeight w:val="418"/>
          <w:jc w:val="center"/>
        </w:trPr>
        <w:tc>
          <w:tcPr>
            <w:tcW w:w="2810" w:type="pct"/>
            <w:shd w:val="clear" w:color="auto" w:fill="EDEDED"/>
            <w:vAlign w:val="center"/>
            <w:hideMark/>
          </w:tcPr>
          <w:p w14:paraId="44DCBFE8" w14:textId="77777777" w:rsidR="00FD0545" w:rsidRPr="00C376DE" w:rsidRDefault="00FD0545" w:rsidP="00026782">
            <w:pPr>
              <w:rPr>
                <w:rFonts w:eastAsia="Calibri"/>
                <w:sz w:val="22"/>
                <w:szCs w:val="22"/>
              </w:rPr>
            </w:pPr>
            <w:r w:rsidRPr="00C376DE">
              <w:rPr>
                <w:rFonts w:eastAsia="Calibri"/>
                <w:sz w:val="22"/>
                <w:szCs w:val="22"/>
              </w:rPr>
              <w:t>vezető egyetemi tanár</w:t>
            </w:r>
          </w:p>
        </w:tc>
        <w:tc>
          <w:tcPr>
            <w:tcW w:w="2190" w:type="pct"/>
            <w:shd w:val="clear" w:color="auto" w:fill="EDEDED"/>
            <w:noWrap/>
            <w:vAlign w:val="center"/>
            <w:hideMark/>
          </w:tcPr>
          <w:p w14:paraId="63BB0E75" w14:textId="77777777" w:rsidR="00FD0545" w:rsidRPr="00C376DE" w:rsidRDefault="00FD0545" w:rsidP="00026782">
            <w:pPr>
              <w:jc w:val="center"/>
              <w:rPr>
                <w:rFonts w:eastAsia="Calibri"/>
                <w:sz w:val="22"/>
                <w:szCs w:val="22"/>
              </w:rPr>
            </w:pPr>
            <w:r w:rsidRPr="00C376DE">
              <w:rPr>
                <w:rFonts w:eastAsia="Calibri"/>
                <w:sz w:val="22"/>
                <w:szCs w:val="22"/>
              </w:rPr>
              <w:t>804</w:t>
            </w:r>
          </w:p>
        </w:tc>
      </w:tr>
      <w:tr w:rsidR="00FD0545" w:rsidRPr="00C376DE" w14:paraId="00A971B1" w14:textId="77777777" w:rsidTr="00026782">
        <w:trPr>
          <w:trHeight w:val="283"/>
          <w:jc w:val="center"/>
        </w:trPr>
        <w:tc>
          <w:tcPr>
            <w:tcW w:w="2810" w:type="pct"/>
            <w:shd w:val="clear" w:color="auto" w:fill="EDEDED"/>
            <w:vAlign w:val="center"/>
            <w:hideMark/>
          </w:tcPr>
          <w:p w14:paraId="5192F1C0" w14:textId="77777777" w:rsidR="00FD0545" w:rsidRPr="00C376DE" w:rsidRDefault="00FD0545" w:rsidP="00026782">
            <w:pPr>
              <w:rPr>
                <w:rFonts w:eastAsia="Calibri"/>
                <w:sz w:val="22"/>
                <w:szCs w:val="22"/>
              </w:rPr>
            </w:pPr>
            <w:r w:rsidRPr="00C376DE">
              <w:rPr>
                <w:rFonts w:eastAsia="Calibri"/>
                <w:sz w:val="22"/>
                <w:szCs w:val="22"/>
              </w:rPr>
              <w:t>egyetemi docens/ főiskolai tanár</w:t>
            </w:r>
          </w:p>
        </w:tc>
        <w:tc>
          <w:tcPr>
            <w:tcW w:w="2190" w:type="pct"/>
            <w:shd w:val="clear" w:color="auto" w:fill="EDEDED"/>
            <w:noWrap/>
            <w:vAlign w:val="center"/>
          </w:tcPr>
          <w:p w14:paraId="0D513D4D" w14:textId="77777777" w:rsidR="00FD0545" w:rsidRPr="00C376DE" w:rsidRDefault="00FD0545" w:rsidP="00026782">
            <w:pPr>
              <w:jc w:val="center"/>
              <w:rPr>
                <w:rFonts w:eastAsia="Calibri"/>
                <w:sz w:val="22"/>
                <w:szCs w:val="22"/>
              </w:rPr>
            </w:pPr>
            <w:r w:rsidRPr="00C376DE">
              <w:rPr>
                <w:rFonts w:eastAsia="Calibri"/>
                <w:sz w:val="22"/>
                <w:szCs w:val="22"/>
              </w:rPr>
              <w:t>1344</w:t>
            </w:r>
          </w:p>
        </w:tc>
      </w:tr>
      <w:tr w:rsidR="00FD0545" w:rsidRPr="00C376DE" w14:paraId="75061DDF" w14:textId="77777777" w:rsidTr="00026782">
        <w:trPr>
          <w:trHeight w:val="287"/>
          <w:jc w:val="center"/>
        </w:trPr>
        <w:tc>
          <w:tcPr>
            <w:tcW w:w="2810" w:type="pct"/>
            <w:shd w:val="clear" w:color="auto" w:fill="EDEDED"/>
            <w:vAlign w:val="center"/>
            <w:hideMark/>
          </w:tcPr>
          <w:p w14:paraId="7F7B480C" w14:textId="77777777" w:rsidR="00FD0545" w:rsidRPr="00C376DE" w:rsidRDefault="00FD0545" w:rsidP="00026782">
            <w:pPr>
              <w:rPr>
                <w:rFonts w:eastAsia="Calibri"/>
                <w:sz w:val="22"/>
                <w:szCs w:val="22"/>
              </w:rPr>
            </w:pPr>
            <w:r w:rsidRPr="00C376DE">
              <w:rPr>
                <w:rFonts w:eastAsia="Calibri"/>
                <w:sz w:val="22"/>
                <w:szCs w:val="22"/>
              </w:rPr>
              <w:t>vezető egyetemi docens/ főiskolai tanár</w:t>
            </w:r>
          </w:p>
        </w:tc>
        <w:tc>
          <w:tcPr>
            <w:tcW w:w="2190" w:type="pct"/>
            <w:shd w:val="clear" w:color="auto" w:fill="EDEDED"/>
            <w:noWrap/>
            <w:vAlign w:val="center"/>
          </w:tcPr>
          <w:p w14:paraId="3787EFC5" w14:textId="77777777" w:rsidR="00FD0545" w:rsidRPr="00C376DE" w:rsidRDefault="00FD0545" w:rsidP="00026782">
            <w:pPr>
              <w:jc w:val="center"/>
              <w:rPr>
                <w:rFonts w:eastAsia="Calibri"/>
                <w:sz w:val="22"/>
                <w:szCs w:val="22"/>
              </w:rPr>
            </w:pPr>
            <w:r w:rsidRPr="00C376DE">
              <w:rPr>
                <w:rFonts w:eastAsia="Calibri"/>
                <w:sz w:val="22"/>
                <w:szCs w:val="22"/>
              </w:rPr>
              <w:t>1072</w:t>
            </w:r>
          </w:p>
        </w:tc>
      </w:tr>
      <w:tr w:rsidR="00FD0545" w:rsidRPr="00C376DE" w14:paraId="5AB7A012" w14:textId="77777777" w:rsidTr="00026782">
        <w:trPr>
          <w:trHeight w:val="375"/>
          <w:jc w:val="center"/>
        </w:trPr>
        <w:tc>
          <w:tcPr>
            <w:tcW w:w="2810" w:type="pct"/>
            <w:shd w:val="clear" w:color="auto" w:fill="EDEDED"/>
            <w:vAlign w:val="center"/>
            <w:hideMark/>
          </w:tcPr>
          <w:p w14:paraId="06B4F4E4" w14:textId="77777777" w:rsidR="00FD0545" w:rsidRPr="00C376DE" w:rsidRDefault="00FD0545" w:rsidP="00026782">
            <w:pPr>
              <w:rPr>
                <w:rFonts w:eastAsia="Calibri"/>
                <w:sz w:val="22"/>
                <w:szCs w:val="22"/>
              </w:rPr>
            </w:pPr>
            <w:r w:rsidRPr="00C376DE">
              <w:rPr>
                <w:rFonts w:eastAsia="Calibri"/>
                <w:sz w:val="22"/>
                <w:szCs w:val="22"/>
              </w:rPr>
              <w:t>adjunktus/ főiskolai docens</w:t>
            </w:r>
          </w:p>
        </w:tc>
        <w:tc>
          <w:tcPr>
            <w:tcW w:w="2190" w:type="pct"/>
            <w:shd w:val="clear" w:color="auto" w:fill="EDEDED"/>
            <w:noWrap/>
            <w:vAlign w:val="center"/>
          </w:tcPr>
          <w:p w14:paraId="6723927C" w14:textId="77777777" w:rsidR="00FD0545" w:rsidRPr="00C376DE" w:rsidRDefault="00FD0545" w:rsidP="00026782">
            <w:pPr>
              <w:jc w:val="center"/>
              <w:rPr>
                <w:rFonts w:eastAsia="Calibri"/>
                <w:sz w:val="22"/>
                <w:szCs w:val="22"/>
              </w:rPr>
            </w:pPr>
            <w:r w:rsidRPr="00C376DE">
              <w:rPr>
                <w:rFonts w:eastAsia="Calibri"/>
                <w:sz w:val="22"/>
                <w:szCs w:val="22"/>
              </w:rPr>
              <w:t>1612</w:t>
            </w:r>
          </w:p>
        </w:tc>
      </w:tr>
      <w:tr w:rsidR="00FD0545" w:rsidRPr="00C376DE" w14:paraId="7634CA14" w14:textId="77777777" w:rsidTr="00026782">
        <w:trPr>
          <w:trHeight w:val="297"/>
          <w:jc w:val="center"/>
        </w:trPr>
        <w:tc>
          <w:tcPr>
            <w:tcW w:w="2810" w:type="pct"/>
            <w:shd w:val="clear" w:color="auto" w:fill="EDEDED"/>
            <w:vAlign w:val="center"/>
            <w:hideMark/>
          </w:tcPr>
          <w:p w14:paraId="5184CA80" w14:textId="77777777" w:rsidR="00FD0545" w:rsidRPr="00C376DE" w:rsidRDefault="00FD0545" w:rsidP="00026782">
            <w:pPr>
              <w:rPr>
                <w:rFonts w:eastAsia="Calibri"/>
                <w:sz w:val="22"/>
                <w:szCs w:val="22"/>
              </w:rPr>
            </w:pPr>
            <w:r w:rsidRPr="00C376DE">
              <w:rPr>
                <w:rFonts w:eastAsia="Calibri"/>
                <w:sz w:val="22"/>
                <w:szCs w:val="22"/>
              </w:rPr>
              <w:t>vezető adjunktus/ főiskolai docens</w:t>
            </w:r>
          </w:p>
        </w:tc>
        <w:tc>
          <w:tcPr>
            <w:tcW w:w="2190" w:type="pct"/>
            <w:shd w:val="clear" w:color="auto" w:fill="EDEDED"/>
            <w:noWrap/>
            <w:vAlign w:val="center"/>
          </w:tcPr>
          <w:p w14:paraId="6E5962EB" w14:textId="77777777" w:rsidR="00FD0545" w:rsidRPr="00C376DE" w:rsidRDefault="00FD0545" w:rsidP="00026782">
            <w:pPr>
              <w:jc w:val="center"/>
              <w:rPr>
                <w:rFonts w:eastAsia="Calibri"/>
                <w:sz w:val="22"/>
                <w:szCs w:val="22"/>
              </w:rPr>
            </w:pPr>
            <w:r w:rsidRPr="00C376DE">
              <w:rPr>
                <w:rFonts w:eastAsia="Calibri"/>
                <w:sz w:val="22"/>
                <w:szCs w:val="22"/>
              </w:rPr>
              <w:t>1344</w:t>
            </w:r>
          </w:p>
        </w:tc>
      </w:tr>
      <w:tr w:rsidR="00FD0545" w:rsidRPr="00C376DE" w14:paraId="2D9320F5" w14:textId="77777777" w:rsidTr="00026782">
        <w:trPr>
          <w:trHeight w:val="428"/>
          <w:jc w:val="center"/>
        </w:trPr>
        <w:tc>
          <w:tcPr>
            <w:tcW w:w="2810" w:type="pct"/>
            <w:shd w:val="clear" w:color="auto" w:fill="EDEDED"/>
            <w:vAlign w:val="center"/>
            <w:hideMark/>
          </w:tcPr>
          <w:p w14:paraId="62395314" w14:textId="77777777" w:rsidR="00FD0545" w:rsidRPr="00C376DE" w:rsidRDefault="00FD0545" w:rsidP="00026782">
            <w:pPr>
              <w:rPr>
                <w:rFonts w:eastAsia="Calibri"/>
                <w:sz w:val="22"/>
                <w:szCs w:val="22"/>
              </w:rPr>
            </w:pPr>
            <w:r w:rsidRPr="00C376DE">
              <w:rPr>
                <w:rFonts w:eastAsia="Calibri"/>
                <w:sz w:val="22"/>
                <w:szCs w:val="22"/>
              </w:rPr>
              <w:t>tanársegéd, szakoktató, gyakornok</w:t>
            </w:r>
          </w:p>
        </w:tc>
        <w:tc>
          <w:tcPr>
            <w:tcW w:w="2190" w:type="pct"/>
            <w:shd w:val="clear" w:color="auto" w:fill="EDEDED"/>
            <w:noWrap/>
            <w:vAlign w:val="center"/>
          </w:tcPr>
          <w:p w14:paraId="4C35232C" w14:textId="77777777" w:rsidR="00FD0545" w:rsidRPr="00C376DE" w:rsidRDefault="00FD0545" w:rsidP="00026782">
            <w:pPr>
              <w:jc w:val="center"/>
              <w:rPr>
                <w:rFonts w:eastAsia="Calibri"/>
                <w:sz w:val="22"/>
                <w:szCs w:val="22"/>
              </w:rPr>
            </w:pPr>
            <w:r w:rsidRPr="00C376DE">
              <w:rPr>
                <w:rFonts w:eastAsia="Calibri"/>
                <w:sz w:val="22"/>
                <w:szCs w:val="22"/>
              </w:rPr>
              <w:t>1612</w:t>
            </w:r>
          </w:p>
        </w:tc>
      </w:tr>
      <w:tr w:rsidR="00FD0545" w:rsidRPr="00C376DE" w14:paraId="618DFA6E" w14:textId="77777777" w:rsidTr="00026782">
        <w:trPr>
          <w:trHeight w:val="406"/>
          <w:jc w:val="center"/>
        </w:trPr>
        <w:tc>
          <w:tcPr>
            <w:tcW w:w="2810" w:type="pct"/>
            <w:shd w:val="clear" w:color="auto" w:fill="EDEDED"/>
            <w:vAlign w:val="center"/>
            <w:hideMark/>
          </w:tcPr>
          <w:p w14:paraId="006425E8" w14:textId="77777777" w:rsidR="00FD0545" w:rsidRPr="00C376DE" w:rsidRDefault="00FD0545" w:rsidP="00026782">
            <w:pPr>
              <w:rPr>
                <w:rFonts w:eastAsia="Calibri"/>
                <w:sz w:val="22"/>
                <w:szCs w:val="22"/>
              </w:rPr>
            </w:pPr>
            <w:r w:rsidRPr="00C376DE">
              <w:rPr>
                <w:rFonts w:eastAsia="Calibri"/>
                <w:sz w:val="22"/>
                <w:szCs w:val="22"/>
              </w:rPr>
              <w:t>vezető tanársegéd, szakoktató, gyakornok</w:t>
            </w:r>
          </w:p>
        </w:tc>
        <w:tc>
          <w:tcPr>
            <w:tcW w:w="2190" w:type="pct"/>
            <w:shd w:val="clear" w:color="auto" w:fill="EDEDED"/>
            <w:noWrap/>
            <w:vAlign w:val="center"/>
          </w:tcPr>
          <w:p w14:paraId="1D0EF306" w14:textId="77777777" w:rsidR="00FD0545" w:rsidRPr="00C376DE" w:rsidRDefault="00FD0545" w:rsidP="00026782">
            <w:pPr>
              <w:jc w:val="center"/>
              <w:rPr>
                <w:rFonts w:eastAsia="Calibri"/>
                <w:sz w:val="22"/>
                <w:szCs w:val="22"/>
              </w:rPr>
            </w:pPr>
            <w:r w:rsidRPr="00C376DE">
              <w:rPr>
                <w:rFonts w:eastAsia="Calibri"/>
                <w:sz w:val="22"/>
                <w:szCs w:val="22"/>
              </w:rPr>
              <w:t>1344</w:t>
            </w:r>
          </w:p>
        </w:tc>
      </w:tr>
      <w:tr w:rsidR="00FD0545" w:rsidRPr="00C376DE" w14:paraId="43490FA4" w14:textId="77777777" w:rsidTr="00026782">
        <w:trPr>
          <w:trHeight w:val="375"/>
          <w:jc w:val="center"/>
        </w:trPr>
        <w:tc>
          <w:tcPr>
            <w:tcW w:w="2810" w:type="pct"/>
            <w:shd w:val="clear" w:color="auto" w:fill="EDEDED"/>
            <w:vAlign w:val="center"/>
            <w:hideMark/>
          </w:tcPr>
          <w:p w14:paraId="1ECD409B" w14:textId="77777777" w:rsidR="00FD0545" w:rsidRPr="00C376DE" w:rsidRDefault="00FD0545" w:rsidP="00026782">
            <w:pPr>
              <w:rPr>
                <w:rFonts w:eastAsia="Calibri"/>
                <w:sz w:val="22"/>
                <w:szCs w:val="22"/>
              </w:rPr>
            </w:pPr>
            <w:r w:rsidRPr="00C376DE">
              <w:rPr>
                <w:rFonts w:eastAsia="Calibri"/>
                <w:sz w:val="22"/>
                <w:szCs w:val="22"/>
              </w:rPr>
              <w:t>nyelvtanár</w:t>
            </w:r>
          </w:p>
        </w:tc>
        <w:tc>
          <w:tcPr>
            <w:tcW w:w="2190" w:type="pct"/>
            <w:shd w:val="clear" w:color="auto" w:fill="EDEDED"/>
            <w:noWrap/>
            <w:vAlign w:val="center"/>
            <w:hideMark/>
          </w:tcPr>
          <w:p w14:paraId="43342A56" w14:textId="77777777" w:rsidR="00FD0545" w:rsidRPr="00C376DE" w:rsidRDefault="00FD0545" w:rsidP="00026782">
            <w:pPr>
              <w:jc w:val="center"/>
              <w:rPr>
                <w:rFonts w:eastAsia="Calibri"/>
                <w:sz w:val="22"/>
                <w:szCs w:val="22"/>
              </w:rPr>
            </w:pPr>
            <w:r w:rsidRPr="00C376DE">
              <w:rPr>
                <w:rFonts w:eastAsia="Calibri"/>
                <w:sz w:val="22"/>
                <w:szCs w:val="22"/>
              </w:rPr>
              <w:t>2688</w:t>
            </w:r>
          </w:p>
        </w:tc>
      </w:tr>
    </w:tbl>
    <w:p w14:paraId="64E9DDB8" w14:textId="77777777" w:rsidR="00FD0545" w:rsidRDefault="00FD0545" w:rsidP="00FD0545">
      <w:pPr>
        <w:rPr>
          <w:sz w:val="22"/>
          <w:szCs w:val="22"/>
        </w:rPr>
      </w:pPr>
    </w:p>
    <w:p w14:paraId="7AEBBF32" w14:textId="77777777" w:rsidR="00FD0545" w:rsidRPr="00DF7985" w:rsidRDefault="00FD0545" w:rsidP="00FD0545">
      <w:pPr>
        <w:ind w:left="1416"/>
        <w:rPr>
          <w:b/>
          <w:sz w:val="22"/>
          <w:szCs w:val="22"/>
        </w:rPr>
      </w:pPr>
      <w:r w:rsidRPr="00DF7985">
        <w:rPr>
          <w:b/>
          <w:sz w:val="22"/>
          <w:szCs w:val="22"/>
        </w:rPr>
        <w:t>2. Oktatás idegen nyelven (IKSZ TÉR)</w:t>
      </w:r>
    </w:p>
    <w:p w14:paraId="4112DBD2" w14:textId="77777777" w:rsidR="00FD0545" w:rsidRPr="00DF7985" w:rsidRDefault="00FD0545" w:rsidP="00FD0545">
      <w:pPr>
        <w:rPr>
          <w:sz w:val="22"/>
          <w:szCs w:val="22"/>
        </w:rPr>
      </w:pPr>
    </w:p>
    <w:p w14:paraId="0B87EE78" w14:textId="77777777" w:rsidR="00FD0545" w:rsidRPr="00E13CE5" w:rsidRDefault="00FD0545" w:rsidP="00FD0545">
      <w:pPr>
        <w:jc w:val="both"/>
        <w:rPr>
          <w:rFonts w:eastAsia="Calibri"/>
          <w:sz w:val="22"/>
          <w:szCs w:val="22"/>
        </w:rPr>
      </w:pPr>
      <w:r w:rsidRPr="00E13CE5">
        <w:rPr>
          <w:rFonts w:eastAsia="Calibri"/>
          <w:sz w:val="22"/>
          <w:szCs w:val="22"/>
        </w:rPr>
        <w:t xml:space="preserve">Amennyiben az értékelt oktató idegen nyelvű </w:t>
      </w:r>
      <w:proofErr w:type="gramStart"/>
      <w:r w:rsidRPr="00E13CE5">
        <w:rPr>
          <w:rFonts w:eastAsia="Calibri"/>
          <w:sz w:val="22"/>
          <w:szCs w:val="22"/>
        </w:rPr>
        <w:t>kurzusban</w:t>
      </w:r>
      <w:proofErr w:type="gramEnd"/>
      <w:r w:rsidRPr="00E13CE5">
        <w:rPr>
          <w:rFonts w:eastAsia="Calibri"/>
          <w:sz w:val="22"/>
          <w:szCs w:val="22"/>
        </w:rPr>
        <w:t xml:space="preserve"> is oktat, akkor a következő többletpont megszerzésére jogosult:</w:t>
      </w:r>
    </w:p>
    <w:p w14:paraId="78D429A3" w14:textId="77777777" w:rsidR="00FD0545" w:rsidRPr="00E13CE5" w:rsidRDefault="00FD0545" w:rsidP="00FD0545">
      <w:pPr>
        <w:jc w:val="both"/>
        <w:rPr>
          <w:rFonts w:eastAsia="Calibri"/>
          <w:sz w:val="22"/>
          <w:szCs w:val="22"/>
        </w:rPr>
      </w:pPr>
    </w:p>
    <w:p w14:paraId="7E4E4D52"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IKSZ T</m:t>
          </m:r>
          <m:r>
            <m:rPr>
              <m:sty m:val="p"/>
            </m:rPr>
            <w:rPr>
              <w:rFonts w:ascii="Cambria Math" w:eastAsia="Calibri" w:hAnsi="Cambria Math"/>
              <w:sz w:val="22"/>
              <w:szCs w:val="22"/>
            </w:rPr>
            <m:t>É</m:t>
          </m:r>
          <m:r>
            <w:rPr>
              <w:rFonts w:ascii="Cambria Math" w:eastAsia="Calibri" w:hAnsi="Cambria Math"/>
              <w:sz w:val="22"/>
              <w:szCs w:val="22"/>
            </w:rPr>
            <m:t>R</m:t>
          </m:r>
          <m:r>
            <m:rPr>
              <m:sty m:val="p"/>
            </m:rPr>
            <w:rPr>
              <w:rFonts w:ascii="Cambria Math" w:eastAsia="Calibri" w:hAnsi="Cambria Math"/>
              <w:sz w:val="22"/>
              <w:szCs w:val="22"/>
            </w:rPr>
            <m:t xml:space="preserve"> </m:t>
          </m:r>
          <m:r>
            <w:rPr>
              <w:rFonts w:ascii="Cambria Math" w:eastAsia="Calibri" w:hAnsi="Cambria Math"/>
              <w:sz w:val="22"/>
              <w:szCs w:val="22"/>
            </w:rPr>
            <m:t>pont</m:t>
          </m:r>
          <m:r>
            <m:rPr>
              <m:sty m:val="p"/>
            </m:rPr>
            <w:rPr>
              <w:rFonts w:ascii="Cambria Math" w:eastAsia="Calibri" w:hAnsi="Cambria Math"/>
              <w:sz w:val="22"/>
              <w:szCs w:val="22"/>
            </w:rPr>
            <m:t>=</m:t>
          </m:r>
          <m:r>
            <w:rPr>
              <w:rFonts w:ascii="Cambria Math" w:eastAsia="Calibri" w:hAnsi="Cambria Math"/>
              <w:sz w:val="22"/>
              <w:szCs w:val="22"/>
            </w:rPr>
            <m:t>IKSZ</m:t>
          </m:r>
          <m:r>
            <m:rPr>
              <m:sty m:val="p"/>
            </m:rPr>
            <w:rPr>
              <w:rFonts w:ascii="Cambria Math" w:eastAsia="Calibri" w:hAnsi="Cambria Math"/>
              <w:sz w:val="22"/>
              <w:szCs w:val="22"/>
            </w:rPr>
            <m:t xml:space="preserve"> ×4</m:t>
          </m:r>
        </m:oMath>
      </m:oMathPara>
    </w:p>
    <w:p w14:paraId="1CF92D6A" w14:textId="77777777" w:rsidR="00FD0545" w:rsidRPr="00E13CE5" w:rsidRDefault="00FD0545" w:rsidP="00FD0545">
      <w:pPr>
        <w:jc w:val="both"/>
        <w:rPr>
          <w:rFonts w:eastAsia="Calibri"/>
          <w:sz w:val="22"/>
          <w:szCs w:val="22"/>
        </w:rPr>
      </w:pPr>
    </w:p>
    <w:p w14:paraId="1E500145" w14:textId="77777777" w:rsidR="00FD0545" w:rsidRPr="00E13CE5" w:rsidRDefault="00FD0545" w:rsidP="00FD0545">
      <w:pPr>
        <w:jc w:val="both"/>
        <w:rPr>
          <w:rFonts w:eastAsia="Calibri"/>
          <w:sz w:val="22"/>
          <w:szCs w:val="22"/>
        </w:rPr>
      </w:pPr>
      <w:r w:rsidRPr="00E13CE5">
        <w:rPr>
          <w:rFonts w:eastAsia="Calibri"/>
          <w:sz w:val="22"/>
          <w:szCs w:val="22"/>
        </w:rPr>
        <w:t xml:space="preserve">Ahol IKSZ a nem magyar nyelven oktatott </w:t>
      </w:r>
      <w:proofErr w:type="gramStart"/>
      <w:r w:rsidRPr="00E13CE5">
        <w:rPr>
          <w:rFonts w:eastAsia="Calibri"/>
          <w:sz w:val="22"/>
          <w:szCs w:val="22"/>
        </w:rPr>
        <w:t>kurzusok</w:t>
      </w:r>
      <w:proofErr w:type="gramEnd"/>
      <w:r w:rsidRPr="00E13CE5">
        <w:rPr>
          <w:rFonts w:eastAsia="Calibri"/>
          <w:sz w:val="22"/>
          <w:szCs w:val="22"/>
        </w:rPr>
        <w:t xml:space="preserve"> kontaktóraszáma. Nem magyar anyanyelvű oktató esetében, az anyanyelven történő oktatás idegen nyelvű oktatásnak nem ismerhető el! Az értékelés alapjául szolgáló adatok forrása, az adatnyerés módja:</w:t>
      </w:r>
    </w:p>
    <w:p w14:paraId="7E4D6BA9" w14:textId="77777777" w:rsidR="00FD0545" w:rsidRPr="00E13CE5" w:rsidRDefault="00FD0545" w:rsidP="00FD0545">
      <w:pPr>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578DF469" w14:textId="77777777" w:rsidTr="00026782">
        <w:tc>
          <w:tcPr>
            <w:tcW w:w="1980" w:type="dxa"/>
            <w:shd w:val="clear" w:color="auto" w:fill="F2F2F2"/>
          </w:tcPr>
          <w:p w14:paraId="7B282A0D"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4EE23812" w14:textId="77777777" w:rsidR="00FD0545" w:rsidRPr="00C376DE" w:rsidRDefault="00FD0545" w:rsidP="00026782">
            <w:pPr>
              <w:rPr>
                <w:rFonts w:eastAsia="Calibri"/>
                <w:b/>
                <w:bCs/>
                <w:sz w:val="22"/>
                <w:szCs w:val="22"/>
              </w:rPr>
            </w:pPr>
            <w:r w:rsidRPr="00C376DE">
              <w:rPr>
                <w:rFonts w:eastAsia="Calibri"/>
                <w:b/>
                <w:bCs/>
                <w:sz w:val="22"/>
                <w:szCs w:val="22"/>
              </w:rPr>
              <w:t>Megvalósult kontaktóra nyilvántartás</w:t>
            </w:r>
          </w:p>
        </w:tc>
      </w:tr>
      <w:tr w:rsidR="00FD0545" w:rsidRPr="00C376DE" w14:paraId="701C84F6" w14:textId="77777777" w:rsidTr="00026782">
        <w:tc>
          <w:tcPr>
            <w:tcW w:w="1980" w:type="dxa"/>
            <w:shd w:val="clear" w:color="auto" w:fill="F2F2F2"/>
          </w:tcPr>
          <w:p w14:paraId="7BE6533B"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E13FEA3" w14:textId="77777777" w:rsidR="00FD0545" w:rsidRPr="00C376DE" w:rsidRDefault="00FD0545" w:rsidP="00026782">
            <w:pPr>
              <w:rPr>
                <w:rFonts w:eastAsia="Calibri"/>
                <w:b/>
                <w:bCs/>
                <w:sz w:val="22"/>
                <w:szCs w:val="22"/>
              </w:rPr>
            </w:pPr>
            <w:r w:rsidRPr="00C376DE">
              <w:rPr>
                <w:rFonts w:eastAsia="Calibri"/>
                <w:b/>
                <w:bCs/>
                <w:sz w:val="22"/>
                <w:szCs w:val="22"/>
              </w:rPr>
              <w:t xml:space="preserve">Nyilvántartásból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w:t>
            </w:r>
          </w:p>
        </w:tc>
      </w:tr>
      <w:tr w:rsidR="00FD0545" w:rsidRPr="00C376DE" w14:paraId="5B4CD6B7" w14:textId="77777777" w:rsidTr="00026782">
        <w:trPr>
          <w:trHeight w:val="170"/>
        </w:trPr>
        <w:tc>
          <w:tcPr>
            <w:tcW w:w="1980" w:type="dxa"/>
            <w:shd w:val="clear" w:color="auto" w:fill="F2F2F2"/>
          </w:tcPr>
          <w:p w14:paraId="1125B1BA"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E1FF6D2" w14:textId="77777777" w:rsidR="00FD0545" w:rsidRPr="00C376DE" w:rsidRDefault="00FD0545" w:rsidP="00026782">
            <w:pPr>
              <w:rPr>
                <w:rFonts w:eastAsia="Calibri"/>
                <w:b/>
                <w:bCs/>
                <w:sz w:val="22"/>
                <w:szCs w:val="22"/>
              </w:rPr>
            </w:pPr>
            <w:r w:rsidRPr="00C376DE">
              <w:rPr>
                <w:rFonts w:eastAsia="Calibri"/>
                <w:b/>
                <w:bCs/>
                <w:sz w:val="22"/>
                <w:szCs w:val="22"/>
              </w:rPr>
              <w:t xml:space="preserve">Tanulmányi </w:t>
            </w:r>
            <w:proofErr w:type="gramStart"/>
            <w:r w:rsidRPr="00C376DE">
              <w:rPr>
                <w:rFonts w:eastAsia="Calibri"/>
                <w:b/>
                <w:bCs/>
                <w:sz w:val="22"/>
                <w:szCs w:val="22"/>
              </w:rPr>
              <w:t>rendszer működtetési</w:t>
            </w:r>
            <w:proofErr w:type="gramEnd"/>
            <w:r w:rsidRPr="00C376DE">
              <w:rPr>
                <w:rFonts w:eastAsia="Calibri"/>
                <w:b/>
                <w:bCs/>
                <w:sz w:val="22"/>
                <w:szCs w:val="22"/>
              </w:rPr>
              <w:t xml:space="preserve"> koordinátor</w:t>
            </w:r>
          </w:p>
        </w:tc>
      </w:tr>
    </w:tbl>
    <w:p w14:paraId="2DD61135" w14:textId="77777777" w:rsidR="00FD0545" w:rsidRDefault="00FD0545" w:rsidP="00FD0545">
      <w:pPr>
        <w:spacing w:before="120"/>
        <w:jc w:val="both"/>
        <w:rPr>
          <w:rFonts w:eastAsia="Calibri"/>
          <w:b/>
          <w:bCs/>
          <w:sz w:val="22"/>
          <w:szCs w:val="22"/>
        </w:rPr>
      </w:pPr>
      <w:r w:rsidRPr="00E13CE5">
        <w:rPr>
          <w:rFonts w:eastAsia="Calibri"/>
          <w:b/>
          <w:bCs/>
          <w:sz w:val="22"/>
          <w:szCs w:val="22"/>
        </w:rPr>
        <w:t>Idegen nyelven történő oktatásért járó többletpont legfeljebb 150 pont mértékig vehető figyelembe.</w:t>
      </w:r>
    </w:p>
    <w:p w14:paraId="085EF938" w14:textId="77777777" w:rsidR="00FD0545" w:rsidRPr="004B2939" w:rsidRDefault="00FD0545" w:rsidP="00FD0545">
      <w:pPr>
        <w:rPr>
          <w:sz w:val="22"/>
          <w:szCs w:val="22"/>
        </w:rPr>
      </w:pPr>
    </w:p>
    <w:p w14:paraId="3E8BA073" w14:textId="77777777" w:rsidR="00FD0545" w:rsidRPr="004B2939" w:rsidRDefault="00FD0545" w:rsidP="00FD0545">
      <w:pPr>
        <w:ind w:left="1416"/>
        <w:rPr>
          <w:b/>
          <w:sz w:val="22"/>
          <w:szCs w:val="22"/>
        </w:rPr>
      </w:pPr>
      <w:r w:rsidRPr="004B2939">
        <w:rPr>
          <w:b/>
          <w:sz w:val="22"/>
          <w:szCs w:val="22"/>
        </w:rPr>
        <w:t>3. Tantárgyszám (EKSZ TÉR)</w:t>
      </w:r>
    </w:p>
    <w:p w14:paraId="0D974415" w14:textId="77777777" w:rsidR="00FD0545" w:rsidRPr="004B2939" w:rsidRDefault="00FD0545" w:rsidP="00FD0545">
      <w:pPr>
        <w:rPr>
          <w:sz w:val="22"/>
          <w:szCs w:val="22"/>
        </w:rPr>
      </w:pPr>
    </w:p>
    <w:p w14:paraId="7F1B871B" w14:textId="77777777" w:rsidR="00FD0545" w:rsidRPr="00E13CE5" w:rsidRDefault="00FD0545" w:rsidP="00FD0545">
      <w:pPr>
        <w:jc w:val="both"/>
        <w:rPr>
          <w:rFonts w:eastAsia="Calibri"/>
          <w:sz w:val="22"/>
          <w:szCs w:val="22"/>
        </w:rPr>
      </w:pPr>
      <w:r w:rsidRPr="00E13CE5">
        <w:rPr>
          <w:rFonts w:eastAsia="Calibri"/>
          <w:sz w:val="22"/>
          <w:szCs w:val="22"/>
        </w:rPr>
        <w:t xml:space="preserve">A </w:t>
      </w:r>
      <w:proofErr w:type="gramStart"/>
      <w:r w:rsidRPr="00E13CE5">
        <w:rPr>
          <w:rFonts w:eastAsia="Calibri"/>
          <w:sz w:val="22"/>
          <w:szCs w:val="22"/>
        </w:rPr>
        <w:t>Kar oktatási</w:t>
      </w:r>
      <w:proofErr w:type="gramEnd"/>
      <w:r w:rsidRPr="00E13CE5">
        <w:rPr>
          <w:rFonts w:eastAsia="Calibri"/>
          <w:sz w:val="22"/>
          <w:szCs w:val="22"/>
        </w:rPr>
        <w:t xml:space="preserve"> többletteherként ismeri el az oktatott tárgyak tartalmi (vagyis nem oktatási nyelvi, illetve tantárgyelnevezési) különbözőségét, vagyis az eltérő tartalmú kurzusokban történő oktató tevékenységet.</w:t>
      </w:r>
    </w:p>
    <w:p w14:paraId="5E1B20D3" w14:textId="77777777" w:rsidR="00FD0545" w:rsidRPr="00E13CE5" w:rsidRDefault="00FD0545" w:rsidP="00FD0545">
      <w:pPr>
        <w:jc w:val="both"/>
        <w:rPr>
          <w:rFonts w:eastAsia="Calibri"/>
          <w:sz w:val="22"/>
          <w:szCs w:val="22"/>
        </w:rPr>
      </w:pPr>
    </w:p>
    <w:p w14:paraId="51C72EF8"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EKSZ TÉR pont=(EKSZ-1) ×6</m:t>
          </m:r>
        </m:oMath>
      </m:oMathPara>
    </w:p>
    <w:p w14:paraId="6161C4A5" w14:textId="77777777" w:rsidR="00FD0545" w:rsidRPr="00E13CE5" w:rsidRDefault="00FD0545" w:rsidP="00FD0545">
      <w:pPr>
        <w:rPr>
          <w:sz w:val="22"/>
          <w:szCs w:val="22"/>
        </w:rPr>
      </w:pPr>
    </w:p>
    <w:p w14:paraId="7EC1E500" w14:textId="77777777" w:rsidR="00FD0545" w:rsidRPr="00E13CE5" w:rsidRDefault="00FD0545" w:rsidP="00FD0545">
      <w:pPr>
        <w:rPr>
          <w:rFonts w:eastAsia="Calibri"/>
          <w:sz w:val="22"/>
          <w:szCs w:val="22"/>
        </w:rPr>
      </w:pPr>
      <w:r w:rsidRPr="00E13CE5">
        <w:rPr>
          <w:sz w:val="22"/>
          <w:szCs w:val="22"/>
        </w:rPr>
        <w:lastRenderedPageBreak/>
        <w:t xml:space="preserve">Ahol EKSZ az eltérő tartalmú és kurzuskódú </w:t>
      </w:r>
      <w:proofErr w:type="gramStart"/>
      <w:r w:rsidRPr="00E13CE5">
        <w:rPr>
          <w:sz w:val="22"/>
          <w:szCs w:val="22"/>
        </w:rPr>
        <w:t>kurzusok</w:t>
      </w:r>
      <w:proofErr w:type="gramEnd"/>
      <w:r w:rsidRPr="00E13CE5">
        <w:rPr>
          <w:sz w:val="22"/>
          <w:szCs w:val="22"/>
        </w:rPr>
        <w:t xml:space="preserve"> száma.</w:t>
      </w:r>
      <w:r w:rsidRPr="00E13CE5">
        <w:rPr>
          <w:rFonts w:eastAsia="Calibri"/>
          <w:sz w:val="22"/>
          <w:szCs w:val="22"/>
        </w:rPr>
        <w:t xml:space="preserve"> Eltérő </w:t>
      </w:r>
      <w:proofErr w:type="spellStart"/>
      <w:r w:rsidRPr="00E13CE5">
        <w:rPr>
          <w:rFonts w:eastAsia="Calibri"/>
          <w:sz w:val="22"/>
          <w:szCs w:val="22"/>
        </w:rPr>
        <w:t>tartalmúnak</w:t>
      </w:r>
      <w:proofErr w:type="spellEnd"/>
      <w:r w:rsidRPr="00E13CE5">
        <w:rPr>
          <w:rFonts w:eastAsia="Calibri"/>
          <w:sz w:val="22"/>
          <w:szCs w:val="22"/>
        </w:rPr>
        <w:t xml:space="preserve"> tekinthető két </w:t>
      </w:r>
      <w:proofErr w:type="gramStart"/>
      <w:r w:rsidRPr="00E13CE5">
        <w:rPr>
          <w:rFonts w:eastAsia="Calibri"/>
          <w:sz w:val="22"/>
          <w:szCs w:val="22"/>
        </w:rPr>
        <w:t>kurzus</w:t>
      </w:r>
      <w:proofErr w:type="gramEnd"/>
      <w:r w:rsidRPr="00E13CE5">
        <w:rPr>
          <w:rFonts w:eastAsia="Calibri"/>
          <w:sz w:val="22"/>
          <w:szCs w:val="22"/>
        </w:rPr>
        <w:t>, amennyiben a tantárgyleírásban szereplő tananyagtartalom legalább 25%-</w:t>
      </w:r>
      <w:proofErr w:type="spellStart"/>
      <w:r w:rsidRPr="00E13CE5">
        <w:rPr>
          <w:rFonts w:eastAsia="Calibri"/>
          <w:sz w:val="22"/>
          <w:szCs w:val="22"/>
        </w:rPr>
        <w:t>os</w:t>
      </w:r>
      <w:proofErr w:type="spellEnd"/>
      <w:r w:rsidRPr="00E13CE5">
        <w:rPr>
          <w:rFonts w:eastAsia="Calibri"/>
          <w:sz w:val="22"/>
          <w:szCs w:val="22"/>
        </w:rPr>
        <w:t xml:space="preserve"> különbséget mutat a szakmai tartalomban. Az értékelés alapjául szolgáló adatok forrása, az adatnyerés módja:</w:t>
      </w:r>
    </w:p>
    <w:p w14:paraId="6F7B22E3" w14:textId="77777777" w:rsidR="00FD0545" w:rsidRPr="00E13CE5" w:rsidRDefault="00FD0545" w:rsidP="00FD0545">
      <w:pPr>
        <w:rPr>
          <w:rFonts w:eastAsia="Calibri"/>
          <w:sz w:val="22"/>
          <w:szCs w:val="22"/>
        </w:rPr>
      </w:pPr>
    </w:p>
    <w:p w14:paraId="61F66243" w14:textId="77777777" w:rsidR="00FD0545" w:rsidRPr="00E13CE5" w:rsidRDefault="00FD0545" w:rsidP="00FD0545">
      <w:pPr>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51792090" w14:textId="77777777" w:rsidTr="00026782">
        <w:tc>
          <w:tcPr>
            <w:tcW w:w="1980" w:type="dxa"/>
            <w:shd w:val="clear" w:color="auto" w:fill="F2F2F2"/>
          </w:tcPr>
          <w:p w14:paraId="442491A9"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49F4DAC2" w14:textId="77777777" w:rsidR="00FD0545" w:rsidRPr="00C376DE" w:rsidRDefault="00FD0545" w:rsidP="00026782">
            <w:pPr>
              <w:rPr>
                <w:rFonts w:eastAsia="Calibri"/>
                <w:b/>
                <w:bCs/>
                <w:sz w:val="22"/>
                <w:szCs w:val="22"/>
              </w:rPr>
            </w:pPr>
            <w:proofErr w:type="spellStart"/>
            <w:r w:rsidRPr="00C376DE">
              <w:rPr>
                <w:rFonts w:eastAsia="Calibri"/>
                <w:b/>
                <w:bCs/>
                <w:sz w:val="22"/>
                <w:szCs w:val="22"/>
              </w:rPr>
              <w:t>Neptun</w:t>
            </w:r>
            <w:proofErr w:type="spellEnd"/>
            <w:r w:rsidRPr="00C376DE">
              <w:rPr>
                <w:rFonts w:eastAsia="Calibri"/>
                <w:b/>
                <w:bCs/>
                <w:sz w:val="22"/>
                <w:szCs w:val="22"/>
              </w:rPr>
              <w:t xml:space="preserve"> tanulmányi rendszer kurzustematikáinak összevetése</w:t>
            </w:r>
          </w:p>
        </w:tc>
      </w:tr>
      <w:tr w:rsidR="00FD0545" w:rsidRPr="00C376DE" w14:paraId="38EE8144" w14:textId="77777777" w:rsidTr="00026782">
        <w:tc>
          <w:tcPr>
            <w:tcW w:w="1980" w:type="dxa"/>
            <w:shd w:val="clear" w:color="auto" w:fill="F2F2F2"/>
          </w:tcPr>
          <w:p w14:paraId="2EE31738"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58FE9031" w14:textId="77777777" w:rsidR="00FD0545" w:rsidRPr="00C376DE" w:rsidRDefault="00FD0545" w:rsidP="00026782">
            <w:pPr>
              <w:tabs>
                <w:tab w:val="left" w:pos="4572"/>
              </w:tabs>
              <w:rPr>
                <w:rFonts w:eastAsia="Calibri"/>
                <w:b/>
                <w:bCs/>
                <w:sz w:val="22"/>
                <w:szCs w:val="22"/>
              </w:rPr>
            </w:pPr>
            <w:r w:rsidRPr="00C376DE">
              <w:rPr>
                <w:rFonts w:eastAsia="Calibri"/>
                <w:b/>
                <w:bCs/>
                <w:sz w:val="22"/>
                <w:szCs w:val="22"/>
              </w:rPr>
              <w:t>Intézeti TÉR jelentés (J/1. melléklet)</w:t>
            </w:r>
          </w:p>
        </w:tc>
      </w:tr>
      <w:tr w:rsidR="00FD0545" w:rsidRPr="00C376DE" w14:paraId="41CC52CA" w14:textId="77777777" w:rsidTr="00026782">
        <w:tc>
          <w:tcPr>
            <w:tcW w:w="1980" w:type="dxa"/>
            <w:shd w:val="clear" w:color="auto" w:fill="F2F2F2"/>
          </w:tcPr>
          <w:p w14:paraId="30E1E2E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4CA592F"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5690ECBE" w14:textId="77777777" w:rsidR="00FD0545" w:rsidRDefault="00FD0545" w:rsidP="00FD0545">
      <w:pPr>
        <w:spacing w:before="120"/>
        <w:jc w:val="both"/>
        <w:rPr>
          <w:rFonts w:eastAsia="Calibri"/>
          <w:b/>
          <w:bCs/>
          <w:sz w:val="22"/>
          <w:szCs w:val="22"/>
        </w:rPr>
      </w:pPr>
      <w:r w:rsidRPr="00E13CE5">
        <w:rPr>
          <w:b/>
          <w:bCs/>
          <w:sz w:val="22"/>
          <w:szCs w:val="22"/>
        </w:rPr>
        <w:t xml:space="preserve">Eltérő tartalmú </w:t>
      </w:r>
      <w:proofErr w:type="gramStart"/>
      <w:r w:rsidRPr="00E13CE5">
        <w:rPr>
          <w:b/>
          <w:bCs/>
          <w:sz w:val="22"/>
          <w:szCs w:val="22"/>
        </w:rPr>
        <w:t>kurzusokért</w:t>
      </w:r>
      <w:proofErr w:type="gramEnd"/>
      <w:r w:rsidRPr="00E13CE5">
        <w:rPr>
          <w:b/>
          <w:bCs/>
          <w:sz w:val="22"/>
          <w:szCs w:val="22"/>
        </w:rPr>
        <w:t xml:space="preserve"> járó többletpont legfeljebb 75 pont mértékig vehető figyelembe.</w:t>
      </w:r>
      <w:r w:rsidRPr="00E13CE5">
        <w:rPr>
          <w:rFonts w:eastAsia="Calibri"/>
          <w:b/>
          <w:bCs/>
          <w:sz w:val="22"/>
          <w:szCs w:val="22"/>
        </w:rPr>
        <w:t xml:space="preserve"> </w:t>
      </w:r>
    </w:p>
    <w:p w14:paraId="10D71B4E" w14:textId="77777777" w:rsidR="00FD0545" w:rsidRPr="004B2939" w:rsidRDefault="00FD0545" w:rsidP="00FD0545">
      <w:pPr>
        <w:rPr>
          <w:rFonts w:eastAsia="Calibri"/>
          <w:sz w:val="22"/>
        </w:rPr>
      </w:pPr>
    </w:p>
    <w:p w14:paraId="273F307E" w14:textId="77777777" w:rsidR="00FD0545" w:rsidRPr="004B2939" w:rsidRDefault="00FD0545" w:rsidP="00FD0545">
      <w:pPr>
        <w:ind w:left="1416"/>
        <w:rPr>
          <w:b/>
          <w:sz w:val="22"/>
        </w:rPr>
      </w:pPr>
      <w:r w:rsidRPr="004B2939">
        <w:rPr>
          <w:b/>
          <w:sz w:val="22"/>
        </w:rPr>
        <w:t>4. Oktatási helyszín (</w:t>
      </w:r>
      <w:proofErr w:type="gramStart"/>
      <w:r w:rsidRPr="004B2939">
        <w:rPr>
          <w:b/>
          <w:sz w:val="22"/>
        </w:rPr>
        <w:t>OH</w:t>
      </w:r>
      <w:proofErr w:type="gramEnd"/>
      <w:r w:rsidRPr="004B2939">
        <w:rPr>
          <w:b/>
          <w:sz w:val="22"/>
        </w:rPr>
        <w:t xml:space="preserve"> TÉR, SZHK TÉR)</w:t>
      </w:r>
    </w:p>
    <w:p w14:paraId="3E340B3E" w14:textId="77777777" w:rsidR="00FD0545" w:rsidRPr="004B2939" w:rsidRDefault="00FD0545" w:rsidP="00FD0545">
      <w:pPr>
        <w:rPr>
          <w:sz w:val="22"/>
        </w:rPr>
      </w:pPr>
    </w:p>
    <w:p w14:paraId="6DA02F93" w14:textId="77777777" w:rsidR="00FD0545" w:rsidRPr="00E13CE5" w:rsidRDefault="00FD0545" w:rsidP="00FD0545">
      <w:pPr>
        <w:jc w:val="both"/>
        <w:rPr>
          <w:rFonts w:eastAsia="Calibri"/>
          <w:sz w:val="22"/>
          <w:szCs w:val="22"/>
        </w:rPr>
      </w:pPr>
      <w:r w:rsidRPr="00E13CE5">
        <w:rPr>
          <w:rFonts w:eastAsia="Calibri"/>
          <w:sz w:val="22"/>
          <w:szCs w:val="22"/>
        </w:rPr>
        <w:t xml:space="preserve">Az Egészségtudományi Kar négy Képzési Központtal rendelkezik. Az oktatás minőségének biztosítása érdekében több oktató is vállalja a </w:t>
      </w:r>
      <w:proofErr w:type="gramStart"/>
      <w:r w:rsidRPr="00E13CE5">
        <w:rPr>
          <w:rFonts w:eastAsia="Calibri"/>
          <w:sz w:val="22"/>
          <w:szCs w:val="22"/>
        </w:rPr>
        <w:t>kurzusok</w:t>
      </w:r>
      <w:proofErr w:type="gramEnd"/>
      <w:r w:rsidRPr="00E13CE5">
        <w:rPr>
          <w:rFonts w:eastAsia="Calibri"/>
          <w:sz w:val="22"/>
          <w:szCs w:val="22"/>
        </w:rPr>
        <w:t xml:space="preserve"> több képzési központban történő megtartását, mely többletteher elismerésére a TÉR-</w:t>
      </w:r>
      <w:proofErr w:type="spellStart"/>
      <w:r w:rsidRPr="00E13CE5">
        <w:rPr>
          <w:rFonts w:eastAsia="Calibri"/>
          <w:sz w:val="22"/>
          <w:szCs w:val="22"/>
        </w:rPr>
        <w:t>ben</w:t>
      </w:r>
      <w:proofErr w:type="spellEnd"/>
      <w:r w:rsidRPr="00E13CE5">
        <w:rPr>
          <w:rFonts w:eastAsia="Calibri"/>
          <w:sz w:val="22"/>
          <w:szCs w:val="22"/>
        </w:rPr>
        <w:t xml:space="preserve"> sor kerül. Amennyiben teljes </w:t>
      </w:r>
      <w:proofErr w:type="gramStart"/>
      <w:r w:rsidRPr="00E13CE5">
        <w:rPr>
          <w:rFonts w:eastAsia="Calibri"/>
          <w:sz w:val="22"/>
          <w:szCs w:val="22"/>
        </w:rPr>
        <w:t>kurzus</w:t>
      </w:r>
      <w:proofErr w:type="gramEnd"/>
      <w:r w:rsidRPr="00E13CE5">
        <w:rPr>
          <w:rFonts w:eastAsia="Calibri"/>
          <w:sz w:val="22"/>
          <w:szCs w:val="22"/>
        </w:rPr>
        <w:t xml:space="preserve"> oktatására több képzési központban kerül sor, az alábbiak szerint jogosult az oktató többletpontokra (vagyis a kurzus csak részbeni megtartásakor többletpont nem adható):</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1848"/>
        <w:gridCol w:w="1417"/>
      </w:tblGrid>
      <w:tr w:rsidR="00FD0545" w:rsidRPr="00C376DE" w14:paraId="312F8557" w14:textId="77777777" w:rsidTr="00026782">
        <w:trPr>
          <w:tblHeader/>
          <w:jc w:val="center"/>
        </w:trPr>
        <w:tc>
          <w:tcPr>
            <w:tcW w:w="1848" w:type="dxa"/>
            <w:tcBorders>
              <w:top w:val="single" w:sz="4" w:space="0" w:color="FFFFFF"/>
              <w:left w:val="single" w:sz="4" w:space="0" w:color="FFFFFF"/>
              <w:right w:val="nil"/>
            </w:tcBorders>
            <w:shd w:val="clear" w:color="auto" w:fill="EDEDED"/>
          </w:tcPr>
          <w:p w14:paraId="354E0361" w14:textId="77777777" w:rsidR="00FD0545" w:rsidRPr="00C376DE" w:rsidRDefault="00FD0545" w:rsidP="00026782">
            <w:pPr>
              <w:jc w:val="center"/>
              <w:rPr>
                <w:rFonts w:eastAsia="Calibri"/>
                <w:b/>
                <w:bCs/>
                <w:sz w:val="22"/>
                <w:szCs w:val="22"/>
              </w:rPr>
            </w:pPr>
            <w:r w:rsidRPr="00C376DE">
              <w:rPr>
                <w:rFonts w:eastAsia="Calibri"/>
                <w:b/>
                <w:bCs/>
                <w:sz w:val="22"/>
                <w:szCs w:val="22"/>
              </w:rPr>
              <w:t>Oktatási helyszínek száma</w:t>
            </w:r>
          </w:p>
        </w:tc>
        <w:tc>
          <w:tcPr>
            <w:tcW w:w="1417" w:type="dxa"/>
            <w:tcBorders>
              <w:top w:val="single" w:sz="4" w:space="0" w:color="FFFFFF"/>
              <w:left w:val="nil"/>
              <w:right w:val="single" w:sz="4" w:space="0" w:color="FFFFFF"/>
            </w:tcBorders>
            <w:shd w:val="clear" w:color="auto" w:fill="EDEDED"/>
          </w:tcPr>
          <w:p w14:paraId="0CE46626" w14:textId="77777777" w:rsidR="00FD0545" w:rsidRPr="00C376DE" w:rsidRDefault="00FD0545" w:rsidP="00026782">
            <w:pPr>
              <w:jc w:val="center"/>
              <w:rPr>
                <w:rFonts w:eastAsia="Calibri"/>
                <w:b/>
                <w:bCs/>
                <w:sz w:val="22"/>
                <w:szCs w:val="22"/>
              </w:rPr>
            </w:pPr>
            <w:proofErr w:type="gramStart"/>
            <w:r w:rsidRPr="00C376DE">
              <w:rPr>
                <w:rFonts w:eastAsia="Calibri"/>
                <w:b/>
                <w:bCs/>
                <w:sz w:val="22"/>
                <w:szCs w:val="22"/>
              </w:rPr>
              <w:t>OH</w:t>
            </w:r>
            <w:proofErr w:type="gramEnd"/>
            <w:r w:rsidRPr="00C376DE">
              <w:rPr>
                <w:rFonts w:eastAsia="Calibri"/>
                <w:b/>
                <w:bCs/>
                <w:sz w:val="22"/>
                <w:szCs w:val="22"/>
              </w:rPr>
              <w:t xml:space="preserve"> TÉR többletpont</w:t>
            </w:r>
          </w:p>
        </w:tc>
      </w:tr>
      <w:tr w:rsidR="00FD0545" w:rsidRPr="00C376DE" w14:paraId="5D5A3CDF" w14:textId="77777777" w:rsidTr="00026782">
        <w:trPr>
          <w:jc w:val="center"/>
        </w:trPr>
        <w:tc>
          <w:tcPr>
            <w:tcW w:w="1848" w:type="dxa"/>
            <w:shd w:val="clear" w:color="auto" w:fill="EDEDED"/>
          </w:tcPr>
          <w:p w14:paraId="071B23AA" w14:textId="77777777" w:rsidR="00FD0545" w:rsidRPr="00C376DE" w:rsidRDefault="00FD0545" w:rsidP="00026782">
            <w:pPr>
              <w:jc w:val="center"/>
              <w:rPr>
                <w:rFonts w:eastAsia="Calibri"/>
                <w:sz w:val="22"/>
                <w:szCs w:val="22"/>
              </w:rPr>
            </w:pPr>
            <w:r w:rsidRPr="00C376DE">
              <w:rPr>
                <w:rFonts w:eastAsia="Calibri"/>
                <w:sz w:val="22"/>
                <w:szCs w:val="22"/>
              </w:rPr>
              <w:t>2</w:t>
            </w:r>
          </w:p>
        </w:tc>
        <w:tc>
          <w:tcPr>
            <w:tcW w:w="1417" w:type="dxa"/>
            <w:shd w:val="clear" w:color="auto" w:fill="EDEDED"/>
          </w:tcPr>
          <w:p w14:paraId="3733E80E" w14:textId="77777777" w:rsidR="00FD0545" w:rsidRPr="00C376DE" w:rsidRDefault="00FD0545" w:rsidP="00026782">
            <w:pPr>
              <w:jc w:val="center"/>
              <w:rPr>
                <w:rFonts w:eastAsia="Calibri"/>
                <w:sz w:val="22"/>
                <w:szCs w:val="22"/>
              </w:rPr>
            </w:pPr>
            <w:r w:rsidRPr="00C376DE">
              <w:rPr>
                <w:rFonts w:eastAsia="Calibri"/>
                <w:sz w:val="22"/>
                <w:szCs w:val="22"/>
              </w:rPr>
              <w:t>15 pont</w:t>
            </w:r>
          </w:p>
        </w:tc>
      </w:tr>
      <w:tr w:rsidR="00FD0545" w:rsidRPr="00C376DE" w14:paraId="2A10AF81" w14:textId="77777777" w:rsidTr="00026782">
        <w:trPr>
          <w:jc w:val="center"/>
        </w:trPr>
        <w:tc>
          <w:tcPr>
            <w:tcW w:w="1848" w:type="dxa"/>
            <w:shd w:val="clear" w:color="auto" w:fill="EDEDED"/>
          </w:tcPr>
          <w:p w14:paraId="69DE2468" w14:textId="77777777" w:rsidR="00FD0545" w:rsidRPr="00C376DE" w:rsidRDefault="00FD0545" w:rsidP="00026782">
            <w:pPr>
              <w:jc w:val="center"/>
              <w:rPr>
                <w:rFonts w:eastAsia="Calibri"/>
                <w:sz w:val="22"/>
                <w:szCs w:val="22"/>
              </w:rPr>
            </w:pPr>
            <w:r w:rsidRPr="00C376DE">
              <w:rPr>
                <w:rFonts w:eastAsia="Calibri"/>
                <w:sz w:val="22"/>
                <w:szCs w:val="22"/>
              </w:rPr>
              <w:t>3</w:t>
            </w:r>
          </w:p>
        </w:tc>
        <w:tc>
          <w:tcPr>
            <w:tcW w:w="1417" w:type="dxa"/>
            <w:shd w:val="clear" w:color="auto" w:fill="EDEDED"/>
          </w:tcPr>
          <w:p w14:paraId="0A278B1E" w14:textId="77777777" w:rsidR="00FD0545" w:rsidRPr="00C376DE" w:rsidRDefault="00FD0545" w:rsidP="00026782">
            <w:pPr>
              <w:jc w:val="center"/>
              <w:rPr>
                <w:rFonts w:eastAsia="Calibri"/>
                <w:sz w:val="22"/>
                <w:szCs w:val="22"/>
              </w:rPr>
            </w:pPr>
            <w:r w:rsidRPr="00C376DE">
              <w:rPr>
                <w:rFonts w:eastAsia="Calibri"/>
                <w:sz w:val="22"/>
                <w:szCs w:val="22"/>
              </w:rPr>
              <w:t>30 pont</w:t>
            </w:r>
          </w:p>
        </w:tc>
      </w:tr>
      <w:tr w:rsidR="00FD0545" w:rsidRPr="00C376DE" w14:paraId="12BFDD69" w14:textId="77777777" w:rsidTr="00026782">
        <w:trPr>
          <w:jc w:val="center"/>
        </w:trPr>
        <w:tc>
          <w:tcPr>
            <w:tcW w:w="1848" w:type="dxa"/>
            <w:shd w:val="clear" w:color="auto" w:fill="EDEDED"/>
          </w:tcPr>
          <w:p w14:paraId="5D29A4C7" w14:textId="77777777" w:rsidR="00FD0545" w:rsidRPr="00C376DE" w:rsidRDefault="00FD0545" w:rsidP="00026782">
            <w:pPr>
              <w:jc w:val="center"/>
              <w:rPr>
                <w:rFonts w:eastAsia="Calibri"/>
                <w:sz w:val="22"/>
                <w:szCs w:val="22"/>
              </w:rPr>
            </w:pPr>
            <w:r w:rsidRPr="00C376DE">
              <w:rPr>
                <w:rFonts w:eastAsia="Calibri"/>
                <w:sz w:val="22"/>
                <w:szCs w:val="22"/>
              </w:rPr>
              <w:t>4</w:t>
            </w:r>
          </w:p>
        </w:tc>
        <w:tc>
          <w:tcPr>
            <w:tcW w:w="1417" w:type="dxa"/>
            <w:shd w:val="clear" w:color="auto" w:fill="EDEDED"/>
          </w:tcPr>
          <w:p w14:paraId="21A359FC" w14:textId="77777777" w:rsidR="00FD0545" w:rsidRPr="00C376DE" w:rsidRDefault="00FD0545" w:rsidP="00026782">
            <w:pPr>
              <w:jc w:val="center"/>
              <w:rPr>
                <w:rFonts w:eastAsia="Calibri"/>
                <w:sz w:val="22"/>
                <w:szCs w:val="22"/>
              </w:rPr>
            </w:pPr>
            <w:r w:rsidRPr="00C376DE">
              <w:rPr>
                <w:rFonts w:eastAsia="Calibri"/>
                <w:sz w:val="22"/>
                <w:szCs w:val="22"/>
              </w:rPr>
              <w:t>45 pont</w:t>
            </w:r>
          </w:p>
        </w:tc>
      </w:tr>
    </w:tbl>
    <w:p w14:paraId="659DB5D9" w14:textId="77777777" w:rsidR="00FD0545" w:rsidRPr="00E13CE5" w:rsidRDefault="00FD0545" w:rsidP="00FD0545">
      <w:pPr>
        <w:rPr>
          <w:rFonts w:eastAsia="Calibri"/>
          <w:sz w:val="22"/>
          <w:szCs w:val="22"/>
        </w:rPr>
      </w:pPr>
    </w:p>
    <w:p w14:paraId="6E562237" w14:textId="77777777" w:rsidR="00FD0545" w:rsidRPr="00E13CE5" w:rsidRDefault="00FD0545" w:rsidP="00FD0545">
      <w:pPr>
        <w:jc w:val="both"/>
        <w:rPr>
          <w:rFonts w:eastAsia="Calibri"/>
          <w:sz w:val="22"/>
          <w:szCs w:val="22"/>
        </w:rPr>
      </w:pPr>
      <w:r w:rsidRPr="00E13CE5">
        <w:rPr>
          <w:rFonts w:eastAsia="Calibri"/>
          <w:sz w:val="22"/>
          <w:szCs w:val="22"/>
        </w:rPr>
        <w:t>Az Egészségtudományi Kar székhelyen kívüli képzést is folytat. Az ezzel járó többletteher és feladat a TÉR-</w:t>
      </w:r>
      <w:proofErr w:type="spellStart"/>
      <w:r w:rsidRPr="00E13CE5">
        <w:rPr>
          <w:rFonts w:eastAsia="Calibri"/>
          <w:sz w:val="22"/>
          <w:szCs w:val="22"/>
        </w:rPr>
        <w:t>ben</w:t>
      </w:r>
      <w:proofErr w:type="spellEnd"/>
      <w:r w:rsidRPr="00E13CE5">
        <w:rPr>
          <w:rFonts w:eastAsia="Calibri"/>
          <w:sz w:val="22"/>
          <w:szCs w:val="22"/>
        </w:rPr>
        <w:t xml:space="preserve"> az alábbiak szerint kerül elismerésre: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1843"/>
        <w:gridCol w:w="1417"/>
      </w:tblGrid>
      <w:tr w:rsidR="00FD0545" w:rsidRPr="00C376DE" w14:paraId="2841D88A" w14:textId="77777777" w:rsidTr="00026782">
        <w:trPr>
          <w:jc w:val="center"/>
        </w:trPr>
        <w:tc>
          <w:tcPr>
            <w:tcW w:w="1843" w:type="dxa"/>
            <w:tcBorders>
              <w:top w:val="single" w:sz="4" w:space="0" w:color="FFFFFF"/>
              <w:left w:val="single" w:sz="4" w:space="0" w:color="FFFFFF"/>
              <w:right w:val="nil"/>
            </w:tcBorders>
            <w:shd w:val="clear" w:color="auto" w:fill="EDEDED"/>
          </w:tcPr>
          <w:p w14:paraId="796B96C2" w14:textId="77777777" w:rsidR="00FD0545" w:rsidRPr="00C376DE" w:rsidRDefault="00FD0545" w:rsidP="00026782">
            <w:pPr>
              <w:jc w:val="center"/>
              <w:rPr>
                <w:rFonts w:eastAsia="Calibri"/>
                <w:b/>
                <w:bCs/>
                <w:sz w:val="22"/>
                <w:szCs w:val="22"/>
              </w:rPr>
            </w:pPr>
            <w:r w:rsidRPr="00C376DE">
              <w:rPr>
                <w:rFonts w:eastAsia="Calibri"/>
                <w:b/>
                <w:bCs/>
                <w:sz w:val="22"/>
                <w:szCs w:val="22"/>
              </w:rPr>
              <w:t>Székhelyen kívüli</w:t>
            </w:r>
          </w:p>
          <w:p w14:paraId="2F837734" w14:textId="77777777" w:rsidR="00FD0545" w:rsidRPr="00C376DE" w:rsidRDefault="00FD0545" w:rsidP="00026782">
            <w:pPr>
              <w:jc w:val="center"/>
              <w:rPr>
                <w:rFonts w:eastAsia="Calibri"/>
                <w:b/>
                <w:bCs/>
                <w:sz w:val="22"/>
                <w:szCs w:val="22"/>
              </w:rPr>
            </w:pPr>
            <w:r w:rsidRPr="00C376DE">
              <w:rPr>
                <w:rFonts w:eastAsia="Calibri"/>
                <w:b/>
                <w:bCs/>
                <w:sz w:val="22"/>
                <w:szCs w:val="22"/>
              </w:rPr>
              <w:t>oktatási helyszín</w:t>
            </w:r>
          </w:p>
        </w:tc>
        <w:tc>
          <w:tcPr>
            <w:tcW w:w="1417" w:type="dxa"/>
            <w:tcBorders>
              <w:top w:val="single" w:sz="4" w:space="0" w:color="FFFFFF"/>
              <w:left w:val="nil"/>
              <w:right w:val="single" w:sz="4" w:space="0" w:color="FFFFFF"/>
            </w:tcBorders>
            <w:shd w:val="clear" w:color="auto" w:fill="EDEDED"/>
          </w:tcPr>
          <w:p w14:paraId="6180E0ED" w14:textId="77777777" w:rsidR="00FD0545" w:rsidRPr="00C376DE" w:rsidRDefault="00FD0545" w:rsidP="00026782">
            <w:pPr>
              <w:jc w:val="center"/>
              <w:rPr>
                <w:rFonts w:eastAsia="Calibri"/>
                <w:b/>
                <w:bCs/>
                <w:sz w:val="22"/>
                <w:szCs w:val="22"/>
              </w:rPr>
            </w:pPr>
            <w:r w:rsidRPr="00C376DE">
              <w:rPr>
                <w:rFonts w:eastAsia="Calibri"/>
                <w:b/>
                <w:bCs/>
                <w:sz w:val="22"/>
                <w:szCs w:val="22"/>
              </w:rPr>
              <w:t>SZHK TÉR többletpont</w:t>
            </w:r>
          </w:p>
        </w:tc>
      </w:tr>
      <w:tr w:rsidR="00FD0545" w:rsidRPr="00C376DE" w14:paraId="5B7CA945" w14:textId="77777777" w:rsidTr="00026782">
        <w:trPr>
          <w:jc w:val="center"/>
        </w:trPr>
        <w:tc>
          <w:tcPr>
            <w:tcW w:w="1843" w:type="dxa"/>
            <w:shd w:val="clear" w:color="auto" w:fill="EDEDED"/>
          </w:tcPr>
          <w:p w14:paraId="011CE3F4" w14:textId="77777777" w:rsidR="00FD0545" w:rsidRPr="00C376DE" w:rsidRDefault="00FD0545" w:rsidP="00026782">
            <w:pPr>
              <w:jc w:val="center"/>
              <w:rPr>
                <w:rFonts w:eastAsia="Calibri"/>
                <w:sz w:val="22"/>
                <w:szCs w:val="22"/>
              </w:rPr>
            </w:pPr>
            <w:r w:rsidRPr="00C376DE">
              <w:rPr>
                <w:rFonts w:eastAsia="Calibri"/>
                <w:sz w:val="22"/>
                <w:szCs w:val="22"/>
              </w:rPr>
              <w:t>Belföld</w:t>
            </w:r>
          </w:p>
        </w:tc>
        <w:tc>
          <w:tcPr>
            <w:tcW w:w="1417" w:type="dxa"/>
            <w:shd w:val="clear" w:color="auto" w:fill="EDEDED"/>
          </w:tcPr>
          <w:p w14:paraId="4C61B57F" w14:textId="77777777" w:rsidR="00FD0545" w:rsidRPr="00C376DE" w:rsidRDefault="00FD0545" w:rsidP="00026782">
            <w:pPr>
              <w:jc w:val="center"/>
              <w:rPr>
                <w:rFonts w:eastAsia="Calibri"/>
                <w:sz w:val="22"/>
                <w:szCs w:val="22"/>
              </w:rPr>
            </w:pPr>
            <w:r w:rsidRPr="00C376DE">
              <w:rPr>
                <w:rFonts w:eastAsia="Calibri"/>
                <w:sz w:val="22"/>
                <w:szCs w:val="22"/>
              </w:rPr>
              <w:t>25 pont</w:t>
            </w:r>
          </w:p>
        </w:tc>
      </w:tr>
      <w:tr w:rsidR="00FD0545" w:rsidRPr="00C376DE" w14:paraId="081D54CA" w14:textId="77777777" w:rsidTr="00026782">
        <w:trPr>
          <w:jc w:val="center"/>
        </w:trPr>
        <w:tc>
          <w:tcPr>
            <w:tcW w:w="1843" w:type="dxa"/>
            <w:shd w:val="clear" w:color="auto" w:fill="EDEDED"/>
          </w:tcPr>
          <w:p w14:paraId="5876A317" w14:textId="77777777" w:rsidR="00FD0545" w:rsidRPr="00C376DE" w:rsidRDefault="00FD0545" w:rsidP="00026782">
            <w:pPr>
              <w:jc w:val="center"/>
              <w:rPr>
                <w:rFonts w:eastAsia="Calibri"/>
                <w:sz w:val="22"/>
                <w:szCs w:val="22"/>
              </w:rPr>
            </w:pPr>
            <w:r w:rsidRPr="00C376DE">
              <w:rPr>
                <w:rFonts w:eastAsia="Calibri"/>
                <w:sz w:val="22"/>
                <w:szCs w:val="22"/>
              </w:rPr>
              <w:t>Külföld</w:t>
            </w:r>
          </w:p>
        </w:tc>
        <w:tc>
          <w:tcPr>
            <w:tcW w:w="1417" w:type="dxa"/>
            <w:shd w:val="clear" w:color="auto" w:fill="EDEDED"/>
          </w:tcPr>
          <w:p w14:paraId="5A5BA031" w14:textId="77777777" w:rsidR="00FD0545" w:rsidRPr="00C376DE" w:rsidRDefault="00FD0545" w:rsidP="00026782">
            <w:pPr>
              <w:jc w:val="center"/>
              <w:rPr>
                <w:rFonts w:eastAsia="Calibri"/>
                <w:sz w:val="22"/>
                <w:szCs w:val="22"/>
              </w:rPr>
            </w:pPr>
            <w:r w:rsidRPr="00C376DE">
              <w:rPr>
                <w:rFonts w:eastAsia="Calibri"/>
                <w:sz w:val="22"/>
                <w:szCs w:val="22"/>
              </w:rPr>
              <w:t>50 pont</w:t>
            </w:r>
          </w:p>
        </w:tc>
      </w:tr>
    </w:tbl>
    <w:p w14:paraId="684A8CD1" w14:textId="77777777" w:rsidR="00FD0545" w:rsidRPr="00E13CE5" w:rsidRDefault="00FD0545" w:rsidP="00FD0545">
      <w:pPr>
        <w:rPr>
          <w:rFonts w:eastAsia="Calibri"/>
          <w:sz w:val="22"/>
          <w:szCs w:val="22"/>
        </w:rPr>
      </w:pPr>
    </w:p>
    <w:p w14:paraId="0F091A0D" w14:textId="77777777" w:rsidR="00FD0545" w:rsidRPr="00E13CE5" w:rsidRDefault="00FD0545" w:rsidP="00FD0545">
      <w:pPr>
        <w:jc w:val="both"/>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6AB3F3FA" w14:textId="77777777" w:rsidTr="00026782">
        <w:tc>
          <w:tcPr>
            <w:tcW w:w="1980" w:type="dxa"/>
            <w:shd w:val="clear" w:color="auto" w:fill="F2F2F2"/>
          </w:tcPr>
          <w:p w14:paraId="6B391C51"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09004717" w14:textId="77777777" w:rsidR="00FD0545" w:rsidRPr="00C376DE" w:rsidRDefault="00FD0545" w:rsidP="00026782">
            <w:pPr>
              <w:rPr>
                <w:rFonts w:eastAsia="Calibri"/>
                <w:b/>
                <w:bCs/>
                <w:sz w:val="22"/>
                <w:szCs w:val="22"/>
              </w:rPr>
            </w:pPr>
            <w:proofErr w:type="spellStart"/>
            <w:r w:rsidRPr="00C376DE">
              <w:rPr>
                <w:rFonts w:eastAsia="Calibri"/>
                <w:b/>
                <w:bCs/>
                <w:sz w:val="22"/>
                <w:szCs w:val="22"/>
              </w:rPr>
              <w:t>Neptun</w:t>
            </w:r>
            <w:proofErr w:type="spellEnd"/>
            <w:r w:rsidRPr="00C376DE">
              <w:rPr>
                <w:rFonts w:eastAsia="Calibri"/>
                <w:b/>
                <w:bCs/>
                <w:sz w:val="22"/>
                <w:szCs w:val="22"/>
              </w:rPr>
              <w:t xml:space="preserve"> tanulmányi rendszer kurzuslistája</w:t>
            </w:r>
          </w:p>
        </w:tc>
      </w:tr>
      <w:tr w:rsidR="00FD0545" w:rsidRPr="00C376DE" w14:paraId="05EB8048" w14:textId="77777777" w:rsidTr="00026782">
        <w:tc>
          <w:tcPr>
            <w:tcW w:w="1980" w:type="dxa"/>
            <w:shd w:val="clear" w:color="auto" w:fill="F2F2F2"/>
          </w:tcPr>
          <w:p w14:paraId="14A3A79F"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5624485" w14:textId="77777777" w:rsidR="00FD0545" w:rsidRPr="00C376DE" w:rsidRDefault="00FD0545" w:rsidP="00026782">
            <w:pPr>
              <w:rPr>
                <w:rFonts w:eastAsia="Calibri"/>
                <w:b/>
                <w:bCs/>
                <w:sz w:val="22"/>
                <w:szCs w:val="22"/>
              </w:rPr>
            </w:pPr>
            <w:r w:rsidRPr="00C376DE">
              <w:rPr>
                <w:rFonts w:eastAsia="Calibri"/>
                <w:b/>
                <w:bCs/>
                <w:sz w:val="22"/>
                <w:szCs w:val="22"/>
              </w:rPr>
              <w:t xml:space="preserve">Nyilvántartásból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w:t>
            </w:r>
          </w:p>
        </w:tc>
      </w:tr>
      <w:tr w:rsidR="00FD0545" w:rsidRPr="00C376DE" w14:paraId="57232388" w14:textId="77777777" w:rsidTr="00026782">
        <w:tc>
          <w:tcPr>
            <w:tcW w:w="1980" w:type="dxa"/>
            <w:shd w:val="clear" w:color="auto" w:fill="F2F2F2"/>
          </w:tcPr>
          <w:p w14:paraId="36A4F517"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715B5044" w14:textId="77777777" w:rsidR="00FD0545" w:rsidRPr="00C376DE" w:rsidRDefault="00FD0545" w:rsidP="00026782">
            <w:pPr>
              <w:rPr>
                <w:rFonts w:eastAsia="Calibri"/>
                <w:b/>
                <w:bCs/>
                <w:sz w:val="22"/>
                <w:szCs w:val="22"/>
              </w:rPr>
            </w:pPr>
            <w:r w:rsidRPr="00C376DE">
              <w:rPr>
                <w:rFonts w:eastAsia="Calibri"/>
                <w:b/>
                <w:bCs/>
                <w:sz w:val="22"/>
                <w:szCs w:val="22"/>
              </w:rPr>
              <w:t xml:space="preserve">Tanulmányi </w:t>
            </w:r>
            <w:proofErr w:type="gramStart"/>
            <w:r w:rsidRPr="00C376DE">
              <w:rPr>
                <w:rFonts w:eastAsia="Calibri"/>
                <w:b/>
                <w:bCs/>
                <w:sz w:val="22"/>
                <w:szCs w:val="22"/>
              </w:rPr>
              <w:t>rendszer működtetési</w:t>
            </w:r>
            <w:proofErr w:type="gramEnd"/>
            <w:r w:rsidRPr="00C376DE">
              <w:rPr>
                <w:rFonts w:eastAsia="Calibri"/>
                <w:b/>
                <w:bCs/>
                <w:sz w:val="22"/>
                <w:szCs w:val="22"/>
              </w:rPr>
              <w:t xml:space="preserve"> koordinátor</w:t>
            </w:r>
          </w:p>
        </w:tc>
      </w:tr>
    </w:tbl>
    <w:p w14:paraId="7A1708B8" w14:textId="77777777" w:rsidR="00FD0545" w:rsidRPr="004B2939" w:rsidRDefault="00FD0545" w:rsidP="00FD0545">
      <w:pPr>
        <w:ind w:left="1416"/>
        <w:rPr>
          <w:b/>
          <w:sz w:val="22"/>
        </w:rPr>
      </w:pPr>
    </w:p>
    <w:p w14:paraId="60B685C2" w14:textId="77777777" w:rsidR="00FD0545" w:rsidRPr="004B2939" w:rsidRDefault="00FD0545" w:rsidP="00FD0545">
      <w:pPr>
        <w:ind w:left="1416"/>
        <w:rPr>
          <w:b/>
          <w:sz w:val="22"/>
        </w:rPr>
      </w:pPr>
      <w:r w:rsidRPr="004B2939">
        <w:rPr>
          <w:b/>
          <w:sz w:val="22"/>
        </w:rPr>
        <w:t>5. Tantárgygondozási többletpont (TTG TÉR = TTL TÉR + TTAL TÉR)</w:t>
      </w:r>
    </w:p>
    <w:p w14:paraId="55365AB0" w14:textId="77777777" w:rsidR="00FD0545" w:rsidRPr="004B2939" w:rsidRDefault="00FD0545" w:rsidP="00FD0545">
      <w:pPr>
        <w:ind w:left="1416"/>
        <w:rPr>
          <w:b/>
          <w:sz w:val="22"/>
        </w:rPr>
      </w:pPr>
    </w:p>
    <w:p w14:paraId="2141EB67" w14:textId="77777777" w:rsidR="00FD0545" w:rsidRPr="00E13CE5" w:rsidRDefault="00FD0545" w:rsidP="00FD0545">
      <w:pPr>
        <w:jc w:val="both"/>
        <w:rPr>
          <w:rFonts w:eastAsia="Calibri"/>
          <w:sz w:val="22"/>
          <w:szCs w:val="22"/>
        </w:rPr>
      </w:pPr>
      <w:r w:rsidRPr="00E13CE5">
        <w:rPr>
          <w:rFonts w:eastAsia="Calibri"/>
          <w:sz w:val="22"/>
          <w:szCs w:val="22"/>
        </w:rPr>
        <w:t xml:space="preserve">Az oktató által gondozott tantárgy esetében minden esetben, amikor a tantárgyleírás naprakész, vagyis a hetekre bontott ütemezés </w:t>
      </w:r>
      <w:proofErr w:type="gramStart"/>
      <w:r w:rsidRPr="00E13CE5">
        <w:rPr>
          <w:rFonts w:eastAsia="Calibri"/>
          <w:sz w:val="22"/>
          <w:szCs w:val="22"/>
        </w:rPr>
        <w:t>aktuális</w:t>
      </w:r>
      <w:proofErr w:type="gramEnd"/>
      <w:r w:rsidRPr="00E13CE5">
        <w:rPr>
          <w:rFonts w:eastAsia="Calibri"/>
          <w:sz w:val="22"/>
          <w:szCs w:val="22"/>
        </w:rPr>
        <w:t>, megfelel a szemeszter oktatási hét struktúrájának, a kötelező és ajánlott irodalmak listája aktualizált, többletpont megszerzésére jogosult, az alábbiak szerint:</w:t>
      </w:r>
    </w:p>
    <w:p w14:paraId="78F0A39C" w14:textId="77777777" w:rsidR="00FD0545" w:rsidRPr="00E13CE5" w:rsidRDefault="00FD0545" w:rsidP="00FD0545">
      <w:pPr>
        <w:rPr>
          <w:rFonts w:eastAsia="Calibri"/>
          <w:b/>
          <w:bCs/>
          <w:sz w:val="22"/>
          <w:szCs w:val="22"/>
        </w:rPr>
      </w:pPr>
    </w:p>
    <w:p w14:paraId="42C185AB" w14:textId="77777777" w:rsidR="00FD0545" w:rsidRPr="00E13CE5" w:rsidRDefault="00FD0545" w:rsidP="00FD0545">
      <w:pPr>
        <w:rPr>
          <w:rFonts w:eastAsia="Calibri"/>
          <w:b/>
          <w:bCs/>
          <w:sz w:val="22"/>
          <w:szCs w:val="22"/>
        </w:rPr>
      </w:pPr>
      <w:r w:rsidRPr="00E13CE5">
        <w:rPr>
          <w:rFonts w:eastAsia="Calibri"/>
          <w:b/>
          <w:bCs/>
          <w:sz w:val="22"/>
          <w:szCs w:val="22"/>
        </w:rPr>
        <w:t>Tantárgyleírás elkészítése:</w:t>
      </w:r>
    </w:p>
    <w:p w14:paraId="1531BD7A" w14:textId="77777777" w:rsidR="00FD0545" w:rsidRPr="00E13CE5" w:rsidRDefault="00FD0545" w:rsidP="00FD0545">
      <w:pPr>
        <w:rPr>
          <w:rFonts w:eastAsia="Calibri"/>
          <w:b/>
          <w:bCs/>
          <w:sz w:val="22"/>
          <w:szCs w:val="22"/>
        </w:rPr>
      </w:pPr>
    </w:p>
    <w:p w14:paraId="303EA852"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TTL TÉR pont=TTL ×10 pont</m:t>
          </m:r>
        </m:oMath>
      </m:oMathPara>
    </w:p>
    <w:p w14:paraId="6ECC11B3" w14:textId="77777777" w:rsidR="00FD0545" w:rsidRPr="00E13CE5" w:rsidRDefault="00FD0545" w:rsidP="00FD0545">
      <w:pPr>
        <w:rPr>
          <w:sz w:val="22"/>
          <w:szCs w:val="22"/>
        </w:rPr>
      </w:pPr>
    </w:p>
    <w:p w14:paraId="25CFFDE9" w14:textId="77777777" w:rsidR="00FD0545" w:rsidRPr="00E13CE5" w:rsidRDefault="00FD0545" w:rsidP="00FD0545">
      <w:pPr>
        <w:rPr>
          <w:rFonts w:eastAsia="Calibri"/>
          <w:sz w:val="22"/>
          <w:szCs w:val="22"/>
        </w:rPr>
      </w:pPr>
      <w:r w:rsidRPr="00E13CE5">
        <w:rPr>
          <w:sz w:val="22"/>
          <w:szCs w:val="22"/>
        </w:rPr>
        <w:t>Ahol TTL az újonnan elkészített tantárgyleírások száma.</w:t>
      </w:r>
      <w:r w:rsidRPr="00E13CE5">
        <w:rPr>
          <w:rFonts w:eastAsia="Calibri"/>
          <w:sz w:val="22"/>
          <w:szCs w:val="22"/>
        </w:rPr>
        <w:t xml:space="preserve"> Az értékelés alapjául szolgáló adatok forrása, az adatnyerés módja:</w:t>
      </w:r>
    </w:p>
    <w:p w14:paraId="374C8D1E" w14:textId="77777777" w:rsidR="00FD0545" w:rsidRDefault="00FD0545" w:rsidP="00FD0545">
      <w:pPr>
        <w:rPr>
          <w:sz w:val="22"/>
          <w:szCs w:val="22"/>
        </w:rPr>
      </w:pPr>
    </w:p>
    <w:p w14:paraId="0ECE7797" w14:textId="77777777" w:rsidR="00FD0545" w:rsidRDefault="00FD0545" w:rsidP="00FD0545">
      <w:pPr>
        <w:rPr>
          <w:sz w:val="22"/>
          <w:szCs w:val="22"/>
        </w:rPr>
      </w:pPr>
    </w:p>
    <w:p w14:paraId="21CE9E78" w14:textId="77777777" w:rsidR="00FD0545" w:rsidRPr="00E13CE5" w:rsidRDefault="00FD0545" w:rsidP="00FD0545">
      <w:pPr>
        <w:rPr>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1876B939" w14:textId="77777777" w:rsidTr="00026782">
        <w:tc>
          <w:tcPr>
            <w:tcW w:w="1980" w:type="dxa"/>
            <w:shd w:val="clear" w:color="auto" w:fill="F2F2F2"/>
          </w:tcPr>
          <w:p w14:paraId="0EA2276E" w14:textId="77777777" w:rsidR="00FD0545" w:rsidRPr="00C376DE" w:rsidRDefault="00FD0545" w:rsidP="00026782">
            <w:pPr>
              <w:rPr>
                <w:rFonts w:eastAsia="Calibri"/>
                <w:b/>
                <w:bCs/>
                <w:sz w:val="22"/>
                <w:szCs w:val="22"/>
              </w:rPr>
            </w:pPr>
            <w:r w:rsidRPr="00C376DE">
              <w:rPr>
                <w:rFonts w:eastAsia="Calibri"/>
                <w:b/>
                <w:bCs/>
                <w:sz w:val="22"/>
                <w:szCs w:val="22"/>
              </w:rPr>
              <w:lastRenderedPageBreak/>
              <w:t>Adatok forrása:</w:t>
            </w:r>
          </w:p>
        </w:tc>
        <w:tc>
          <w:tcPr>
            <w:tcW w:w="7082" w:type="dxa"/>
            <w:shd w:val="clear" w:color="auto" w:fill="F2F2F2"/>
          </w:tcPr>
          <w:p w14:paraId="7DCF6586" w14:textId="77777777" w:rsidR="00FD0545" w:rsidRPr="00C376DE" w:rsidRDefault="00FD0545" w:rsidP="00026782">
            <w:pPr>
              <w:rPr>
                <w:rFonts w:eastAsia="Calibri"/>
                <w:b/>
                <w:bCs/>
                <w:sz w:val="22"/>
                <w:szCs w:val="22"/>
              </w:rPr>
            </w:pPr>
            <w:r w:rsidRPr="00C376DE">
              <w:rPr>
                <w:rFonts w:eastAsia="Calibri"/>
                <w:b/>
                <w:bCs/>
                <w:sz w:val="22"/>
                <w:szCs w:val="22"/>
              </w:rPr>
              <w:t>Elkészített tantárgyleírások számbavétele, ellenőrzése</w:t>
            </w:r>
          </w:p>
        </w:tc>
      </w:tr>
      <w:tr w:rsidR="00FD0545" w:rsidRPr="00C376DE" w14:paraId="7B898A86" w14:textId="77777777" w:rsidTr="00026782">
        <w:tc>
          <w:tcPr>
            <w:tcW w:w="1980" w:type="dxa"/>
            <w:shd w:val="clear" w:color="auto" w:fill="F2F2F2"/>
          </w:tcPr>
          <w:p w14:paraId="1DAC76C8"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7C559D89"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3500F0CA" w14:textId="77777777" w:rsidTr="00026782">
        <w:tc>
          <w:tcPr>
            <w:tcW w:w="1980" w:type="dxa"/>
            <w:shd w:val="clear" w:color="auto" w:fill="F2F2F2"/>
          </w:tcPr>
          <w:p w14:paraId="66943D53"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00182BA"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00223959" w14:textId="77777777" w:rsidR="00FD0545" w:rsidRPr="00E13CE5" w:rsidRDefault="00FD0545" w:rsidP="00FD0545">
      <w:pPr>
        <w:spacing w:before="160"/>
        <w:rPr>
          <w:rFonts w:eastAsia="Calibri"/>
          <w:b/>
          <w:bCs/>
          <w:sz w:val="22"/>
          <w:szCs w:val="22"/>
        </w:rPr>
      </w:pPr>
    </w:p>
    <w:p w14:paraId="3BFEB525" w14:textId="77777777" w:rsidR="00FD0545" w:rsidRPr="00E13CE5" w:rsidRDefault="00FD0545" w:rsidP="00FD0545">
      <w:pPr>
        <w:spacing w:before="160"/>
        <w:rPr>
          <w:rFonts w:eastAsia="Calibri"/>
          <w:b/>
          <w:bCs/>
          <w:sz w:val="22"/>
          <w:szCs w:val="22"/>
        </w:rPr>
      </w:pPr>
      <w:r w:rsidRPr="00E13CE5">
        <w:rPr>
          <w:rFonts w:eastAsia="Calibri"/>
          <w:b/>
          <w:bCs/>
          <w:sz w:val="22"/>
          <w:szCs w:val="22"/>
        </w:rPr>
        <w:t xml:space="preserve">Tantárgyleírás </w:t>
      </w:r>
      <w:proofErr w:type="gramStart"/>
      <w:r w:rsidRPr="00E13CE5">
        <w:rPr>
          <w:rFonts w:eastAsia="Calibri"/>
          <w:b/>
          <w:bCs/>
          <w:sz w:val="22"/>
          <w:szCs w:val="22"/>
        </w:rPr>
        <w:t>aktualizálása</w:t>
      </w:r>
      <w:proofErr w:type="gramEnd"/>
      <w:r w:rsidRPr="00E13CE5">
        <w:rPr>
          <w:rFonts w:eastAsia="Calibri"/>
          <w:b/>
          <w:bCs/>
          <w:sz w:val="22"/>
          <w:szCs w:val="22"/>
        </w:rPr>
        <w:t>:</w:t>
      </w:r>
    </w:p>
    <w:p w14:paraId="35780D8E" w14:textId="77777777" w:rsidR="00FD0545" w:rsidRPr="00E13CE5" w:rsidRDefault="00FD0545" w:rsidP="00FD0545">
      <w:pPr>
        <w:spacing w:before="160"/>
        <w:rPr>
          <w:rFonts w:eastAsia="Calibri"/>
          <w:b/>
          <w:bCs/>
          <w:sz w:val="22"/>
          <w:szCs w:val="22"/>
        </w:rPr>
      </w:pPr>
    </w:p>
    <w:p w14:paraId="59ACE2E4"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TTAL TÉR pont=TTAL ×2 pont</m:t>
          </m:r>
        </m:oMath>
      </m:oMathPara>
    </w:p>
    <w:p w14:paraId="58892AA8" w14:textId="77777777" w:rsidR="00FD0545" w:rsidRPr="00E13CE5" w:rsidRDefault="00FD0545" w:rsidP="00FD0545">
      <w:pPr>
        <w:rPr>
          <w:rFonts w:eastAsia="Calibri"/>
          <w:sz w:val="22"/>
          <w:szCs w:val="22"/>
        </w:rPr>
      </w:pPr>
    </w:p>
    <w:p w14:paraId="2136431A" w14:textId="77777777" w:rsidR="00FD0545" w:rsidRPr="00E13CE5" w:rsidRDefault="00FD0545" w:rsidP="00FD0545">
      <w:pPr>
        <w:jc w:val="both"/>
        <w:rPr>
          <w:rFonts w:eastAsia="Calibri"/>
          <w:sz w:val="22"/>
          <w:szCs w:val="22"/>
        </w:rPr>
      </w:pPr>
      <w:r w:rsidRPr="00E13CE5">
        <w:rPr>
          <w:rFonts w:eastAsia="Calibri"/>
          <w:sz w:val="22"/>
          <w:szCs w:val="22"/>
        </w:rPr>
        <w:t xml:space="preserve">Ahol TTAL az </w:t>
      </w:r>
      <w:proofErr w:type="gramStart"/>
      <w:r w:rsidRPr="00E13CE5">
        <w:rPr>
          <w:rFonts w:eastAsia="Calibri"/>
          <w:sz w:val="22"/>
          <w:szCs w:val="22"/>
        </w:rPr>
        <w:t>aktualizált</w:t>
      </w:r>
      <w:proofErr w:type="gramEnd"/>
      <w:r w:rsidRPr="00E13CE5">
        <w:rPr>
          <w:rFonts w:eastAsia="Calibri"/>
          <w:sz w:val="22"/>
          <w:szCs w:val="22"/>
        </w:rPr>
        <w:t xml:space="preserve"> tantárgyleírások száma. Amennyiben nincs változás az előző </w:t>
      </w:r>
      <w:proofErr w:type="gramStart"/>
      <w:r w:rsidRPr="00E13CE5">
        <w:rPr>
          <w:rFonts w:eastAsia="Calibri"/>
          <w:sz w:val="22"/>
          <w:szCs w:val="22"/>
        </w:rPr>
        <w:t>kurzushoz</w:t>
      </w:r>
      <w:proofErr w:type="gramEnd"/>
      <w:r w:rsidRPr="00E13CE5">
        <w:rPr>
          <w:rFonts w:eastAsia="Calibri"/>
          <w:sz w:val="22"/>
          <w:szCs w:val="22"/>
        </w:rPr>
        <w:t xml:space="preserve"> képest, abban az esetben pont nem adható! Az értékelés alapjául szolgáló adatok forrása, az adatnyerés módja:</w:t>
      </w:r>
    </w:p>
    <w:p w14:paraId="39B90EA4" w14:textId="77777777" w:rsidR="00FD0545" w:rsidRPr="00E13CE5" w:rsidRDefault="00FD0545" w:rsidP="00FD0545">
      <w:pPr>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09F6BE59" w14:textId="77777777" w:rsidTr="00026782">
        <w:tc>
          <w:tcPr>
            <w:tcW w:w="1980" w:type="dxa"/>
            <w:shd w:val="clear" w:color="auto" w:fill="F2F2F2"/>
          </w:tcPr>
          <w:p w14:paraId="0B738D63"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6B03C057" w14:textId="77777777" w:rsidR="00FD0545" w:rsidRPr="00C376DE" w:rsidRDefault="00FD0545" w:rsidP="00026782">
            <w:pPr>
              <w:rPr>
                <w:rFonts w:eastAsia="Calibri"/>
                <w:b/>
                <w:bCs/>
                <w:sz w:val="22"/>
                <w:szCs w:val="22"/>
              </w:rPr>
            </w:pPr>
            <w:r w:rsidRPr="00C376DE">
              <w:rPr>
                <w:rFonts w:eastAsia="Calibri"/>
                <w:b/>
                <w:bCs/>
                <w:sz w:val="22"/>
                <w:szCs w:val="22"/>
              </w:rPr>
              <w:t xml:space="preserve">Elkészített </w:t>
            </w:r>
            <w:proofErr w:type="gramStart"/>
            <w:r w:rsidRPr="00C376DE">
              <w:rPr>
                <w:rFonts w:eastAsia="Calibri"/>
                <w:b/>
                <w:bCs/>
                <w:sz w:val="22"/>
                <w:szCs w:val="22"/>
              </w:rPr>
              <w:t>aktualizált</w:t>
            </w:r>
            <w:proofErr w:type="gramEnd"/>
            <w:r w:rsidRPr="00C376DE">
              <w:rPr>
                <w:rFonts w:eastAsia="Calibri"/>
                <w:b/>
                <w:bCs/>
                <w:sz w:val="22"/>
                <w:szCs w:val="22"/>
              </w:rPr>
              <w:t xml:space="preserve"> tantárgyleírások számbavétele, ellenőrzése</w:t>
            </w:r>
          </w:p>
        </w:tc>
      </w:tr>
      <w:tr w:rsidR="00FD0545" w:rsidRPr="00C376DE" w14:paraId="4336C967" w14:textId="77777777" w:rsidTr="00026782">
        <w:tc>
          <w:tcPr>
            <w:tcW w:w="1980" w:type="dxa"/>
            <w:shd w:val="clear" w:color="auto" w:fill="F2F2F2"/>
          </w:tcPr>
          <w:p w14:paraId="59F10FCE"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FF849E0"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76D59BA3" w14:textId="77777777" w:rsidTr="00026782">
        <w:tc>
          <w:tcPr>
            <w:tcW w:w="1980" w:type="dxa"/>
            <w:shd w:val="clear" w:color="auto" w:fill="F2F2F2"/>
          </w:tcPr>
          <w:p w14:paraId="27D942A5"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4DE7FB1"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7BC0C375" w14:textId="77777777" w:rsidR="00FD0545" w:rsidRDefault="00FD0545" w:rsidP="00FD0545">
      <w:pPr>
        <w:spacing w:before="160"/>
        <w:rPr>
          <w:rFonts w:eastAsia="Calibri"/>
          <w:b/>
          <w:bCs/>
          <w:sz w:val="22"/>
          <w:szCs w:val="22"/>
        </w:rPr>
      </w:pPr>
      <w:r w:rsidRPr="00E13CE5">
        <w:rPr>
          <w:b/>
          <w:bCs/>
          <w:sz w:val="22"/>
          <w:szCs w:val="22"/>
        </w:rPr>
        <w:t>Tantárgygondozásért járó többletpont legfeljebb 100 pont mértékig vehető figyelembe.</w:t>
      </w:r>
    </w:p>
    <w:p w14:paraId="2D175A76" w14:textId="77777777" w:rsidR="00FD0545" w:rsidRPr="004B2939" w:rsidRDefault="00FD0545" w:rsidP="00FD0545">
      <w:pPr>
        <w:ind w:left="1416"/>
        <w:rPr>
          <w:rFonts w:eastAsia="Calibri"/>
          <w:b/>
          <w:sz w:val="22"/>
        </w:rPr>
      </w:pPr>
    </w:p>
    <w:p w14:paraId="73F63D8D" w14:textId="77777777" w:rsidR="00FD0545" w:rsidRPr="004B2939" w:rsidRDefault="00FD0545" w:rsidP="00FD0545">
      <w:pPr>
        <w:ind w:left="1416"/>
        <w:rPr>
          <w:b/>
          <w:sz w:val="22"/>
        </w:rPr>
      </w:pPr>
      <w:r w:rsidRPr="004B2939">
        <w:rPr>
          <w:b/>
          <w:sz w:val="22"/>
        </w:rPr>
        <w:t>6. E-</w:t>
      </w:r>
      <w:proofErr w:type="spellStart"/>
      <w:r w:rsidRPr="004B2939">
        <w:rPr>
          <w:b/>
          <w:sz w:val="22"/>
        </w:rPr>
        <w:t>learning</w:t>
      </w:r>
      <w:proofErr w:type="spellEnd"/>
      <w:r w:rsidRPr="004B2939">
        <w:rPr>
          <w:b/>
          <w:sz w:val="22"/>
        </w:rPr>
        <w:t xml:space="preserve"> támogatás (</w:t>
      </w:r>
      <w:proofErr w:type="gramStart"/>
      <w:r w:rsidRPr="004B2939">
        <w:rPr>
          <w:b/>
          <w:sz w:val="22"/>
        </w:rPr>
        <w:t>EL TÉR</w:t>
      </w:r>
      <w:proofErr w:type="gramEnd"/>
      <w:r w:rsidRPr="004B2939">
        <w:rPr>
          <w:b/>
          <w:sz w:val="22"/>
        </w:rPr>
        <w:t>)</w:t>
      </w:r>
    </w:p>
    <w:p w14:paraId="48A43E83" w14:textId="77777777" w:rsidR="00FD0545" w:rsidRPr="004B2939" w:rsidRDefault="00FD0545" w:rsidP="00FD0545">
      <w:pPr>
        <w:ind w:left="1416"/>
        <w:rPr>
          <w:b/>
          <w:sz w:val="22"/>
        </w:rPr>
      </w:pPr>
    </w:p>
    <w:p w14:paraId="5FFEFDD5" w14:textId="77777777" w:rsidR="00FD0545" w:rsidRPr="00E13CE5" w:rsidRDefault="00FD0545" w:rsidP="00FD0545">
      <w:pPr>
        <w:jc w:val="both"/>
        <w:rPr>
          <w:rFonts w:eastAsia="Calibri"/>
          <w:sz w:val="22"/>
          <w:szCs w:val="22"/>
        </w:rPr>
      </w:pPr>
      <w:r w:rsidRPr="00E13CE5">
        <w:rPr>
          <w:rFonts w:eastAsia="Calibri"/>
          <w:sz w:val="22"/>
          <w:szCs w:val="22"/>
        </w:rPr>
        <w:t>Karunk törekvése, hogy a hallgatói előmenetelt online elérhető, digitalizált tananyaggal is segítse, ezzel is növelve az egyéni felkészülési idő hatékonyságát. Ennek érdekében a TÉR elismeri azokat az oktatói teljesítményeket, melyek ezt a célt szolgálják.</w:t>
      </w:r>
    </w:p>
    <w:p w14:paraId="545CB0D7" w14:textId="77777777" w:rsidR="00FD0545" w:rsidRPr="00E13CE5" w:rsidRDefault="00FD0545" w:rsidP="00FD0545">
      <w:pPr>
        <w:jc w:val="both"/>
        <w:rPr>
          <w:rFonts w:eastAsia="Calibri"/>
          <w:sz w:val="22"/>
          <w:szCs w:val="22"/>
        </w:rPr>
      </w:pPr>
    </w:p>
    <w:p w14:paraId="02F9077E" w14:textId="77777777" w:rsidR="00FD0545" w:rsidRPr="00E13CE5" w:rsidRDefault="00FD0545" w:rsidP="00FD0545">
      <w:pPr>
        <w:jc w:val="both"/>
        <w:rPr>
          <w:rFonts w:eastAsia="Calibri"/>
          <w:sz w:val="22"/>
          <w:szCs w:val="22"/>
        </w:rPr>
      </w:pPr>
      <w:r w:rsidRPr="00E13CE5">
        <w:rPr>
          <w:rFonts w:eastAsia="Calibri"/>
          <w:sz w:val="22"/>
          <w:szCs w:val="22"/>
        </w:rPr>
        <w:t xml:space="preserve">Többletpont az alábbi táblázatban szereplő tevékenységekért szerezhető, de egy tevékenységért csak egy évben adható pont! Természetesen abban az esetben, amennyiben tartalombővítésre kerül sor, és az </w:t>
      </w:r>
      <w:proofErr w:type="gramStart"/>
      <w:r w:rsidRPr="00E13CE5">
        <w:rPr>
          <w:rFonts w:eastAsia="Calibri"/>
          <w:sz w:val="22"/>
          <w:szCs w:val="22"/>
        </w:rPr>
        <w:t>objektíven</w:t>
      </w:r>
      <w:proofErr w:type="gramEnd"/>
      <w:r w:rsidRPr="00E13CE5">
        <w:rPr>
          <w:rFonts w:eastAsia="Calibri"/>
          <w:sz w:val="22"/>
          <w:szCs w:val="22"/>
        </w:rPr>
        <w:t xml:space="preserve"> alátámasztható, ugyancsak szerezhető TÉR többletpont.</w:t>
      </w:r>
    </w:p>
    <w:p w14:paraId="26A12905" w14:textId="77777777" w:rsidR="00FD0545" w:rsidRPr="00E13CE5" w:rsidRDefault="00FD0545" w:rsidP="00FD0545">
      <w:pPr>
        <w:jc w:val="both"/>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20"/>
        <w:gridCol w:w="1511"/>
        <w:gridCol w:w="1560"/>
      </w:tblGrid>
      <w:tr w:rsidR="00FD0545" w:rsidRPr="00C376DE" w14:paraId="6BCCCD8D" w14:textId="77777777" w:rsidTr="00026782">
        <w:trPr>
          <w:tblHeader/>
          <w:jc w:val="center"/>
        </w:trPr>
        <w:tc>
          <w:tcPr>
            <w:tcW w:w="3020" w:type="dxa"/>
            <w:tcBorders>
              <w:top w:val="single" w:sz="4" w:space="0" w:color="FFFFFF"/>
              <w:left w:val="single" w:sz="4" w:space="0" w:color="FFFFFF"/>
              <w:right w:val="nil"/>
            </w:tcBorders>
            <w:shd w:val="clear" w:color="auto" w:fill="EDEDED"/>
          </w:tcPr>
          <w:p w14:paraId="0FAF59CC" w14:textId="77777777" w:rsidR="00FD0545" w:rsidRPr="00C376DE" w:rsidRDefault="00FD0545" w:rsidP="00026782">
            <w:pPr>
              <w:jc w:val="center"/>
              <w:rPr>
                <w:rFonts w:eastAsia="Calibri"/>
                <w:b/>
                <w:bCs/>
                <w:sz w:val="22"/>
                <w:szCs w:val="22"/>
              </w:rPr>
            </w:pPr>
            <w:r w:rsidRPr="00C376DE">
              <w:rPr>
                <w:rFonts w:eastAsia="Calibri"/>
                <w:b/>
                <w:bCs/>
                <w:sz w:val="22"/>
                <w:szCs w:val="22"/>
              </w:rPr>
              <w:t>Elismert teljesítmény</w:t>
            </w:r>
          </w:p>
        </w:tc>
        <w:tc>
          <w:tcPr>
            <w:tcW w:w="1511" w:type="dxa"/>
            <w:tcBorders>
              <w:top w:val="single" w:sz="4" w:space="0" w:color="FFFFFF"/>
              <w:left w:val="nil"/>
              <w:right w:val="nil"/>
            </w:tcBorders>
            <w:shd w:val="clear" w:color="auto" w:fill="EDEDED"/>
          </w:tcPr>
          <w:p w14:paraId="55149B55" w14:textId="77777777" w:rsidR="00FD0545" w:rsidRPr="00C376DE" w:rsidRDefault="00FD0545" w:rsidP="00026782">
            <w:pPr>
              <w:jc w:val="center"/>
              <w:rPr>
                <w:rFonts w:eastAsia="Calibri"/>
                <w:b/>
                <w:bCs/>
                <w:sz w:val="22"/>
                <w:szCs w:val="22"/>
              </w:rPr>
            </w:pPr>
            <w:r w:rsidRPr="00C376DE">
              <w:rPr>
                <w:rFonts w:eastAsia="Calibri"/>
                <w:b/>
                <w:bCs/>
                <w:sz w:val="22"/>
                <w:szCs w:val="22"/>
              </w:rPr>
              <w:t>Mérésegység</w:t>
            </w:r>
          </w:p>
        </w:tc>
        <w:tc>
          <w:tcPr>
            <w:tcW w:w="1560" w:type="dxa"/>
            <w:tcBorders>
              <w:top w:val="single" w:sz="4" w:space="0" w:color="FFFFFF"/>
              <w:left w:val="nil"/>
              <w:right w:val="single" w:sz="4" w:space="0" w:color="FFFFFF"/>
            </w:tcBorders>
            <w:shd w:val="clear" w:color="auto" w:fill="EDEDED"/>
          </w:tcPr>
          <w:p w14:paraId="1297FCE0" w14:textId="77777777" w:rsidR="00FD0545" w:rsidRPr="00C376DE" w:rsidRDefault="00FD0545" w:rsidP="00026782">
            <w:pPr>
              <w:jc w:val="center"/>
              <w:rPr>
                <w:rFonts w:eastAsia="Calibri"/>
                <w:b/>
                <w:bCs/>
                <w:sz w:val="22"/>
                <w:szCs w:val="22"/>
              </w:rPr>
            </w:pPr>
            <w:r w:rsidRPr="00C376DE">
              <w:rPr>
                <w:rFonts w:eastAsia="Calibri"/>
                <w:b/>
                <w:bCs/>
                <w:sz w:val="22"/>
                <w:szCs w:val="22"/>
              </w:rPr>
              <w:t>Egységpont</w:t>
            </w:r>
          </w:p>
        </w:tc>
      </w:tr>
      <w:tr w:rsidR="00FD0545" w:rsidRPr="00C376DE" w14:paraId="3BBA5638" w14:textId="77777777" w:rsidTr="00026782">
        <w:trPr>
          <w:jc w:val="center"/>
        </w:trPr>
        <w:tc>
          <w:tcPr>
            <w:tcW w:w="3020" w:type="dxa"/>
            <w:shd w:val="clear" w:color="auto" w:fill="EDEDED"/>
          </w:tcPr>
          <w:p w14:paraId="2AF6928F" w14:textId="77777777" w:rsidR="00FD0545" w:rsidRPr="00C376DE" w:rsidRDefault="00FD0545" w:rsidP="00026782">
            <w:pPr>
              <w:rPr>
                <w:rFonts w:eastAsia="Calibri"/>
                <w:sz w:val="22"/>
                <w:szCs w:val="22"/>
              </w:rPr>
            </w:pPr>
            <w:r w:rsidRPr="00C376DE">
              <w:rPr>
                <w:rFonts w:eastAsia="Calibri"/>
                <w:sz w:val="22"/>
                <w:szCs w:val="22"/>
              </w:rPr>
              <w:t>Óravázlatok online közzététele</w:t>
            </w:r>
          </w:p>
        </w:tc>
        <w:tc>
          <w:tcPr>
            <w:tcW w:w="1511" w:type="dxa"/>
            <w:shd w:val="clear" w:color="auto" w:fill="EDEDED"/>
          </w:tcPr>
          <w:p w14:paraId="506146FF" w14:textId="77777777" w:rsidR="00FD0545" w:rsidRPr="00C376DE" w:rsidRDefault="00FD0545" w:rsidP="00026782">
            <w:pPr>
              <w:jc w:val="center"/>
              <w:rPr>
                <w:rFonts w:eastAsia="Calibri"/>
                <w:sz w:val="22"/>
                <w:szCs w:val="22"/>
              </w:rPr>
            </w:pPr>
            <w:proofErr w:type="gramStart"/>
            <w:r w:rsidRPr="00C376DE">
              <w:rPr>
                <w:rFonts w:eastAsia="Calibri"/>
                <w:sz w:val="22"/>
                <w:szCs w:val="22"/>
              </w:rPr>
              <w:t>kurzus</w:t>
            </w:r>
            <w:proofErr w:type="gramEnd"/>
          </w:p>
        </w:tc>
        <w:tc>
          <w:tcPr>
            <w:tcW w:w="1560" w:type="dxa"/>
            <w:shd w:val="clear" w:color="auto" w:fill="EDEDED"/>
          </w:tcPr>
          <w:p w14:paraId="3EED96AE"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5210EE9A" w14:textId="77777777" w:rsidTr="00026782">
        <w:trPr>
          <w:jc w:val="center"/>
        </w:trPr>
        <w:tc>
          <w:tcPr>
            <w:tcW w:w="3020" w:type="dxa"/>
            <w:shd w:val="clear" w:color="auto" w:fill="EDEDED"/>
          </w:tcPr>
          <w:p w14:paraId="768A8758" w14:textId="77777777" w:rsidR="00FD0545" w:rsidRPr="00C376DE" w:rsidRDefault="00FD0545" w:rsidP="00026782">
            <w:pPr>
              <w:rPr>
                <w:rFonts w:eastAsia="Calibri"/>
                <w:sz w:val="22"/>
                <w:szCs w:val="22"/>
              </w:rPr>
            </w:pPr>
            <w:r w:rsidRPr="00C376DE">
              <w:rPr>
                <w:rFonts w:eastAsia="Calibri"/>
                <w:sz w:val="22"/>
                <w:szCs w:val="22"/>
              </w:rPr>
              <w:t>Előadások hanganyagának közzététele</w:t>
            </w:r>
          </w:p>
        </w:tc>
        <w:tc>
          <w:tcPr>
            <w:tcW w:w="1511" w:type="dxa"/>
            <w:shd w:val="clear" w:color="auto" w:fill="EDEDED"/>
          </w:tcPr>
          <w:p w14:paraId="3B77357A" w14:textId="77777777" w:rsidR="00FD0545" w:rsidRPr="00C376DE" w:rsidRDefault="00FD0545" w:rsidP="00026782">
            <w:pPr>
              <w:jc w:val="center"/>
              <w:rPr>
                <w:rFonts w:eastAsia="Calibri"/>
                <w:sz w:val="22"/>
                <w:szCs w:val="22"/>
              </w:rPr>
            </w:pPr>
            <w:r w:rsidRPr="00C376DE">
              <w:rPr>
                <w:rFonts w:eastAsia="Calibri"/>
                <w:sz w:val="22"/>
                <w:szCs w:val="22"/>
              </w:rPr>
              <w:t>előadásszám</w:t>
            </w:r>
          </w:p>
        </w:tc>
        <w:tc>
          <w:tcPr>
            <w:tcW w:w="1560" w:type="dxa"/>
            <w:shd w:val="clear" w:color="auto" w:fill="EDEDED"/>
          </w:tcPr>
          <w:p w14:paraId="674B628F" w14:textId="77777777" w:rsidR="00FD0545" w:rsidRPr="00C376DE" w:rsidRDefault="00FD0545" w:rsidP="00026782">
            <w:pPr>
              <w:jc w:val="center"/>
              <w:rPr>
                <w:rFonts w:eastAsia="Calibri"/>
                <w:sz w:val="22"/>
                <w:szCs w:val="22"/>
              </w:rPr>
            </w:pPr>
            <w:r w:rsidRPr="00C376DE">
              <w:rPr>
                <w:rFonts w:eastAsia="Calibri"/>
                <w:sz w:val="22"/>
                <w:szCs w:val="22"/>
              </w:rPr>
              <w:t>0,3 pont</w:t>
            </w:r>
          </w:p>
        </w:tc>
      </w:tr>
      <w:tr w:rsidR="00FD0545" w:rsidRPr="00C376DE" w14:paraId="66A4C6B5" w14:textId="77777777" w:rsidTr="00026782">
        <w:trPr>
          <w:jc w:val="center"/>
        </w:trPr>
        <w:tc>
          <w:tcPr>
            <w:tcW w:w="3020" w:type="dxa"/>
            <w:shd w:val="clear" w:color="auto" w:fill="EDEDED"/>
          </w:tcPr>
          <w:p w14:paraId="6E9E5DF0" w14:textId="77777777" w:rsidR="00FD0545" w:rsidRPr="00C376DE" w:rsidRDefault="00FD0545" w:rsidP="00026782">
            <w:pPr>
              <w:rPr>
                <w:rFonts w:eastAsia="Calibri"/>
                <w:sz w:val="22"/>
                <w:szCs w:val="22"/>
              </w:rPr>
            </w:pPr>
            <w:r w:rsidRPr="00C376DE">
              <w:rPr>
                <w:rFonts w:eastAsia="Calibri"/>
                <w:sz w:val="22"/>
                <w:szCs w:val="22"/>
              </w:rPr>
              <w:t xml:space="preserve">Előadások </w:t>
            </w:r>
            <w:proofErr w:type="spellStart"/>
            <w:r w:rsidRPr="00C376DE">
              <w:rPr>
                <w:rFonts w:eastAsia="Calibri"/>
                <w:sz w:val="22"/>
                <w:szCs w:val="22"/>
              </w:rPr>
              <w:t>videoanyagának</w:t>
            </w:r>
            <w:proofErr w:type="spellEnd"/>
            <w:r w:rsidRPr="00C376DE">
              <w:rPr>
                <w:rFonts w:eastAsia="Calibri"/>
                <w:sz w:val="22"/>
                <w:szCs w:val="22"/>
              </w:rPr>
              <w:t xml:space="preserve"> közzététele</w:t>
            </w:r>
          </w:p>
        </w:tc>
        <w:tc>
          <w:tcPr>
            <w:tcW w:w="1511" w:type="dxa"/>
            <w:shd w:val="clear" w:color="auto" w:fill="EDEDED"/>
          </w:tcPr>
          <w:p w14:paraId="4C86B1C7" w14:textId="77777777" w:rsidR="00FD0545" w:rsidRPr="00C376DE" w:rsidRDefault="00FD0545" w:rsidP="00026782">
            <w:pPr>
              <w:jc w:val="center"/>
              <w:rPr>
                <w:rFonts w:eastAsia="Calibri"/>
                <w:sz w:val="22"/>
                <w:szCs w:val="22"/>
              </w:rPr>
            </w:pPr>
            <w:r w:rsidRPr="00C376DE">
              <w:rPr>
                <w:rFonts w:eastAsia="Calibri"/>
                <w:sz w:val="22"/>
                <w:szCs w:val="22"/>
              </w:rPr>
              <w:t>előadásszám</w:t>
            </w:r>
          </w:p>
        </w:tc>
        <w:tc>
          <w:tcPr>
            <w:tcW w:w="1560" w:type="dxa"/>
            <w:shd w:val="clear" w:color="auto" w:fill="EDEDED"/>
          </w:tcPr>
          <w:p w14:paraId="665F0737" w14:textId="77777777" w:rsidR="00FD0545" w:rsidRPr="00C376DE" w:rsidRDefault="00FD0545" w:rsidP="00026782">
            <w:pPr>
              <w:jc w:val="center"/>
              <w:rPr>
                <w:rFonts w:eastAsia="Calibri"/>
                <w:sz w:val="22"/>
                <w:szCs w:val="22"/>
              </w:rPr>
            </w:pPr>
            <w:r w:rsidRPr="00C376DE">
              <w:rPr>
                <w:rFonts w:eastAsia="Calibri"/>
                <w:sz w:val="22"/>
                <w:szCs w:val="22"/>
              </w:rPr>
              <w:t>2 pont</w:t>
            </w:r>
          </w:p>
        </w:tc>
      </w:tr>
      <w:tr w:rsidR="00FD0545" w:rsidRPr="00C376DE" w14:paraId="0472B3E5" w14:textId="77777777" w:rsidTr="00026782">
        <w:trPr>
          <w:jc w:val="center"/>
        </w:trPr>
        <w:tc>
          <w:tcPr>
            <w:tcW w:w="3020" w:type="dxa"/>
            <w:shd w:val="clear" w:color="auto" w:fill="EDEDED"/>
          </w:tcPr>
          <w:p w14:paraId="5A680603" w14:textId="77777777" w:rsidR="00FD0545" w:rsidRPr="00C376DE" w:rsidRDefault="00FD0545" w:rsidP="00026782">
            <w:pPr>
              <w:rPr>
                <w:rFonts w:eastAsia="Calibri"/>
                <w:sz w:val="22"/>
                <w:szCs w:val="22"/>
              </w:rPr>
            </w:pPr>
            <w:r w:rsidRPr="00C376DE">
              <w:rPr>
                <w:rFonts w:eastAsia="Calibri"/>
                <w:sz w:val="22"/>
                <w:szCs w:val="22"/>
              </w:rPr>
              <w:t>Online tesztbank összeállítása</w:t>
            </w:r>
          </w:p>
        </w:tc>
        <w:tc>
          <w:tcPr>
            <w:tcW w:w="1511" w:type="dxa"/>
            <w:shd w:val="clear" w:color="auto" w:fill="EDEDED"/>
          </w:tcPr>
          <w:p w14:paraId="63BB8F62" w14:textId="77777777" w:rsidR="00FD0545" w:rsidRPr="00C376DE" w:rsidRDefault="00FD0545" w:rsidP="00026782">
            <w:pPr>
              <w:jc w:val="center"/>
              <w:rPr>
                <w:rFonts w:eastAsia="Calibri"/>
                <w:sz w:val="22"/>
                <w:szCs w:val="22"/>
              </w:rPr>
            </w:pPr>
            <w:r w:rsidRPr="00C376DE">
              <w:rPr>
                <w:rFonts w:eastAsia="Calibri"/>
                <w:sz w:val="22"/>
                <w:szCs w:val="22"/>
              </w:rPr>
              <w:t>kérdés</w:t>
            </w:r>
          </w:p>
        </w:tc>
        <w:tc>
          <w:tcPr>
            <w:tcW w:w="1560" w:type="dxa"/>
            <w:shd w:val="clear" w:color="auto" w:fill="EDEDED"/>
          </w:tcPr>
          <w:p w14:paraId="2D788AD4" w14:textId="77777777" w:rsidR="00FD0545" w:rsidRPr="00C376DE" w:rsidRDefault="00FD0545" w:rsidP="00026782">
            <w:pPr>
              <w:jc w:val="center"/>
              <w:rPr>
                <w:rFonts w:eastAsia="Calibri"/>
                <w:sz w:val="22"/>
                <w:szCs w:val="22"/>
              </w:rPr>
            </w:pPr>
            <w:r w:rsidRPr="00C376DE">
              <w:rPr>
                <w:rFonts w:eastAsia="Calibri"/>
                <w:sz w:val="22"/>
                <w:szCs w:val="22"/>
              </w:rPr>
              <w:t>0,3 pont</w:t>
            </w:r>
          </w:p>
        </w:tc>
      </w:tr>
      <w:tr w:rsidR="00FD0545" w:rsidRPr="00C376DE" w14:paraId="03CA53A9" w14:textId="77777777" w:rsidTr="00026782">
        <w:trPr>
          <w:jc w:val="center"/>
        </w:trPr>
        <w:tc>
          <w:tcPr>
            <w:tcW w:w="3020" w:type="dxa"/>
            <w:shd w:val="clear" w:color="auto" w:fill="EDEDED"/>
          </w:tcPr>
          <w:p w14:paraId="3F6C199B" w14:textId="77777777" w:rsidR="00FD0545" w:rsidRPr="00C376DE" w:rsidRDefault="00FD0545" w:rsidP="00026782">
            <w:pPr>
              <w:rPr>
                <w:rFonts w:eastAsia="Calibri"/>
                <w:sz w:val="22"/>
                <w:szCs w:val="22"/>
              </w:rPr>
            </w:pPr>
            <w:proofErr w:type="gramStart"/>
            <w:r w:rsidRPr="00C376DE">
              <w:rPr>
                <w:rFonts w:eastAsia="Calibri"/>
                <w:sz w:val="22"/>
                <w:szCs w:val="22"/>
              </w:rPr>
              <w:t>Aktualizálási</w:t>
            </w:r>
            <w:proofErr w:type="gramEnd"/>
            <w:r w:rsidRPr="00C376DE">
              <w:rPr>
                <w:rFonts w:eastAsia="Calibri"/>
                <w:sz w:val="22"/>
                <w:szCs w:val="22"/>
              </w:rPr>
              <w:t xml:space="preserve"> (átdolgozás esetén, amennyiben nincs új tartalom) szorzó</w:t>
            </w:r>
          </w:p>
        </w:tc>
        <w:tc>
          <w:tcPr>
            <w:tcW w:w="1511" w:type="dxa"/>
            <w:shd w:val="clear" w:color="auto" w:fill="EDEDED"/>
          </w:tcPr>
          <w:p w14:paraId="311F18BD" w14:textId="77777777" w:rsidR="00FD0545" w:rsidRPr="00C376DE" w:rsidRDefault="00FD0545" w:rsidP="00026782">
            <w:pPr>
              <w:jc w:val="center"/>
              <w:rPr>
                <w:rFonts w:eastAsia="Calibri"/>
                <w:sz w:val="22"/>
                <w:szCs w:val="22"/>
              </w:rPr>
            </w:pPr>
          </w:p>
        </w:tc>
        <w:tc>
          <w:tcPr>
            <w:tcW w:w="1560" w:type="dxa"/>
            <w:shd w:val="clear" w:color="auto" w:fill="EDEDED"/>
          </w:tcPr>
          <w:p w14:paraId="1104E4CD" w14:textId="77777777" w:rsidR="00FD0545" w:rsidRPr="00C376DE" w:rsidRDefault="00FD0545" w:rsidP="00026782">
            <w:pPr>
              <w:jc w:val="center"/>
              <w:rPr>
                <w:rFonts w:eastAsia="Calibri"/>
                <w:sz w:val="22"/>
                <w:szCs w:val="22"/>
              </w:rPr>
            </w:pPr>
            <w:r w:rsidRPr="00C376DE">
              <w:rPr>
                <w:rFonts w:eastAsia="Calibri"/>
                <w:sz w:val="22"/>
                <w:szCs w:val="22"/>
              </w:rPr>
              <w:t>új tartalomért járó pont × 0,3</w:t>
            </w:r>
          </w:p>
        </w:tc>
      </w:tr>
    </w:tbl>
    <w:p w14:paraId="03F81CF1" w14:textId="77777777" w:rsidR="00FD0545" w:rsidRPr="00E13CE5" w:rsidRDefault="00FD0545" w:rsidP="00FD0545">
      <w:pPr>
        <w:rPr>
          <w:rFonts w:eastAsia="Calibri"/>
          <w:sz w:val="22"/>
          <w:szCs w:val="22"/>
        </w:rPr>
      </w:pPr>
    </w:p>
    <w:p w14:paraId="607AF2E9"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EL TÉR= </m:t>
          </m:r>
          <m:nary>
            <m:naryPr>
              <m:chr m:val="∑"/>
              <m:limLoc m:val="undOvr"/>
              <m:subHide m:val="1"/>
              <m:supHide m:val="1"/>
              <m:ctrlPr>
                <w:rPr>
                  <w:rFonts w:ascii="Cambria Math" w:eastAsia="Calibri" w:hAnsi="Cambria Math"/>
                  <w:i/>
                  <w:sz w:val="22"/>
                  <w:szCs w:val="22"/>
                </w:rPr>
              </m:ctrlPr>
            </m:naryPr>
            <m:sub/>
            <m:sup/>
            <m:e>
              <m:r>
                <w:rPr>
                  <w:rFonts w:ascii="Cambria Math" w:eastAsia="Calibri" w:hAnsi="Cambria Math"/>
                  <w:sz w:val="22"/>
                  <w:szCs w:val="22"/>
                </w:rPr>
                <m:t>MÉRÉSEGYSÉG ×EGYSÉGPONT</m:t>
              </m:r>
            </m:e>
          </m:nary>
        </m:oMath>
      </m:oMathPara>
    </w:p>
    <w:p w14:paraId="67C5B8AC"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p w14:paraId="274A8B22" w14:textId="77777777" w:rsidR="00FD0545" w:rsidRPr="00E13CE5" w:rsidRDefault="00FD0545" w:rsidP="00FD0545">
      <w:pPr>
        <w:spacing w:before="160"/>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14DE101E" w14:textId="77777777" w:rsidTr="00026782">
        <w:tc>
          <w:tcPr>
            <w:tcW w:w="1980" w:type="dxa"/>
            <w:shd w:val="clear" w:color="auto" w:fill="F2F2F2"/>
          </w:tcPr>
          <w:p w14:paraId="71C8595C"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E191F9A" w14:textId="77777777" w:rsidR="00FD0545" w:rsidRPr="00C376DE" w:rsidRDefault="00FD0545" w:rsidP="00026782">
            <w:pPr>
              <w:rPr>
                <w:rFonts w:eastAsia="Calibri"/>
                <w:b/>
                <w:bCs/>
                <w:sz w:val="22"/>
                <w:szCs w:val="22"/>
              </w:rPr>
            </w:pPr>
            <w:r w:rsidRPr="00C376DE">
              <w:rPr>
                <w:rFonts w:eastAsia="Calibri"/>
                <w:b/>
                <w:bCs/>
                <w:sz w:val="22"/>
                <w:szCs w:val="22"/>
              </w:rPr>
              <w:t>Értékeltek szerint online elérhető anyagok összesítő kimutatása</w:t>
            </w:r>
          </w:p>
        </w:tc>
      </w:tr>
      <w:tr w:rsidR="00FD0545" w:rsidRPr="00C376DE" w14:paraId="58539F1E" w14:textId="77777777" w:rsidTr="00026782">
        <w:tc>
          <w:tcPr>
            <w:tcW w:w="1980" w:type="dxa"/>
            <w:shd w:val="clear" w:color="auto" w:fill="F2F2F2"/>
          </w:tcPr>
          <w:p w14:paraId="261D1914"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557E75C" w14:textId="77777777" w:rsidR="00FD0545" w:rsidRPr="00C376DE" w:rsidRDefault="00FD0545" w:rsidP="00026782">
            <w:pPr>
              <w:rPr>
                <w:rFonts w:eastAsia="Calibri"/>
                <w:b/>
                <w:bCs/>
                <w:sz w:val="22"/>
                <w:szCs w:val="22"/>
              </w:rPr>
            </w:pPr>
            <w:r w:rsidRPr="00C376DE">
              <w:rPr>
                <w:rFonts w:eastAsia="Calibri"/>
                <w:b/>
                <w:bCs/>
                <w:sz w:val="22"/>
                <w:szCs w:val="22"/>
              </w:rPr>
              <w:t>E-</w:t>
            </w:r>
            <w:proofErr w:type="spellStart"/>
            <w:r w:rsidRPr="00C376DE">
              <w:rPr>
                <w:rFonts w:eastAsia="Calibri"/>
                <w:b/>
                <w:bCs/>
                <w:sz w:val="22"/>
                <w:szCs w:val="22"/>
              </w:rPr>
              <w:t>Learning</w:t>
            </w:r>
            <w:proofErr w:type="spellEnd"/>
            <w:r w:rsidRPr="00C376DE">
              <w:rPr>
                <w:rFonts w:eastAsia="Calibri"/>
                <w:b/>
                <w:bCs/>
                <w:sz w:val="22"/>
                <w:szCs w:val="22"/>
              </w:rPr>
              <w:t xml:space="preserve"> TÉR jelentés (J/2. melléklet)</w:t>
            </w:r>
          </w:p>
        </w:tc>
      </w:tr>
      <w:tr w:rsidR="00FD0545" w:rsidRPr="00C376DE" w14:paraId="223ED889" w14:textId="77777777" w:rsidTr="00026782">
        <w:tc>
          <w:tcPr>
            <w:tcW w:w="1980" w:type="dxa"/>
            <w:shd w:val="clear" w:color="auto" w:fill="F2F2F2"/>
          </w:tcPr>
          <w:p w14:paraId="1B0C34EA"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3E56C7E1" w14:textId="77777777" w:rsidR="00FD0545" w:rsidRPr="00C376DE" w:rsidRDefault="00FD0545" w:rsidP="00026782">
            <w:pPr>
              <w:rPr>
                <w:rFonts w:eastAsia="Calibri"/>
                <w:b/>
                <w:bCs/>
                <w:sz w:val="22"/>
                <w:szCs w:val="22"/>
              </w:rPr>
            </w:pPr>
            <w:r w:rsidRPr="00C376DE">
              <w:rPr>
                <w:rFonts w:eastAsia="Calibri"/>
                <w:b/>
                <w:bCs/>
                <w:sz w:val="22"/>
                <w:szCs w:val="22"/>
              </w:rPr>
              <w:t>E-</w:t>
            </w:r>
            <w:proofErr w:type="spellStart"/>
            <w:r w:rsidRPr="00C376DE">
              <w:rPr>
                <w:rFonts w:eastAsia="Calibri"/>
                <w:b/>
                <w:bCs/>
                <w:sz w:val="22"/>
                <w:szCs w:val="22"/>
              </w:rPr>
              <w:t>learning</w:t>
            </w:r>
            <w:proofErr w:type="spellEnd"/>
            <w:r w:rsidRPr="00C376DE">
              <w:rPr>
                <w:rFonts w:eastAsia="Calibri"/>
                <w:b/>
                <w:bCs/>
                <w:sz w:val="22"/>
                <w:szCs w:val="22"/>
              </w:rPr>
              <w:t xml:space="preserve"> koordinátor</w:t>
            </w:r>
          </w:p>
        </w:tc>
      </w:tr>
    </w:tbl>
    <w:p w14:paraId="6005B26B" w14:textId="77777777" w:rsidR="00FD0545" w:rsidRDefault="00FD0545" w:rsidP="00FD0545">
      <w:pPr>
        <w:rPr>
          <w:rFonts w:eastAsia="Calibri"/>
          <w:sz w:val="22"/>
          <w:szCs w:val="22"/>
        </w:rPr>
      </w:pPr>
    </w:p>
    <w:p w14:paraId="559AAAFB" w14:textId="77777777" w:rsidR="00FD0545" w:rsidRPr="00E13CE5" w:rsidRDefault="00FD0545" w:rsidP="00FD0545">
      <w:pPr>
        <w:rPr>
          <w:rFonts w:eastAsia="Calibri"/>
          <w:sz w:val="22"/>
          <w:szCs w:val="22"/>
        </w:rPr>
      </w:pPr>
    </w:p>
    <w:p w14:paraId="299E3F8B" w14:textId="77777777" w:rsidR="00FD0545" w:rsidRPr="004B2939" w:rsidRDefault="00FD0545" w:rsidP="00FD0545">
      <w:pPr>
        <w:ind w:left="1416"/>
        <w:rPr>
          <w:b/>
          <w:sz w:val="22"/>
        </w:rPr>
      </w:pPr>
      <w:r w:rsidRPr="004B2939">
        <w:rPr>
          <w:b/>
          <w:sz w:val="22"/>
        </w:rPr>
        <w:lastRenderedPageBreak/>
        <w:t>7. Tananyagfejlesztés (TAF TÉR)</w:t>
      </w:r>
    </w:p>
    <w:p w14:paraId="36F8819A" w14:textId="77777777" w:rsidR="00FD0545" w:rsidRPr="004B2939" w:rsidRDefault="00FD0545" w:rsidP="00FD0545">
      <w:pPr>
        <w:ind w:left="1416"/>
        <w:rPr>
          <w:b/>
          <w:sz w:val="22"/>
        </w:rPr>
      </w:pPr>
    </w:p>
    <w:p w14:paraId="7690BD12" w14:textId="77777777" w:rsidR="00FD0545" w:rsidRPr="00E13CE5" w:rsidRDefault="00FD0545" w:rsidP="00FD0545">
      <w:pPr>
        <w:jc w:val="both"/>
        <w:rPr>
          <w:rFonts w:eastAsia="Calibri"/>
          <w:sz w:val="22"/>
          <w:szCs w:val="22"/>
        </w:rPr>
      </w:pPr>
      <w:r w:rsidRPr="00E13CE5">
        <w:rPr>
          <w:rFonts w:eastAsia="Calibri"/>
          <w:sz w:val="22"/>
          <w:szCs w:val="22"/>
        </w:rPr>
        <w:t>Az oktató által készített elektronikus jegyzet, egyetemi jegyzet és tankönyv szerzői feladatai által nyújtott többletteljesítményt a Kar a TÉR-en belül az alábbiak szerint ismeri el:</w:t>
      </w:r>
    </w:p>
    <w:p w14:paraId="29B24A5C"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681"/>
        <w:gridCol w:w="1701"/>
        <w:gridCol w:w="1304"/>
      </w:tblGrid>
      <w:tr w:rsidR="00FD0545" w:rsidRPr="00C376DE" w14:paraId="1623C97D" w14:textId="77777777" w:rsidTr="00026782">
        <w:trPr>
          <w:jc w:val="center"/>
        </w:trPr>
        <w:tc>
          <w:tcPr>
            <w:tcW w:w="3681" w:type="dxa"/>
            <w:tcBorders>
              <w:top w:val="single" w:sz="4" w:space="0" w:color="FFFFFF"/>
              <w:left w:val="single" w:sz="4" w:space="0" w:color="FFFFFF"/>
              <w:right w:val="nil"/>
            </w:tcBorders>
            <w:shd w:val="clear" w:color="auto" w:fill="EDEDED"/>
          </w:tcPr>
          <w:p w14:paraId="37DB77C6" w14:textId="77777777" w:rsidR="00FD0545" w:rsidRPr="00C376DE" w:rsidRDefault="00FD0545" w:rsidP="00026782">
            <w:pPr>
              <w:jc w:val="center"/>
              <w:rPr>
                <w:rFonts w:eastAsia="Calibri"/>
                <w:b/>
                <w:bCs/>
                <w:sz w:val="22"/>
                <w:szCs w:val="22"/>
              </w:rPr>
            </w:pPr>
            <w:r w:rsidRPr="00C376DE">
              <w:rPr>
                <w:rFonts w:eastAsia="Calibri"/>
                <w:b/>
                <w:bCs/>
                <w:sz w:val="22"/>
                <w:szCs w:val="22"/>
              </w:rPr>
              <w:t>Elismert teljesítmény</w:t>
            </w:r>
          </w:p>
        </w:tc>
        <w:tc>
          <w:tcPr>
            <w:tcW w:w="1701" w:type="dxa"/>
            <w:tcBorders>
              <w:top w:val="single" w:sz="4" w:space="0" w:color="FFFFFF"/>
              <w:left w:val="nil"/>
              <w:right w:val="nil"/>
            </w:tcBorders>
            <w:shd w:val="clear" w:color="auto" w:fill="EDEDED"/>
          </w:tcPr>
          <w:p w14:paraId="798EC44A" w14:textId="77777777" w:rsidR="00FD0545" w:rsidRPr="00C376DE" w:rsidRDefault="00FD0545" w:rsidP="00026782">
            <w:pPr>
              <w:jc w:val="center"/>
              <w:rPr>
                <w:rFonts w:eastAsia="Calibri"/>
                <w:b/>
                <w:bCs/>
                <w:sz w:val="22"/>
                <w:szCs w:val="22"/>
              </w:rPr>
            </w:pPr>
            <w:r w:rsidRPr="00C376DE">
              <w:rPr>
                <w:rFonts w:eastAsia="Calibri"/>
                <w:b/>
                <w:bCs/>
                <w:sz w:val="22"/>
                <w:szCs w:val="22"/>
              </w:rPr>
              <w:t>Mérésegység</w:t>
            </w:r>
          </w:p>
        </w:tc>
        <w:tc>
          <w:tcPr>
            <w:tcW w:w="1276" w:type="dxa"/>
            <w:tcBorders>
              <w:top w:val="single" w:sz="4" w:space="0" w:color="FFFFFF"/>
              <w:left w:val="nil"/>
              <w:right w:val="single" w:sz="4" w:space="0" w:color="FFFFFF"/>
            </w:tcBorders>
            <w:shd w:val="clear" w:color="auto" w:fill="EDEDED"/>
          </w:tcPr>
          <w:p w14:paraId="750D3128" w14:textId="77777777" w:rsidR="00FD0545" w:rsidRPr="00C376DE" w:rsidRDefault="00FD0545" w:rsidP="00026782">
            <w:pPr>
              <w:jc w:val="center"/>
              <w:rPr>
                <w:rFonts w:eastAsia="Calibri"/>
                <w:b/>
                <w:bCs/>
                <w:sz w:val="22"/>
                <w:szCs w:val="22"/>
              </w:rPr>
            </w:pPr>
            <w:r w:rsidRPr="00C376DE">
              <w:rPr>
                <w:rFonts w:eastAsia="Calibri"/>
                <w:b/>
                <w:bCs/>
                <w:sz w:val="22"/>
                <w:szCs w:val="22"/>
              </w:rPr>
              <w:t>Egységpont</w:t>
            </w:r>
          </w:p>
        </w:tc>
      </w:tr>
      <w:tr w:rsidR="00FD0545" w:rsidRPr="00C376DE" w14:paraId="4C795A51" w14:textId="77777777" w:rsidTr="00026782">
        <w:trPr>
          <w:jc w:val="center"/>
        </w:trPr>
        <w:tc>
          <w:tcPr>
            <w:tcW w:w="3681" w:type="dxa"/>
            <w:shd w:val="clear" w:color="auto" w:fill="EDEDED"/>
          </w:tcPr>
          <w:p w14:paraId="75F580EC" w14:textId="77777777" w:rsidR="00FD0545" w:rsidRPr="00C376DE" w:rsidRDefault="00FD0545" w:rsidP="00026782">
            <w:pPr>
              <w:rPr>
                <w:rFonts w:eastAsia="Calibri"/>
                <w:sz w:val="22"/>
                <w:szCs w:val="22"/>
              </w:rPr>
            </w:pPr>
            <w:r w:rsidRPr="00C376DE">
              <w:rPr>
                <w:rFonts w:eastAsia="Calibri"/>
                <w:sz w:val="22"/>
                <w:szCs w:val="22"/>
              </w:rPr>
              <w:t>Felsőoktatási tankönyv / fejezet magyar nyelven</w:t>
            </w:r>
          </w:p>
        </w:tc>
        <w:tc>
          <w:tcPr>
            <w:tcW w:w="1701" w:type="dxa"/>
            <w:shd w:val="clear" w:color="auto" w:fill="EDEDED"/>
          </w:tcPr>
          <w:p w14:paraId="665FC6A2"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03541A15" w14:textId="77777777" w:rsidR="00FD0545" w:rsidRPr="00C376DE" w:rsidRDefault="00FD0545" w:rsidP="00026782">
            <w:pPr>
              <w:rPr>
                <w:rFonts w:eastAsia="Calibri"/>
                <w:sz w:val="22"/>
                <w:szCs w:val="22"/>
              </w:rPr>
            </w:pPr>
            <w:r w:rsidRPr="00C376DE">
              <w:rPr>
                <w:rFonts w:eastAsia="Calibri"/>
                <w:sz w:val="22"/>
                <w:szCs w:val="22"/>
              </w:rPr>
              <w:t>10 pont</w:t>
            </w:r>
          </w:p>
        </w:tc>
      </w:tr>
      <w:tr w:rsidR="00FD0545" w:rsidRPr="00C376DE" w14:paraId="556E413B" w14:textId="77777777" w:rsidTr="00026782">
        <w:trPr>
          <w:jc w:val="center"/>
        </w:trPr>
        <w:tc>
          <w:tcPr>
            <w:tcW w:w="3681" w:type="dxa"/>
            <w:shd w:val="clear" w:color="auto" w:fill="EDEDED"/>
          </w:tcPr>
          <w:p w14:paraId="668AA23A" w14:textId="77777777" w:rsidR="00FD0545" w:rsidRPr="00C376DE" w:rsidRDefault="00FD0545" w:rsidP="00026782">
            <w:pPr>
              <w:rPr>
                <w:rFonts w:eastAsia="Calibri"/>
                <w:sz w:val="22"/>
                <w:szCs w:val="22"/>
              </w:rPr>
            </w:pPr>
            <w:r w:rsidRPr="00C376DE">
              <w:rPr>
                <w:rFonts w:eastAsia="Calibri"/>
                <w:sz w:val="22"/>
                <w:szCs w:val="22"/>
              </w:rPr>
              <w:t>Felsőoktatási tankönyv / fejezet idegen nyelven</w:t>
            </w:r>
          </w:p>
        </w:tc>
        <w:tc>
          <w:tcPr>
            <w:tcW w:w="1701" w:type="dxa"/>
            <w:shd w:val="clear" w:color="auto" w:fill="EDEDED"/>
          </w:tcPr>
          <w:p w14:paraId="6F7E82E1"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636FDC96" w14:textId="77777777" w:rsidR="00FD0545" w:rsidRPr="00C376DE" w:rsidRDefault="00FD0545" w:rsidP="00026782">
            <w:pPr>
              <w:rPr>
                <w:rFonts w:eastAsia="Calibri"/>
                <w:sz w:val="22"/>
                <w:szCs w:val="22"/>
              </w:rPr>
            </w:pPr>
            <w:r w:rsidRPr="00C376DE">
              <w:rPr>
                <w:rFonts w:eastAsia="Calibri"/>
                <w:sz w:val="22"/>
                <w:szCs w:val="22"/>
              </w:rPr>
              <w:t>15 pont</w:t>
            </w:r>
          </w:p>
        </w:tc>
      </w:tr>
      <w:tr w:rsidR="00FD0545" w:rsidRPr="00C376DE" w14:paraId="37E33686" w14:textId="77777777" w:rsidTr="00026782">
        <w:trPr>
          <w:jc w:val="center"/>
        </w:trPr>
        <w:tc>
          <w:tcPr>
            <w:tcW w:w="3681" w:type="dxa"/>
            <w:shd w:val="clear" w:color="auto" w:fill="EDEDED"/>
          </w:tcPr>
          <w:p w14:paraId="01C94D01" w14:textId="77777777" w:rsidR="00FD0545" w:rsidRPr="00C376DE" w:rsidRDefault="00FD0545" w:rsidP="00026782">
            <w:pPr>
              <w:rPr>
                <w:rFonts w:eastAsia="Calibri"/>
                <w:sz w:val="22"/>
                <w:szCs w:val="22"/>
              </w:rPr>
            </w:pPr>
            <w:r w:rsidRPr="00C376DE">
              <w:rPr>
                <w:rFonts w:eastAsia="Calibri"/>
                <w:sz w:val="22"/>
                <w:szCs w:val="22"/>
              </w:rPr>
              <w:t>Felsőoktatási jegyzet magyar nyelven</w:t>
            </w:r>
          </w:p>
        </w:tc>
        <w:tc>
          <w:tcPr>
            <w:tcW w:w="1701" w:type="dxa"/>
            <w:shd w:val="clear" w:color="auto" w:fill="EDEDED"/>
          </w:tcPr>
          <w:p w14:paraId="229BC74D"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4D39A7B2" w14:textId="77777777" w:rsidR="00FD0545" w:rsidRPr="00C376DE" w:rsidRDefault="00FD0545" w:rsidP="00026782">
            <w:pPr>
              <w:rPr>
                <w:rFonts w:eastAsia="Calibri"/>
                <w:sz w:val="22"/>
                <w:szCs w:val="22"/>
              </w:rPr>
            </w:pPr>
            <w:r w:rsidRPr="00C376DE">
              <w:rPr>
                <w:rFonts w:eastAsia="Calibri"/>
                <w:sz w:val="22"/>
                <w:szCs w:val="22"/>
              </w:rPr>
              <w:t>8 pont</w:t>
            </w:r>
          </w:p>
        </w:tc>
      </w:tr>
      <w:tr w:rsidR="00FD0545" w:rsidRPr="00C376DE" w14:paraId="6E72FDBC" w14:textId="77777777" w:rsidTr="00026782">
        <w:trPr>
          <w:jc w:val="center"/>
        </w:trPr>
        <w:tc>
          <w:tcPr>
            <w:tcW w:w="3681" w:type="dxa"/>
            <w:shd w:val="clear" w:color="auto" w:fill="EDEDED"/>
          </w:tcPr>
          <w:p w14:paraId="22AF8ADF" w14:textId="77777777" w:rsidR="00FD0545" w:rsidRPr="00C376DE" w:rsidRDefault="00FD0545" w:rsidP="00026782">
            <w:pPr>
              <w:rPr>
                <w:rFonts w:eastAsia="Calibri"/>
                <w:sz w:val="22"/>
                <w:szCs w:val="22"/>
              </w:rPr>
            </w:pPr>
            <w:r w:rsidRPr="00C376DE">
              <w:rPr>
                <w:rFonts w:eastAsia="Calibri"/>
                <w:sz w:val="22"/>
                <w:szCs w:val="22"/>
              </w:rPr>
              <w:t>Felsőoktatási jegyzet idegen nyelven</w:t>
            </w:r>
          </w:p>
        </w:tc>
        <w:tc>
          <w:tcPr>
            <w:tcW w:w="1701" w:type="dxa"/>
            <w:shd w:val="clear" w:color="auto" w:fill="EDEDED"/>
          </w:tcPr>
          <w:p w14:paraId="436F5ED5"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2295F8B5" w14:textId="77777777" w:rsidR="00FD0545" w:rsidRPr="00C376DE" w:rsidRDefault="00FD0545" w:rsidP="00026782">
            <w:pPr>
              <w:rPr>
                <w:rFonts w:eastAsia="Calibri"/>
                <w:sz w:val="22"/>
                <w:szCs w:val="22"/>
              </w:rPr>
            </w:pPr>
            <w:r w:rsidRPr="00C376DE">
              <w:rPr>
                <w:rFonts w:eastAsia="Calibri"/>
                <w:sz w:val="22"/>
                <w:szCs w:val="22"/>
              </w:rPr>
              <w:t>12 pont</w:t>
            </w:r>
          </w:p>
        </w:tc>
      </w:tr>
      <w:tr w:rsidR="00FD0545" w:rsidRPr="00C376DE" w14:paraId="69214CE5" w14:textId="77777777" w:rsidTr="00026782">
        <w:trPr>
          <w:jc w:val="center"/>
        </w:trPr>
        <w:tc>
          <w:tcPr>
            <w:tcW w:w="3681" w:type="dxa"/>
            <w:shd w:val="clear" w:color="auto" w:fill="EDEDED"/>
          </w:tcPr>
          <w:p w14:paraId="4C7D0829" w14:textId="77777777" w:rsidR="00FD0545" w:rsidRPr="00C376DE" w:rsidRDefault="00FD0545" w:rsidP="00026782">
            <w:pPr>
              <w:rPr>
                <w:rFonts w:eastAsia="Calibri"/>
                <w:sz w:val="22"/>
                <w:szCs w:val="22"/>
              </w:rPr>
            </w:pPr>
            <w:r w:rsidRPr="00C376DE">
              <w:rPr>
                <w:rFonts w:eastAsia="Calibri"/>
                <w:sz w:val="22"/>
                <w:szCs w:val="22"/>
              </w:rPr>
              <w:t xml:space="preserve">Elektronikus felületen (is) </w:t>
            </w:r>
            <w:proofErr w:type="gramStart"/>
            <w:r w:rsidRPr="00C376DE">
              <w:rPr>
                <w:rFonts w:eastAsia="Calibri"/>
                <w:sz w:val="22"/>
                <w:szCs w:val="22"/>
              </w:rPr>
              <w:t>publikált</w:t>
            </w:r>
            <w:proofErr w:type="gramEnd"/>
            <w:r w:rsidRPr="00C376DE">
              <w:rPr>
                <w:rFonts w:eastAsia="Calibri"/>
                <w:sz w:val="22"/>
                <w:szCs w:val="22"/>
              </w:rPr>
              <w:t xml:space="preserve"> jegyzet magyar nyelven</w:t>
            </w:r>
          </w:p>
        </w:tc>
        <w:tc>
          <w:tcPr>
            <w:tcW w:w="1701" w:type="dxa"/>
            <w:shd w:val="clear" w:color="auto" w:fill="EDEDED"/>
          </w:tcPr>
          <w:p w14:paraId="73AEF844"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1A772DB6" w14:textId="77777777" w:rsidR="00FD0545" w:rsidRPr="00C376DE" w:rsidRDefault="00FD0545" w:rsidP="00026782">
            <w:pPr>
              <w:rPr>
                <w:rFonts w:eastAsia="Calibri"/>
                <w:sz w:val="22"/>
                <w:szCs w:val="22"/>
              </w:rPr>
            </w:pPr>
            <w:r w:rsidRPr="00C376DE">
              <w:rPr>
                <w:rFonts w:eastAsia="Calibri"/>
                <w:sz w:val="22"/>
                <w:szCs w:val="22"/>
              </w:rPr>
              <w:t>12 pont</w:t>
            </w:r>
          </w:p>
        </w:tc>
      </w:tr>
      <w:tr w:rsidR="00FD0545" w:rsidRPr="00C376DE" w14:paraId="4403F4BF" w14:textId="77777777" w:rsidTr="00026782">
        <w:trPr>
          <w:jc w:val="center"/>
        </w:trPr>
        <w:tc>
          <w:tcPr>
            <w:tcW w:w="3681" w:type="dxa"/>
            <w:shd w:val="clear" w:color="auto" w:fill="EDEDED"/>
          </w:tcPr>
          <w:p w14:paraId="3D8FECB8" w14:textId="77777777" w:rsidR="00FD0545" w:rsidRPr="00C376DE" w:rsidRDefault="00FD0545" w:rsidP="00026782">
            <w:pPr>
              <w:rPr>
                <w:rFonts w:eastAsia="Calibri"/>
                <w:sz w:val="22"/>
                <w:szCs w:val="22"/>
              </w:rPr>
            </w:pPr>
            <w:r w:rsidRPr="00C376DE">
              <w:rPr>
                <w:rFonts w:eastAsia="Calibri"/>
                <w:sz w:val="22"/>
                <w:szCs w:val="22"/>
              </w:rPr>
              <w:t xml:space="preserve">Elektronikus felületen (is) </w:t>
            </w:r>
            <w:proofErr w:type="gramStart"/>
            <w:r w:rsidRPr="00C376DE">
              <w:rPr>
                <w:rFonts w:eastAsia="Calibri"/>
                <w:sz w:val="22"/>
                <w:szCs w:val="22"/>
              </w:rPr>
              <w:t>publikált</w:t>
            </w:r>
            <w:proofErr w:type="gramEnd"/>
            <w:r w:rsidRPr="00C376DE">
              <w:rPr>
                <w:rFonts w:eastAsia="Calibri"/>
                <w:sz w:val="22"/>
                <w:szCs w:val="22"/>
              </w:rPr>
              <w:t xml:space="preserve"> jegyzet idegen nyelven</w:t>
            </w:r>
          </w:p>
        </w:tc>
        <w:tc>
          <w:tcPr>
            <w:tcW w:w="1701" w:type="dxa"/>
            <w:shd w:val="clear" w:color="auto" w:fill="EDEDED"/>
          </w:tcPr>
          <w:p w14:paraId="55792E87" w14:textId="77777777" w:rsidR="00FD0545" w:rsidRPr="00C376DE" w:rsidRDefault="00FD0545" w:rsidP="00026782">
            <w:pPr>
              <w:jc w:val="center"/>
              <w:rPr>
                <w:rFonts w:eastAsia="Calibri"/>
                <w:sz w:val="22"/>
                <w:szCs w:val="22"/>
              </w:rPr>
            </w:pPr>
            <w:r w:rsidRPr="00C376DE">
              <w:rPr>
                <w:rFonts w:eastAsia="Calibri"/>
                <w:sz w:val="22"/>
                <w:szCs w:val="22"/>
              </w:rPr>
              <w:t>ív*</w:t>
            </w:r>
          </w:p>
        </w:tc>
        <w:tc>
          <w:tcPr>
            <w:tcW w:w="1276" w:type="dxa"/>
            <w:shd w:val="clear" w:color="auto" w:fill="EDEDED"/>
          </w:tcPr>
          <w:p w14:paraId="24FAC929" w14:textId="77777777" w:rsidR="00FD0545" w:rsidRPr="00C376DE" w:rsidRDefault="00FD0545" w:rsidP="00026782">
            <w:pPr>
              <w:rPr>
                <w:rFonts w:eastAsia="Calibri"/>
                <w:sz w:val="22"/>
                <w:szCs w:val="22"/>
              </w:rPr>
            </w:pPr>
            <w:r w:rsidRPr="00C376DE">
              <w:rPr>
                <w:rFonts w:eastAsia="Calibri"/>
                <w:sz w:val="22"/>
                <w:szCs w:val="22"/>
              </w:rPr>
              <w:t>16 pont</w:t>
            </w:r>
          </w:p>
        </w:tc>
      </w:tr>
    </w:tbl>
    <w:p w14:paraId="66D12ED5" w14:textId="77777777" w:rsidR="00FD0545" w:rsidRPr="00E13CE5" w:rsidRDefault="00FD0545" w:rsidP="00FD0545">
      <w:pPr>
        <w:rPr>
          <w:rFonts w:eastAsia="Calibri"/>
          <w:sz w:val="22"/>
          <w:szCs w:val="22"/>
        </w:rPr>
      </w:pPr>
      <w:r w:rsidRPr="00E13CE5">
        <w:rPr>
          <w:rFonts w:eastAsia="Calibri"/>
          <w:sz w:val="22"/>
          <w:szCs w:val="22"/>
        </w:rPr>
        <w:t xml:space="preserve">*: 1 szerzői ív 40.000 </w:t>
      </w:r>
      <w:proofErr w:type="gramStart"/>
      <w:r w:rsidRPr="00E13CE5">
        <w:rPr>
          <w:rFonts w:eastAsia="Calibri"/>
          <w:sz w:val="22"/>
          <w:szCs w:val="22"/>
        </w:rPr>
        <w:t>karakter</w:t>
      </w:r>
      <w:proofErr w:type="gramEnd"/>
      <w:r w:rsidRPr="00E13CE5">
        <w:rPr>
          <w:rFonts w:eastAsia="Calibri"/>
          <w:sz w:val="22"/>
          <w:szCs w:val="22"/>
        </w:rPr>
        <w:t xml:space="preserve"> (körülbelül 16 gépelt A/4 oldal)</w:t>
      </w:r>
    </w:p>
    <w:p w14:paraId="01FE8D5B" w14:textId="77777777" w:rsidR="00FD0545" w:rsidRPr="00E13CE5" w:rsidRDefault="00FD0545" w:rsidP="00FD0545">
      <w:pPr>
        <w:spacing w:before="120"/>
        <w:jc w:val="both"/>
        <w:rPr>
          <w:rFonts w:eastAsia="Calibri"/>
          <w:sz w:val="22"/>
          <w:szCs w:val="22"/>
        </w:rPr>
      </w:pPr>
      <w:r w:rsidRPr="00E13CE5">
        <w:rPr>
          <w:rFonts w:eastAsia="Calibri"/>
          <w:sz w:val="22"/>
          <w:szCs w:val="22"/>
        </w:rPr>
        <w:t>Amennyiben a mű terjedelme az 1 szerzői ívet nem éri el, TÉR pont nem adható. Az ívszám karakterszámból történő meghatározása minden esetben lefele kerekítéssel történik!</w:t>
      </w:r>
    </w:p>
    <w:p w14:paraId="1D8185B9"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TAF TÉR= </m:t>
          </m:r>
          <m:nary>
            <m:naryPr>
              <m:chr m:val="∑"/>
              <m:limLoc m:val="undOvr"/>
              <m:subHide m:val="1"/>
              <m:supHide m:val="1"/>
              <m:ctrlPr>
                <w:rPr>
                  <w:rFonts w:ascii="Cambria Math" w:eastAsia="Calibri" w:hAnsi="Cambria Math"/>
                  <w:i/>
                  <w:sz w:val="22"/>
                  <w:szCs w:val="22"/>
                </w:rPr>
              </m:ctrlPr>
            </m:naryPr>
            <m:sub/>
            <m:sup/>
            <m:e>
              <m:r>
                <w:rPr>
                  <w:rFonts w:ascii="Cambria Math" w:eastAsia="Calibri" w:hAnsi="Cambria Math"/>
                  <w:sz w:val="22"/>
                  <w:szCs w:val="22"/>
                </w:rPr>
                <m:t>MÉRÉSEGYSÉG ×EGYSÉGPONT</m:t>
              </m:r>
            </m:e>
          </m:nary>
        </m:oMath>
      </m:oMathPara>
    </w:p>
    <w:p w14:paraId="0CF3BD64" w14:textId="77777777" w:rsidR="00FD0545" w:rsidRPr="00E13CE5" w:rsidRDefault="00FD0545" w:rsidP="00FD0545">
      <w:pPr>
        <w:spacing w:before="160"/>
        <w:rPr>
          <w:rFonts w:eastAsia="Calibri"/>
          <w:sz w:val="22"/>
          <w:szCs w:val="22"/>
        </w:rPr>
      </w:pPr>
      <w:r w:rsidRPr="00E13CE5">
        <w:rPr>
          <w:rFonts w:eastAsia="Calibri"/>
          <w:sz w:val="22"/>
          <w:szCs w:val="22"/>
        </w:rPr>
        <w:t xml:space="preserve">Ahol TAF TÉR a tananyagfejlesztésért kapható TÉR többletpontok száma. </w:t>
      </w:r>
    </w:p>
    <w:p w14:paraId="7DB54BC3" w14:textId="77777777" w:rsidR="00FD0545" w:rsidRPr="00E13CE5" w:rsidRDefault="00FD0545" w:rsidP="00FD0545">
      <w:pPr>
        <w:spacing w:before="120"/>
        <w:rPr>
          <w:rFonts w:eastAsia="Calibri"/>
          <w:sz w:val="22"/>
          <w:szCs w:val="22"/>
        </w:rPr>
      </w:pPr>
      <w:r w:rsidRPr="00E13CE5">
        <w:rPr>
          <w:rFonts w:eastAsia="Calibri"/>
          <w:sz w:val="22"/>
          <w:szCs w:val="22"/>
        </w:rPr>
        <w:t>Amennyiben a tankönyv/fejezet „n” szerző munkája, abban az esetben a szerzőként járó pontszám a következők szerint kerül felosztásra:</w:t>
      </w:r>
    </w:p>
    <w:p w14:paraId="2F287F03" w14:textId="77777777" w:rsidR="00FD0545" w:rsidRPr="00E13CE5" w:rsidRDefault="00FD0545" w:rsidP="00FD0545">
      <w:pPr>
        <w:spacing w:before="120"/>
        <w:rPr>
          <w:rFonts w:eastAsia="Calibri"/>
          <w:sz w:val="22"/>
          <w:szCs w:val="22"/>
        </w:rPr>
      </w:pPr>
      <w:r w:rsidRPr="00E13CE5">
        <w:rPr>
          <w:rFonts w:eastAsia="Calibri"/>
          <w:sz w:val="22"/>
          <w:szCs w:val="22"/>
        </w:rPr>
        <w:t>Első és utolsó szerző esetén:</w:t>
      </w:r>
    </w:p>
    <w:p w14:paraId="3F9D63A4"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TAF TÉR= 2×</m:t>
          </m:r>
          <m:f>
            <m:fPr>
              <m:ctrlPr>
                <w:rPr>
                  <w:rFonts w:ascii="Cambria Math" w:eastAsia="Calibri" w:hAnsi="Cambria Math"/>
                  <w:i/>
                  <w:sz w:val="22"/>
                  <w:szCs w:val="22"/>
                </w:rPr>
              </m:ctrlPr>
            </m:fPr>
            <m:num>
              <m:r>
                <w:rPr>
                  <w:rFonts w:ascii="Cambria Math" w:eastAsia="Calibri" w:hAnsi="Cambria Math"/>
                  <w:sz w:val="22"/>
                  <w:szCs w:val="22"/>
                </w:rPr>
                <m:t>MÉRÉSEGYSÉG×EGYSÉGPONT</m:t>
              </m:r>
            </m:num>
            <m:den>
              <m:r>
                <w:rPr>
                  <w:rFonts w:ascii="Cambria Math" w:eastAsia="Calibri" w:hAnsi="Cambria Math"/>
                  <w:sz w:val="22"/>
                  <w:szCs w:val="22"/>
                </w:rPr>
                <m:t>n+2</m:t>
              </m:r>
            </m:den>
          </m:f>
        </m:oMath>
      </m:oMathPara>
    </w:p>
    <w:p w14:paraId="14046458" w14:textId="77777777" w:rsidR="00FD0545" w:rsidRPr="00E13CE5" w:rsidRDefault="00FD0545" w:rsidP="00FD0545">
      <w:pPr>
        <w:spacing w:before="120"/>
        <w:rPr>
          <w:rFonts w:eastAsia="Calibri"/>
          <w:sz w:val="22"/>
          <w:szCs w:val="22"/>
        </w:rPr>
      </w:pPr>
      <w:r w:rsidRPr="00E13CE5">
        <w:rPr>
          <w:rFonts w:eastAsia="Calibri"/>
          <w:sz w:val="22"/>
          <w:szCs w:val="22"/>
        </w:rPr>
        <w:t>További, nem első és utolsó szerző esetén:</w:t>
      </w:r>
    </w:p>
    <w:p w14:paraId="078A4EAD"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TAF TÉR=</m:t>
          </m:r>
          <m:f>
            <m:fPr>
              <m:ctrlPr>
                <w:rPr>
                  <w:rFonts w:ascii="Cambria Math" w:eastAsia="Calibri" w:hAnsi="Cambria Math"/>
                  <w:i/>
                  <w:sz w:val="22"/>
                  <w:szCs w:val="22"/>
                </w:rPr>
              </m:ctrlPr>
            </m:fPr>
            <m:num>
              <m:r>
                <w:rPr>
                  <w:rFonts w:ascii="Cambria Math" w:eastAsia="Calibri" w:hAnsi="Cambria Math"/>
                  <w:sz w:val="22"/>
                  <w:szCs w:val="22"/>
                </w:rPr>
                <m:t>MÉRÉSEGYSÉG×EGYSÉGPONT</m:t>
              </m:r>
            </m:num>
            <m:den>
              <m:r>
                <w:rPr>
                  <w:rFonts w:ascii="Cambria Math" w:eastAsia="Calibri" w:hAnsi="Cambria Math"/>
                  <w:sz w:val="22"/>
                  <w:szCs w:val="22"/>
                </w:rPr>
                <m:t>n+2</m:t>
              </m:r>
            </m:den>
          </m:f>
        </m:oMath>
      </m:oMathPara>
    </w:p>
    <w:p w14:paraId="5FF8F9FE"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27F3D4F" w14:textId="77777777" w:rsidTr="00026782">
        <w:tc>
          <w:tcPr>
            <w:tcW w:w="1980" w:type="dxa"/>
            <w:shd w:val="clear" w:color="auto" w:fill="F2F2F2"/>
          </w:tcPr>
          <w:p w14:paraId="6D9B797C"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00907FB0" w14:textId="77777777" w:rsidR="00FD0545" w:rsidRPr="00C376DE" w:rsidRDefault="00FD0545" w:rsidP="00026782">
            <w:pPr>
              <w:rPr>
                <w:rFonts w:eastAsia="Calibri"/>
                <w:b/>
                <w:bCs/>
                <w:sz w:val="22"/>
                <w:szCs w:val="22"/>
              </w:rPr>
            </w:pPr>
            <w:r w:rsidRPr="00C376DE">
              <w:rPr>
                <w:rFonts w:eastAsia="Calibri"/>
                <w:b/>
                <w:bCs/>
                <w:sz w:val="22"/>
                <w:szCs w:val="22"/>
              </w:rPr>
              <w:t xml:space="preserve">MTMT adatok megadása (I. fázis), majd az értékelt online elérési internetes hivatkozást megadja (II. fázis) </w:t>
            </w:r>
          </w:p>
        </w:tc>
      </w:tr>
      <w:tr w:rsidR="00FD0545" w:rsidRPr="00C376DE" w14:paraId="55371074" w14:textId="77777777" w:rsidTr="00026782">
        <w:tc>
          <w:tcPr>
            <w:tcW w:w="1980" w:type="dxa"/>
            <w:shd w:val="clear" w:color="auto" w:fill="F2F2F2"/>
          </w:tcPr>
          <w:p w14:paraId="265FC649"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346A181" w14:textId="77777777" w:rsidR="00FD0545" w:rsidRPr="00C376DE" w:rsidRDefault="00FD0545" w:rsidP="00026782">
            <w:pPr>
              <w:rPr>
                <w:rFonts w:eastAsia="Calibri"/>
                <w:b/>
                <w:bCs/>
                <w:sz w:val="22"/>
                <w:szCs w:val="22"/>
              </w:rPr>
            </w:pPr>
            <w:r w:rsidRPr="00C376DE">
              <w:rPr>
                <w:rFonts w:eastAsia="Calibri"/>
                <w:b/>
                <w:bCs/>
                <w:sz w:val="22"/>
                <w:szCs w:val="22"/>
              </w:rPr>
              <w:t xml:space="preserve">MTMT TÉR jelentés (I. fázis) (J/3. melléklet), majd önbevallás (II. fázis) </w:t>
            </w:r>
          </w:p>
          <w:p w14:paraId="07AEBA8B" w14:textId="77777777" w:rsidR="00FD0545" w:rsidRPr="00C376DE" w:rsidRDefault="00FD0545" w:rsidP="00026782">
            <w:pPr>
              <w:rPr>
                <w:rFonts w:eastAsia="Calibri"/>
                <w:b/>
                <w:bCs/>
                <w:sz w:val="22"/>
                <w:szCs w:val="22"/>
              </w:rPr>
            </w:pPr>
            <w:r w:rsidRPr="00C376DE">
              <w:rPr>
                <w:rFonts w:eastAsia="Calibri"/>
                <w:b/>
                <w:bCs/>
                <w:sz w:val="22"/>
                <w:szCs w:val="22"/>
              </w:rPr>
              <w:t>(É/1. melléklet)</w:t>
            </w:r>
          </w:p>
        </w:tc>
      </w:tr>
      <w:tr w:rsidR="00FD0545" w:rsidRPr="00C376DE" w14:paraId="7DEA7BB5" w14:textId="77777777" w:rsidTr="00026782">
        <w:tc>
          <w:tcPr>
            <w:tcW w:w="1980" w:type="dxa"/>
            <w:shd w:val="clear" w:color="auto" w:fill="F2F2F2"/>
          </w:tcPr>
          <w:p w14:paraId="3C7F278E"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751D3E43" w14:textId="77777777" w:rsidR="00FD0545" w:rsidRPr="00C376DE" w:rsidRDefault="00FD0545" w:rsidP="00026782">
            <w:pPr>
              <w:rPr>
                <w:rFonts w:eastAsia="Calibri"/>
                <w:b/>
                <w:bCs/>
                <w:sz w:val="22"/>
                <w:szCs w:val="22"/>
              </w:rPr>
            </w:pPr>
            <w:r w:rsidRPr="00C376DE">
              <w:rPr>
                <w:rFonts w:eastAsia="Calibri"/>
                <w:b/>
                <w:bCs/>
                <w:sz w:val="22"/>
                <w:szCs w:val="22"/>
              </w:rPr>
              <w:t>Jelentés tekintetében MTMT koordinátor (I. fázis), online elérhetőség tekintetében az értékelt (II. fázis)</w:t>
            </w:r>
          </w:p>
        </w:tc>
      </w:tr>
    </w:tbl>
    <w:p w14:paraId="2798DA33" w14:textId="77777777" w:rsidR="00FD0545" w:rsidRPr="004B2939" w:rsidRDefault="00FD0545" w:rsidP="00FD0545">
      <w:pPr>
        <w:ind w:left="1416"/>
        <w:rPr>
          <w:b/>
          <w:sz w:val="22"/>
        </w:rPr>
      </w:pPr>
    </w:p>
    <w:p w14:paraId="2DF78B5A" w14:textId="77777777" w:rsidR="00FD0545" w:rsidRPr="004B2939" w:rsidRDefault="00FD0545" w:rsidP="00FD0545">
      <w:pPr>
        <w:ind w:left="1416"/>
        <w:rPr>
          <w:b/>
          <w:sz w:val="22"/>
        </w:rPr>
      </w:pPr>
      <w:r w:rsidRPr="004B2939">
        <w:rPr>
          <w:b/>
          <w:sz w:val="22"/>
        </w:rPr>
        <w:t>8. Félévközi beszámoltatás (ZH TÉR)</w:t>
      </w:r>
    </w:p>
    <w:p w14:paraId="0CA9D7B6" w14:textId="77777777" w:rsidR="00FD0545" w:rsidRPr="004B2939" w:rsidRDefault="00FD0545" w:rsidP="00FD0545">
      <w:pPr>
        <w:ind w:left="1416"/>
        <w:rPr>
          <w:b/>
          <w:sz w:val="22"/>
        </w:rPr>
      </w:pPr>
    </w:p>
    <w:p w14:paraId="6AC516B0" w14:textId="77777777" w:rsidR="00FD0545" w:rsidRPr="00E13CE5" w:rsidRDefault="00FD0545" w:rsidP="00FD0545">
      <w:pPr>
        <w:rPr>
          <w:rFonts w:eastAsia="Calibri"/>
          <w:sz w:val="22"/>
          <w:szCs w:val="22"/>
        </w:rPr>
      </w:pPr>
      <w:r w:rsidRPr="00E13CE5">
        <w:rPr>
          <w:rFonts w:eastAsia="Calibri"/>
          <w:sz w:val="22"/>
          <w:szCs w:val="22"/>
        </w:rPr>
        <w:t>A félévközi teljesítményméréssel összefüggő oktatói tevékenység értékelésére a következő paraméterek alapján kerül sor:</w:t>
      </w:r>
    </w:p>
    <w:p w14:paraId="26045945"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156"/>
        <w:gridCol w:w="1418"/>
        <w:gridCol w:w="1537"/>
        <w:gridCol w:w="2673"/>
      </w:tblGrid>
      <w:tr w:rsidR="00FD0545" w:rsidRPr="004B2939" w14:paraId="104C3E28" w14:textId="77777777" w:rsidTr="00026782">
        <w:trPr>
          <w:jc w:val="center"/>
        </w:trPr>
        <w:tc>
          <w:tcPr>
            <w:tcW w:w="3156" w:type="dxa"/>
            <w:tcBorders>
              <w:top w:val="single" w:sz="4" w:space="0" w:color="FFFFFF"/>
              <w:left w:val="single" w:sz="4" w:space="0" w:color="FFFFFF"/>
              <w:right w:val="nil"/>
            </w:tcBorders>
            <w:shd w:val="clear" w:color="auto" w:fill="EDEDED"/>
          </w:tcPr>
          <w:p w14:paraId="0FE1854F" w14:textId="77777777" w:rsidR="00FD0545" w:rsidRPr="004B2939" w:rsidRDefault="00FD0545" w:rsidP="00026782">
            <w:pPr>
              <w:jc w:val="center"/>
              <w:rPr>
                <w:rFonts w:eastAsia="Calibri"/>
                <w:b/>
                <w:bCs/>
                <w:sz w:val="22"/>
                <w:szCs w:val="22"/>
              </w:rPr>
            </w:pPr>
            <w:r w:rsidRPr="004B2939">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59C3E7FD" w14:textId="77777777" w:rsidR="00FD0545" w:rsidRPr="004B2939" w:rsidRDefault="00FD0545" w:rsidP="00026782">
            <w:pPr>
              <w:jc w:val="center"/>
              <w:rPr>
                <w:rFonts w:eastAsia="Calibri"/>
                <w:b/>
                <w:bCs/>
                <w:sz w:val="22"/>
                <w:szCs w:val="22"/>
              </w:rPr>
            </w:pPr>
            <w:r w:rsidRPr="004B2939">
              <w:rPr>
                <w:rFonts w:eastAsia="Calibri"/>
                <w:b/>
                <w:bCs/>
                <w:sz w:val="22"/>
                <w:szCs w:val="22"/>
              </w:rPr>
              <w:t>Mérésegység</w:t>
            </w:r>
          </w:p>
        </w:tc>
        <w:tc>
          <w:tcPr>
            <w:tcW w:w="1537" w:type="dxa"/>
            <w:tcBorders>
              <w:top w:val="single" w:sz="4" w:space="0" w:color="FFFFFF"/>
              <w:left w:val="nil"/>
              <w:right w:val="nil"/>
            </w:tcBorders>
            <w:shd w:val="clear" w:color="auto" w:fill="EDEDED"/>
          </w:tcPr>
          <w:p w14:paraId="4BA7A8E8" w14:textId="77777777" w:rsidR="00FD0545" w:rsidRPr="004B2939" w:rsidRDefault="00FD0545" w:rsidP="00026782">
            <w:pPr>
              <w:jc w:val="center"/>
              <w:rPr>
                <w:rFonts w:eastAsia="Calibri"/>
                <w:b/>
                <w:bCs/>
                <w:sz w:val="22"/>
                <w:szCs w:val="22"/>
              </w:rPr>
            </w:pPr>
            <w:r w:rsidRPr="004B2939">
              <w:rPr>
                <w:rFonts w:eastAsia="Calibri"/>
                <w:b/>
                <w:bCs/>
                <w:sz w:val="22"/>
                <w:szCs w:val="22"/>
              </w:rPr>
              <w:t>Egységpont</w:t>
            </w:r>
          </w:p>
        </w:tc>
        <w:tc>
          <w:tcPr>
            <w:tcW w:w="2673" w:type="dxa"/>
            <w:tcBorders>
              <w:top w:val="single" w:sz="4" w:space="0" w:color="FFFFFF"/>
              <w:left w:val="nil"/>
              <w:right w:val="single" w:sz="4" w:space="0" w:color="FFFFFF"/>
            </w:tcBorders>
            <w:shd w:val="clear" w:color="auto" w:fill="EDEDED"/>
          </w:tcPr>
          <w:p w14:paraId="7A079782" w14:textId="77777777" w:rsidR="00FD0545" w:rsidRPr="004B2939" w:rsidRDefault="00FD0545" w:rsidP="00026782">
            <w:pPr>
              <w:jc w:val="center"/>
              <w:rPr>
                <w:rFonts w:eastAsia="Calibri"/>
                <w:b/>
                <w:bCs/>
                <w:sz w:val="22"/>
                <w:szCs w:val="22"/>
              </w:rPr>
            </w:pPr>
            <w:r w:rsidRPr="004B2939">
              <w:rPr>
                <w:rFonts w:eastAsia="Calibri"/>
                <w:b/>
                <w:bCs/>
                <w:sz w:val="22"/>
                <w:szCs w:val="22"/>
              </w:rPr>
              <w:t>Maximum pont</w:t>
            </w:r>
          </w:p>
        </w:tc>
      </w:tr>
      <w:tr w:rsidR="00FD0545" w:rsidRPr="00C376DE" w14:paraId="1578EA87" w14:textId="77777777" w:rsidTr="00026782">
        <w:trPr>
          <w:jc w:val="center"/>
        </w:trPr>
        <w:tc>
          <w:tcPr>
            <w:tcW w:w="3156" w:type="dxa"/>
            <w:shd w:val="clear" w:color="auto" w:fill="EDEDED"/>
          </w:tcPr>
          <w:p w14:paraId="57F9359C" w14:textId="77777777" w:rsidR="00FD0545" w:rsidRPr="00C376DE" w:rsidRDefault="00FD0545" w:rsidP="00026782">
            <w:pPr>
              <w:rPr>
                <w:rFonts w:eastAsia="Calibri"/>
                <w:sz w:val="22"/>
                <w:szCs w:val="22"/>
              </w:rPr>
            </w:pPr>
            <w:r w:rsidRPr="00C376DE">
              <w:rPr>
                <w:rFonts w:eastAsia="Calibri"/>
                <w:sz w:val="22"/>
                <w:szCs w:val="22"/>
              </w:rPr>
              <w:t>Új ZH dolgozat összeállítása</w:t>
            </w:r>
          </w:p>
        </w:tc>
        <w:tc>
          <w:tcPr>
            <w:tcW w:w="1418" w:type="dxa"/>
            <w:shd w:val="clear" w:color="auto" w:fill="EDEDED"/>
          </w:tcPr>
          <w:p w14:paraId="0E8A7A8A" w14:textId="77777777" w:rsidR="00FD0545" w:rsidRPr="00C376DE" w:rsidRDefault="00FD0545" w:rsidP="00026782">
            <w:pPr>
              <w:jc w:val="center"/>
              <w:rPr>
                <w:rFonts w:eastAsia="Calibri"/>
                <w:sz w:val="22"/>
                <w:szCs w:val="22"/>
              </w:rPr>
            </w:pPr>
            <w:r w:rsidRPr="00C376DE">
              <w:rPr>
                <w:rFonts w:eastAsia="Calibri"/>
                <w:sz w:val="22"/>
                <w:szCs w:val="22"/>
              </w:rPr>
              <w:t>feladatsor</w:t>
            </w:r>
          </w:p>
        </w:tc>
        <w:tc>
          <w:tcPr>
            <w:tcW w:w="1537" w:type="dxa"/>
            <w:shd w:val="clear" w:color="auto" w:fill="EDEDED"/>
          </w:tcPr>
          <w:p w14:paraId="718BC3F1" w14:textId="77777777" w:rsidR="00FD0545" w:rsidRPr="00C376DE" w:rsidRDefault="00FD0545" w:rsidP="00026782">
            <w:pPr>
              <w:jc w:val="center"/>
              <w:rPr>
                <w:rFonts w:eastAsia="Calibri"/>
                <w:sz w:val="22"/>
                <w:szCs w:val="22"/>
              </w:rPr>
            </w:pPr>
            <w:r w:rsidRPr="00C376DE">
              <w:rPr>
                <w:rFonts w:eastAsia="Calibri"/>
                <w:sz w:val="22"/>
                <w:szCs w:val="22"/>
              </w:rPr>
              <w:t>2 pont</w:t>
            </w:r>
          </w:p>
        </w:tc>
        <w:tc>
          <w:tcPr>
            <w:tcW w:w="2673" w:type="dxa"/>
            <w:shd w:val="clear" w:color="auto" w:fill="EDEDED"/>
          </w:tcPr>
          <w:p w14:paraId="19E8DD27"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4 pont, összesen maximum 20 pont</w:t>
            </w:r>
          </w:p>
        </w:tc>
      </w:tr>
    </w:tbl>
    <w:p w14:paraId="5AC9E9D9" w14:textId="77777777" w:rsidR="00FD0545" w:rsidRPr="00E13CE5" w:rsidRDefault="00FD0545" w:rsidP="00FD0545">
      <w:pPr>
        <w:spacing w:before="120"/>
        <w:rPr>
          <w:rFonts w:eastAsia="Calibri"/>
          <w:sz w:val="22"/>
          <w:szCs w:val="22"/>
        </w:rPr>
      </w:pPr>
    </w:p>
    <w:p w14:paraId="0F1D1B80" w14:textId="77777777" w:rsidR="00FD0545" w:rsidRPr="00E13CE5" w:rsidRDefault="00FD0545" w:rsidP="00FD0545">
      <w:pPr>
        <w:spacing w:before="120"/>
        <w:jc w:val="both"/>
        <w:rPr>
          <w:rFonts w:eastAsia="Calibri"/>
          <w:sz w:val="22"/>
          <w:szCs w:val="22"/>
        </w:rPr>
      </w:pPr>
      <w:r w:rsidRPr="00E13CE5">
        <w:rPr>
          <w:rFonts w:eastAsia="Calibri"/>
          <w:sz w:val="22"/>
          <w:szCs w:val="22"/>
        </w:rPr>
        <w:lastRenderedPageBreak/>
        <w:t>Új dolgozatnak minősül, amennyiben a kérdések és/vagy válaszok 80%-</w:t>
      </w:r>
      <w:proofErr w:type="gramStart"/>
      <w:r w:rsidRPr="00E13CE5">
        <w:rPr>
          <w:rFonts w:eastAsia="Calibri"/>
          <w:sz w:val="22"/>
          <w:szCs w:val="22"/>
        </w:rPr>
        <w:t>a</w:t>
      </w:r>
      <w:proofErr w:type="gramEnd"/>
      <w:r w:rsidRPr="00E13CE5">
        <w:rPr>
          <w:rFonts w:eastAsia="Calibri"/>
          <w:sz w:val="22"/>
          <w:szCs w:val="22"/>
        </w:rPr>
        <w:t xml:space="preserve"> új, nem ideértve a válaszok sorrendjének módosulását. Új dolgozatként és esszéjellegű beszámolóért történő TÉR pont megszerzésének feltétele az elszámolás alapját jelentő valamennyi feladatsor feltöltése az online rendszerbe. Az értékelés alapjául szolgáló adatok forrása, az adatnyerés módja:</w:t>
      </w:r>
    </w:p>
    <w:p w14:paraId="6AB4C607" w14:textId="77777777" w:rsidR="00FD0545" w:rsidRPr="00E13CE5" w:rsidRDefault="00FD0545" w:rsidP="00FD0545">
      <w:pPr>
        <w:spacing w:before="120"/>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ACA0976" w14:textId="77777777" w:rsidTr="00026782">
        <w:tc>
          <w:tcPr>
            <w:tcW w:w="1980" w:type="dxa"/>
            <w:shd w:val="clear" w:color="auto" w:fill="F2F2F2"/>
          </w:tcPr>
          <w:p w14:paraId="341DF427"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C2C4E70" w14:textId="77777777" w:rsidR="00FD0545" w:rsidRPr="00C376DE" w:rsidRDefault="00FD0545" w:rsidP="00026782">
            <w:pPr>
              <w:rPr>
                <w:rFonts w:eastAsia="Calibri"/>
                <w:b/>
                <w:bCs/>
                <w:sz w:val="22"/>
                <w:szCs w:val="22"/>
              </w:rPr>
            </w:pPr>
            <w:r w:rsidRPr="00C376DE">
              <w:rPr>
                <w:rFonts w:eastAsia="Calibri"/>
                <w:b/>
                <w:bCs/>
                <w:sz w:val="22"/>
                <w:szCs w:val="22"/>
              </w:rPr>
              <w:t xml:space="preserve">Új dolgozatként jelzett dolgozat </w:t>
            </w:r>
            <w:proofErr w:type="spellStart"/>
            <w:r w:rsidRPr="00C376DE">
              <w:rPr>
                <w:rFonts w:eastAsia="Calibri"/>
                <w:b/>
                <w:bCs/>
                <w:sz w:val="22"/>
                <w:szCs w:val="22"/>
              </w:rPr>
              <w:t>pdf</w:t>
            </w:r>
            <w:proofErr w:type="spellEnd"/>
            <w:r w:rsidRPr="00C376DE">
              <w:rPr>
                <w:rFonts w:eastAsia="Calibri"/>
                <w:b/>
                <w:bCs/>
                <w:sz w:val="22"/>
                <w:szCs w:val="22"/>
              </w:rPr>
              <w:t xml:space="preserve"> változatának feltöltése az értékelési rendszerbe </w:t>
            </w:r>
          </w:p>
        </w:tc>
      </w:tr>
      <w:tr w:rsidR="00FD0545" w:rsidRPr="00C376DE" w14:paraId="1932C5F5" w14:textId="77777777" w:rsidTr="00026782">
        <w:tc>
          <w:tcPr>
            <w:tcW w:w="1980" w:type="dxa"/>
            <w:shd w:val="clear" w:color="auto" w:fill="F2F2F2"/>
          </w:tcPr>
          <w:p w14:paraId="43D9C790"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14C9B509" w14:textId="77777777" w:rsidR="00FD0545" w:rsidRPr="00C376DE" w:rsidRDefault="00FD0545" w:rsidP="00026782">
            <w:pPr>
              <w:rPr>
                <w:rFonts w:eastAsia="Calibri"/>
                <w:b/>
                <w:bCs/>
                <w:sz w:val="22"/>
                <w:szCs w:val="22"/>
              </w:rPr>
            </w:pPr>
            <w:r w:rsidRPr="00C376DE">
              <w:rPr>
                <w:rFonts w:eastAsia="Calibri"/>
                <w:b/>
                <w:bCs/>
                <w:sz w:val="22"/>
                <w:szCs w:val="22"/>
              </w:rPr>
              <w:t>Értékelt önbevallása (É/1. melléklet)</w:t>
            </w:r>
          </w:p>
        </w:tc>
      </w:tr>
      <w:tr w:rsidR="00FD0545" w:rsidRPr="00C376DE" w14:paraId="3654E33E" w14:textId="77777777" w:rsidTr="00026782">
        <w:tc>
          <w:tcPr>
            <w:tcW w:w="1980" w:type="dxa"/>
            <w:shd w:val="clear" w:color="auto" w:fill="F2F2F2"/>
          </w:tcPr>
          <w:p w14:paraId="4BE0F782"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0841637" w14:textId="77777777" w:rsidR="00FD0545" w:rsidRPr="00C376DE" w:rsidRDefault="00FD0545" w:rsidP="00026782">
            <w:pPr>
              <w:rPr>
                <w:rFonts w:eastAsia="Calibri"/>
                <w:b/>
                <w:bCs/>
                <w:sz w:val="22"/>
                <w:szCs w:val="22"/>
              </w:rPr>
            </w:pPr>
            <w:r w:rsidRPr="00C376DE">
              <w:rPr>
                <w:rFonts w:eastAsia="Calibri"/>
                <w:b/>
                <w:bCs/>
                <w:sz w:val="22"/>
                <w:szCs w:val="22"/>
              </w:rPr>
              <w:t>Értékelt</w:t>
            </w:r>
          </w:p>
        </w:tc>
      </w:tr>
    </w:tbl>
    <w:p w14:paraId="719EA241"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156"/>
        <w:gridCol w:w="1418"/>
        <w:gridCol w:w="1537"/>
        <w:gridCol w:w="2389"/>
      </w:tblGrid>
      <w:tr w:rsidR="00FD0545" w:rsidRPr="004B2939" w14:paraId="371F374B" w14:textId="77777777" w:rsidTr="00026782">
        <w:trPr>
          <w:jc w:val="center"/>
        </w:trPr>
        <w:tc>
          <w:tcPr>
            <w:tcW w:w="3156" w:type="dxa"/>
            <w:tcBorders>
              <w:top w:val="single" w:sz="4" w:space="0" w:color="FFFFFF"/>
              <w:left w:val="single" w:sz="4" w:space="0" w:color="FFFFFF"/>
              <w:right w:val="nil"/>
            </w:tcBorders>
            <w:shd w:val="clear" w:color="auto" w:fill="EDEDED"/>
          </w:tcPr>
          <w:p w14:paraId="6DC3848E" w14:textId="77777777" w:rsidR="00FD0545" w:rsidRPr="004B2939" w:rsidRDefault="00FD0545" w:rsidP="00026782">
            <w:pPr>
              <w:jc w:val="center"/>
              <w:rPr>
                <w:rFonts w:eastAsia="Calibri"/>
                <w:b/>
                <w:bCs/>
                <w:sz w:val="22"/>
                <w:szCs w:val="22"/>
              </w:rPr>
            </w:pPr>
            <w:r w:rsidRPr="004B2939">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00C13FFD" w14:textId="77777777" w:rsidR="00FD0545" w:rsidRPr="004B2939" w:rsidRDefault="00FD0545" w:rsidP="00026782">
            <w:pPr>
              <w:jc w:val="center"/>
              <w:rPr>
                <w:rFonts w:eastAsia="Calibri"/>
                <w:b/>
                <w:bCs/>
                <w:sz w:val="22"/>
                <w:szCs w:val="22"/>
              </w:rPr>
            </w:pPr>
            <w:r w:rsidRPr="004B2939">
              <w:rPr>
                <w:rFonts w:eastAsia="Calibri"/>
                <w:b/>
                <w:bCs/>
                <w:sz w:val="22"/>
                <w:szCs w:val="22"/>
              </w:rPr>
              <w:t>Mérésegység</w:t>
            </w:r>
          </w:p>
        </w:tc>
        <w:tc>
          <w:tcPr>
            <w:tcW w:w="1537" w:type="dxa"/>
            <w:tcBorders>
              <w:top w:val="single" w:sz="4" w:space="0" w:color="FFFFFF"/>
              <w:left w:val="nil"/>
              <w:right w:val="nil"/>
            </w:tcBorders>
            <w:shd w:val="clear" w:color="auto" w:fill="EDEDED"/>
          </w:tcPr>
          <w:p w14:paraId="10C07EE4" w14:textId="77777777" w:rsidR="00FD0545" w:rsidRPr="004B2939" w:rsidRDefault="00FD0545" w:rsidP="00026782">
            <w:pPr>
              <w:jc w:val="center"/>
              <w:rPr>
                <w:rFonts w:eastAsia="Calibri"/>
                <w:b/>
                <w:bCs/>
                <w:sz w:val="22"/>
                <w:szCs w:val="22"/>
              </w:rPr>
            </w:pPr>
            <w:r w:rsidRPr="004B2939">
              <w:rPr>
                <w:rFonts w:eastAsia="Calibri"/>
                <w:b/>
                <w:bCs/>
                <w:sz w:val="22"/>
                <w:szCs w:val="22"/>
              </w:rPr>
              <w:t>Egységpont</w:t>
            </w:r>
          </w:p>
        </w:tc>
        <w:tc>
          <w:tcPr>
            <w:tcW w:w="2389" w:type="dxa"/>
            <w:tcBorders>
              <w:top w:val="single" w:sz="4" w:space="0" w:color="FFFFFF"/>
              <w:left w:val="nil"/>
              <w:right w:val="single" w:sz="4" w:space="0" w:color="FFFFFF"/>
            </w:tcBorders>
            <w:shd w:val="clear" w:color="auto" w:fill="EDEDED"/>
          </w:tcPr>
          <w:p w14:paraId="43D0AA39" w14:textId="77777777" w:rsidR="00FD0545" w:rsidRPr="004B2939" w:rsidRDefault="00FD0545" w:rsidP="00026782">
            <w:pPr>
              <w:jc w:val="center"/>
              <w:rPr>
                <w:rFonts w:eastAsia="Calibri"/>
                <w:b/>
                <w:bCs/>
                <w:sz w:val="22"/>
                <w:szCs w:val="22"/>
              </w:rPr>
            </w:pPr>
            <w:r w:rsidRPr="004B2939">
              <w:rPr>
                <w:rFonts w:eastAsia="Calibri"/>
                <w:b/>
                <w:bCs/>
                <w:sz w:val="22"/>
                <w:szCs w:val="22"/>
              </w:rPr>
              <w:t>Maximum pont</w:t>
            </w:r>
          </w:p>
        </w:tc>
      </w:tr>
      <w:tr w:rsidR="00FD0545" w:rsidRPr="00C376DE" w14:paraId="3D4149F7" w14:textId="77777777" w:rsidTr="00026782">
        <w:trPr>
          <w:jc w:val="center"/>
        </w:trPr>
        <w:tc>
          <w:tcPr>
            <w:tcW w:w="3156" w:type="dxa"/>
            <w:shd w:val="clear" w:color="auto" w:fill="EDEDED"/>
          </w:tcPr>
          <w:p w14:paraId="43990DAA" w14:textId="77777777" w:rsidR="00FD0545" w:rsidRPr="00C376DE" w:rsidRDefault="00FD0545" w:rsidP="00026782">
            <w:pPr>
              <w:rPr>
                <w:rFonts w:eastAsia="Calibri"/>
                <w:sz w:val="22"/>
                <w:szCs w:val="22"/>
              </w:rPr>
            </w:pPr>
            <w:r w:rsidRPr="00C376DE">
              <w:rPr>
                <w:rFonts w:eastAsia="Calibri"/>
                <w:sz w:val="22"/>
                <w:szCs w:val="22"/>
              </w:rPr>
              <w:t>ZH dolgozat javítása</w:t>
            </w:r>
          </w:p>
        </w:tc>
        <w:tc>
          <w:tcPr>
            <w:tcW w:w="1418" w:type="dxa"/>
            <w:shd w:val="clear" w:color="auto" w:fill="EDEDED"/>
          </w:tcPr>
          <w:p w14:paraId="61AE0F4B" w14:textId="77777777" w:rsidR="00FD0545" w:rsidRPr="00C376DE" w:rsidRDefault="00FD0545" w:rsidP="00026782">
            <w:pPr>
              <w:jc w:val="center"/>
              <w:rPr>
                <w:rFonts w:eastAsia="Calibri"/>
                <w:sz w:val="22"/>
                <w:szCs w:val="22"/>
              </w:rPr>
            </w:pPr>
            <w:r w:rsidRPr="00C376DE">
              <w:rPr>
                <w:rFonts w:eastAsia="Calibri"/>
                <w:sz w:val="22"/>
                <w:szCs w:val="22"/>
              </w:rPr>
              <w:t>darab dolgozat</w:t>
            </w:r>
          </w:p>
        </w:tc>
        <w:tc>
          <w:tcPr>
            <w:tcW w:w="1537" w:type="dxa"/>
            <w:shd w:val="clear" w:color="auto" w:fill="EDEDED"/>
          </w:tcPr>
          <w:p w14:paraId="6D8D9698" w14:textId="77777777" w:rsidR="00FD0545" w:rsidRPr="00C376DE" w:rsidRDefault="00FD0545" w:rsidP="00026782">
            <w:pPr>
              <w:jc w:val="center"/>
              <w:rPr>
                <w:rFonts w:eastAsia="Calibri"/>
                <w:sz w:val="22"/>
                <w:szCs w:val="22"/>
              </w:rPr>
            </w:pPr>
            <w:r w:rsidRPr="00C376DE">
              <w:rPr>
                <w:rFonts w:eastAsia="Calibri"/>
                <w:sz w:val="22"/>
                <w:szCs w:val="22"/>
              </w:rPr>
              <w:t>0,1 pont</w:t>
            </w:r>
          </w:p>
        </w:tc>
        <w:tc>
          <w:tcPr>
            <w:tcW w:w="2389" w:type="dxa"/>
            <w:shd w:val="clear" w:color="auto" w:fill="EDEDED"/>
          </w:tcPr>
          <w:p w14:paraId="6BD74A10"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6 pont, összesen maximum 30 pont</w:t>
            </w:r>
          </w:p>
        </w:tc>
      </w:tr>
      <w:tr w:rsidR="00FD0545" w:rsidRPr="00C376DE" w14:paraId="5B6A33A5" w14:textId="77777777" w:rsidTr="00026782">
        <w:trPr>
          <w:jc w:val="center"/>
        </w:trPr>
        <w:tc>
          <w:tcPr>
            <w:tcW w:w="3156" w:type="dxa"/>
            <w:shd w:val="clear" w:color="auto" w:fill="EDEDED"/>
          </w:tcPr>
          <w:p w14:paraId="0CBF4FD7" w14:textId="77777777" w:rsidR="00FD0545" w:rsidRPr="00C376DE" w:rsidRDefault="00FD0545" w:rsidP="00026782">
            <w:pPr>
              <w:rPr>
                <w:rFonts w:eastAsia="Calibri"/>
                <w:sz w:val="22"/>
                <w:szCs w:val="22"/>
              </w:rPr>
            </w:pPr>
            <w:r w:rsidRPr="00C376DE">
              <w:rPr>
                <w:rFonts w:eastAsia="Calibri"/>
                <w:sz w:val="22"/>
                <w:szCs w:val="22"/>
              </w:rPr>
              <w:t xml:space="preserve">Írásbeli </w:t>
            </w:r>
            <w:proofErr w:type="gramStart"/>
            <w:r w:rsidRPr="00C376DE">
              <w:rPr>
                <w:rFonts w:eastAsia="Calibri"/>
                <w:sz w:val="22"/>
                <w:szCs w:val="22"/>
              </w:rPr>
              <w:t>esszé</w:t>
            </w:r>
            <w:proofErr w:type="gramEnd"/>
            <w:r w:rsidRPr="00C376DE">
              <w:rPr>
                <w:rFonts w:eastAsia="Calibri"/>
                <w:sz w:val="22"/>
                <w:szCs w:val="22"/>
              </w:rPr>
              <w:t xml:space="preserve"> jellegű beszámoló, beadandó feladat javítása</w:t>
            </w:r>
          </w:p>
        </w:tc>
        <w:tc>
          <w:tcPr>
            <w:tcW w:w="1418" w:type="dxa"/>
            <w:shd w:val="clear" w:color="auto" w:fill="EDEDED"/>
          </w:tcPr>
          <w:p w14:paraId="2266AD0B" w14:textId="77777777" w:rsidR="00FD0545" w:rsidRPr="00C376DE" w:rsidRDefault="00FD0545" w:rsidP="00026782">
            <w:pPr>
              <w:jc w:val="center"/>
              <w:rPr>
                <w:rFonts w:eastAsia="Calibri"/>
                <w:sz w:val="22"/>
                <w:szCs w:val="22"/>
              </w:rPr>
            </w:pPr>
            <w:r w:rsidRPr="00C376DE">
              <w:rPr>
                <w:rFonts w:eastAsia="Calibri"/>
                <w:sz w:val="22"/>
                <w:szCs w:val="22"/>
              </w:rPr>
              <w:t>darab dolgozat</w:t>
            </w:r>
          </w:p>
        </w:tc>
        <w:tc>
          <w:tcPr>
            <w:tcW w:w="1537" w:type="dxa"/>
            <w:shd w:val="clear" w:color="auto" w:fill="EDEDED"/>
          </w:tcPr>
          <w:p w14:paraId="580952D7" w14:textId="77777777" w:rsidR="00FD0545" w:rsidRPr="00C376DE" w:rsidRDefault="00FD0545" w:rsidP="00026782">
            <w:pPr>
              <w:jc w:val="center"/>
              <w:rPr>
                <w:rFonts w:eastAsia="Calibri"/>
                <w:sz w:val="22"/>
                <w:szCs w:val="22"/>
              </w:rPr>
            </w:pPr>
            <w:r w:rsidRPr="00C376DE">
              <w:rPr>
                <w:rFonts w:eastAsia="Calibri"/>
                <w:sz w:val="22"/>
                <w:szCs w:val="22"/>
              </w:rPr>
              <w:t>0,2 pont</w:t>
            </w:r>
          </w:p>
        </w:tc>
        <w:tc>
          <w:tcPr>
            <w:tcW w:w="2389" w:type="dxa"/>
            <w:shd w:val="clear" w:color="auto" w:fill="EDEDED"/>
          </w:tcPr>
          <w:p w14:paraId="78BBE5C2"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10 pont, összesen maximum 30 pont</w:t>
            </w:r>
          </w:p>
        </w:tc>
      </w:tr>
    </w:tbl>
    <w:p w14:paraId="144C17A3" w14:textId="77777777" w:rsidR="00FD0545" w:rsidRPr="00E13CE5" w:rsidRDefault="00FD0545" w:rsidP="00FD0545">
      <w:pPr>
        <w:rPr>
          <w:rFonts w:eastAsia="Calibri"/>
          <w:sz w:val="22"/>
          <w:szCs w:val="22"/>
        </w:rPr>
      </w:pPr>
    </w:p>
    <w:p w14:paraId="463381C2"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ZH TÉR= </m:t>
          </m:r>
          <m:nary>
            <m:naryPr>
              <m:chr m:val="∑"/>
              <m:limLoc m:val="undOvr"/>
              <m:subHide m:val="1"/>
              <m:supHide m:val="1"/>
              <m:ctrlPr>
                <w:rPr>
                  <w:rFonts w:ascii="Cambria Math" w:eastAsia="Calibri" w:hAnsi="Cambria Math"/>
                  <w:i/>
                  <w:sz w:val="22"/>
                  <w:szCs w:val="22"/>
                </w:rPr>
              </m:ctrlPr>
            </m:naryPr>
            <m:sub/>
            <m:sup/>
            <m:e>
              <m:r>
                <w:rPr>
                  <w:rFonts w:ascii="Cambria Math" w:eastAsia="Calibri" w:hAnsi="Cambria Math"/>
                  <w:sz w:val="22"/>
                  <w:szCs w:val="22"/>
                </w:rPr>
                <m:t>MÉRÉSEGYSÉG ×EGYSÉGPONT</m:t>
              </m:r>
            </m:e>
          </m:nary>
        </m:oMath>
      </m:oMathPara>
    </w:p>
    <w:p w14:paraId="4105DC7F" w14:textId="77777777" w:rsidR="00FD0545" w:rsidRPr="00E13CE5" w:rsidRDefault="00FD0545" w:rsidP="00FD0545">
      <w:pPr>
        <w:spacing w:before="160"/>
        <w:jc w:val="both"/>
        <w:rPr>
          <w:rFonts w:eastAsia="Calibri"/>
          <w:sz w:val="22"/>
          <w:szCs w:val="22"/>
        </w:rPr>
      </w:pPr>
      <w:r w:rsidRPr="00E13CE5">
        <w:rPr>
          <w:rFonts w:eastAsia="Calibri"/>
          <w:sz w:val="22"/>
          <w:szCs w:val="22"/>
        </w:rPr>
        <w:t>Ahol ZH TÉR a félévközi beszámolók elkészítéséért megszerezhető TÉR pontok száma. 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26A4A618" w14:textId="77777777" w:rsidTr="00026782">
        <w:tc>
          <w:tcPr>
            <w:tcW w:w="1980" w:type="dxa"/>
            <w:shd w:val="clear" w:color="auto" w:fill="F2F2F2"/>
          </w:tcPr>
          <w:p w14:paraId="18E8D8FE"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7D94E7B" w14:textId="77777777" w:rsidR="00FD0545" w:rsidRPr="00C376DE" w:rsidRDefault="00FD0545" w:rsidP="00026782">
            <w:pPr>
              <w:rPr>
                <w:rFonts w:eastAsia="Calibri"/>
                <w:b/>
                <w:bCs/>
                <w:sz w:val="22"/>
                <w:szCs w:val="22"/>
              </w:rPr>
            </w:pPr>
            <w:proofErr w:type="spellStart"/>
            <w:r w:rsidRPr="00C376DE">
              <w:rPr>
                <w:rFonts w:eastAsia="Calibri"/>
                <w:b/>
                <w:bCs/>
                <w:sz w:val="22"/>
                <w:szCs w:val="22"/>
              </w:rPr>
              <w:t>Neptun</w:t>
            </w:r>
            <w:proofErr w:type="spellEnd"/>
            <w:r w:rsidRPr="00C376DE">
              <w:rPr>
                <w:rFonts w:eastAsia="Calibri"/>
                <w:b/>
                <w:bCs/>
                <w:sz w:val="22"/>
                <w:szCs w:val="22"/>
              </w:rPr>
              <w:t xml:space="preserve"> tanulmányi rendszer félévközi feladatokra vonatkozó adatai (Beszámoló=</w:t>
            </w:r>
            <w:proofErr w:type="gramStart"/>
            <w:r w:rsidRPr="00C376DE">
              <w:rPr>
                <w:rFonts w:eastAsia="Calibri"/>
                <w:b/>
                <w:bCs/>
                <w:sz w:val="22"/>
                <w:szCs w:val="22"/>
              </w:rPr>
              <w:t>esszé</w:t>
            </w:r>
            <w:proofErr w:type="gramEnd"/>
            <w:r w:rsidRPr="00C376DE">
              <w:rPr>
                <w:rFonts w:eastAsia="Calibri"/>
                <w:b/>
                <w:bCs/>
                <w:sz w:val="22"/>
                <w:szCs w:val="22"/>
              </w:rPr>
              <w:t xml:space="preserve"> jellegű; ZH dolgozat=nem esszé jellegű)</w:t>
            </w:r>
          </w:p>
        </w:tc>
      </w:tr>
      <w:tr w:rsidR="00FD0545" w:rsidRPr="00C376DE" w14:paraId="70CAA8B2" w14:textId="77777777" w:rsidTr="00026782">
        <w:tc>
          <w:tcPr>
            <w:tcW w:w="1980" w:type="dxa"/>
            <w:shd w:val="clear" w:color="auto" w:fill="F2F2F2"/>
          </w:tcPr>
          <w:p w14:paraId="15849F4B"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1BDFB90B" w14:textId="77777777" w:rsidR="00FD0545" w:rsidRPr="00C376DE" w:rsidRDefault="00FD0545" w:rsidP="00026782">
            <w:pPr>
              <w:rPr>
                <w:rFonts w:eastAsia="Calibri"/>
                <w:b/>
                <w:bCs/>
                <w:sz w:val="22"/>
                <w:szCs w:val="22"/>
              </w:rPr>
            </w:pPr>
            <w:r w:rsidRPr="00C376DE">
              <w:rPr>
                <w:rFonts w:eastAsia="Calibri"/>
                <w:b/>
                <w:bCs/>
                <w:sz w:val="22"/>
                <w:szCs w:val="22"/>
              </w:rPr>
              <w:t xml:space="preserve">Nyilvántartásból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w:t>
            </w:r>
          </w:p>
        </w:tc>
      </w:tr>
      <w:tr w:rsidR="00FD0545" w:rsidRPr="00C376DE" w14:paraId="658132EE" w14:textId="77777777" w:rsidTr="00026782">
        <w:tc>
          <w:tcPr>
            <w:tcW w:w="1980" w:type="dxa"/>
            <w:shd w:val="clear" w:color="auto" w:fill="F2F2F2"/>
          </w:tcPr>
          <w:p w14:paraId="29B69C5E"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D99849C" w14:textId="77777777" w:rsidR="00FD0545" w:rsidRPr="00C376DE" w:rsidRDefault="00FD0545" w:rsidP="00026782">
            <w:pPr>
              <w:rPr>
                <w:rFonts w:eastAsia="Calibri"/>
                <w:b/>
                <w:bCs/>
                <w:sz w:val="22"/>
                <w:szCs w:val="22"/>
              </w:rPr>
            </w:pPr>
            <w:r w:rsidRPr="00C376DE">
              <w:rPr>
                <w:rFonts w:eastAsia="Calibri"/>
                <w:b/>
                <w:bCs/>
                <w:sz w:val="22"/>
                <w:szCs w:val="22"/>
              </w:rPr>
              <w:t xml:space="preserve">Tanulmányi </w:t>
            </w:r>
            <w:proofErr w:type="gramStart"/>
            <w:r w:rsidRPr="00C376DE">
              <w:rPr>
                <w:rFonts w:eastAsia="Calibri"/>
                <w:b/>
                <w:bCs/>
                <w:sz w:val="22"/>
                <w:szCs w:val="22"/>
              </w:rPr>
              <w:t>rendszer működtetési</w:t>
            </w:r>
            <w:proofErr w:type="gramEnd"/>
            <w:r w:rsidRPr="00C376DE">
              <w:rPr>
                <w:rFonts w:eastAsia="Calibri"/>
                <w:b/>
                <w:bCs/>
                <w:sz w:val="22"/>
                <w:szCs w:val="22"/>
              </w:rPr>
              <w:t xml:space="preserve"> koordinátor</w:t>
            </w:r>
          </w:p>
        </w:tc>
      </w:tr>
    </w:tbl>
    <w:p w14:paraId="288BC1A2" w14:textId="77777777" w:rsidR="00FD0545" w:rsidRPr="004B2939" w:rsidRDefault="00FD0545" w:rsidP="00FD0545">
      <w:pPr>
        <w:ind w:left="1416"/>
        <w:rPr>
          <w:b/>
          <w:sz w:val="22"/>
        </w:rPr>
      </w:pPr>
    </w:p>
    <w:p w14:paraId="14903048" w14:textId="77777777" w:rsidR="00FD0545" w:rsidRPr="004B2939" w:rsidRDefault="00FD0545" w:rsidP="00FD0545">
      <w:pPr>
        <w:ind w:left="1416"/>
        <w:rPr>
          <w:b/>
          <w:sz w:val="22"/>
        </w:rPr>
      </w:pPr>
      <w:r w:rsidRPr="004B2939">
        <w:rPr>
          <w:b/>
          <w:sz w:val="22"/>
        </w:rPr>
        <w:t>9. Félévvégi vizsgatevékenység (VT TÉR)</w:t>
      </w:r>
    </w:p>
    <w:p w14:paraId="7A98F81E" w14:textId="77777777" w:rsidR="00FD0545" w:rsidRPr="004B2939" w:rsidRDefault="00FD0545" w:rsidP="00FD0545">
      <w:pPr>
        <w:ind w:left="1416"/>
        <w:rPr>
          <w:b/>
          <w:sz w:val="22"/>
        </w:rPr>
      </w:pPr>
    </w:p>
    <w:p w14:paraId="59739F6B" w14:textId="77777777" w:rsidR="00FD0545" w:rsidRPr="00E13CE5" w:rsidRDefault="00FD0545" w:rsidP="00FD0545">
      <w:pPr>
        <w:rPr>
          <w:rFonts w:eastAsia="Calibri"/>
          <w:sz w:val="22"/>
          <w:szCs w:val="22"/>
        </w:rPr>
      </w:pPr>
      <w:r w:rsidRPr="00E13CE5">
        <w:rPr>
          <w:rFonts w:eastAsia="Calibri"/>
          <w:sz w:val="22"/>
          <w:szCs w:val="22"/>
        </w:rPr>
        <w:t>A félévvégi vizsgatevékenység teljesítményének elismerése a TÉR-</w:t>
      </w:r>
      <w:proofErr w:type="spellStart"/>
      <w:r w:rsidRPr="00E13CE5">
        <w:rPr>
          <w:rFonts w:eastAsia="Calibri"/>
          <w:sz w:val="22"/>
          <w:szCs w:val="22"/>
        </w:rPr>
        <w:t>ben</w:t>
      </w:r>
      <w:proofErr w:type="spellEnd"/>
      <w:r w:rsidRPr="00E13CE5">
        <w:rPr>
          <w:rFonts w:eastAsia="Calibri"/>
          <w:sz w:val="22"/>
          <w:szCs w:val="22"/>
        </w:rPr>
        <w:t xml:space="preserve"> az alábbiak szerint történik:</w:t>
      </w:r>
    </w:p>
    <w:tbl>
      <w:tblPr>
        <w:tblW w:w="906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299"/>
        <w:gridCol w:w="1417"/>
        <w:gridCol w:w="1304"/>
        <w:gridCol w:w="3047"/>
      </w:tblGrid>
      <w:tr w:rsidR="00FD0545" w:rsidRPr="004B2939" w14:paraId="4F9D815F" w14:textId="77777777" w:rsidTr="00026782">
        <w:trPr>
          <w:jc w:val="center"/>
        </w:trPr>
        <w:tc>
          <w:tcPr>
            <w:tcW w:w="3592" w:type="dxa"/>
            <w:tcBorders>
              <w:top w:val="single" w:sz="4" w:space="0" w:color="FFFFFF"/>
              <w:left w:val="single" w:sz="4" w:space="0" w:color="FFFFFF"/>
              <w:right w:val="nil"/>
            </w:tcBorders>
            <w:shd w:val="clear" w:color="auto" w:fill="EDEDED"/>
          </w:tcPr>
          <w:p w14:paraId="43B7A3E9" w14:textId="77777777" w:rsidR="00FD0545" w:rsidRPr="004B2939" w:rsidRDefault="00FD0545" w:rsidP="00026782">
            <w:pPr>
              <w:jc w:val="center"/>
              <w:rPr>
                <w:rFonts w:eastAsia="Calibri"/>
                <w:b/>
                <w:bCs/>
                <w:sz w:val="22"/>
                <w:szCs w:val="22"/>
              </w:rPr>
            </w:pPr>
            <w:r w:rsidRPr="004B2939">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77180BE4" w14:textId="77777777" w:rsidR="00FD0545" w:rsidRPr="004B2939" w:rsidRDefault="00FD0545" w:rsidP="00026782">
            <w:pPr>
              <w:jc w:val="center"/>
              <w:rPr>
                <w:rFonts w:eastAsia="Calibri"/>
                <w:b/>
                <w:bCs/>
                <w:sz w:val="22"/>
                <w:szCs w:val="22"/>
              </w:rPr>
            </w:pPr>
            <w:r w:rsidRPr="004B2939">
              <w:rPr>
                <w:rFonts w:eastAsia="Calibri"/>
                <w:b/>
                <w:bCs/>
                <w:sz w:val="22"/>
                <w:szCs w:val="22"/>
              </w:rPr>
              <w:t>Mérésegység</w:t>
            </w:r>
          </w:p>
        </w:tc>
        <w:tc>
          <w:tcPr>
            <w:tcW w:w="797" w:type="dxa"/>
            <w:tcBorders>
              <w:top w:val="single" w:sz="4" w:space="0" w:color="FFFFFF"/>
              <w:left w:val="nil"/>
              <w:right w:val="nil"/>
            </w:tcBorders>
            <w:shd w:val="clear" w:color="auto" w:fill="EDEDED"/>
          </w:tcPr>
          <w:p w14:paraId="708D1965" w14:textId="77777777" w:rsidR="00FD0545" w:rsidRPr="004B2939" w:rsidRDefault="00FD0545" w:rsidP="00026782">
            <w:pPr>
              <w:jc w:val="center"/>
              <w:rPr>
                <w:rFonts w:eastAsia="Calibri"/>
                <w:b/>
                <w:bCs/>
                <w:sz w:val="22"/>
                <w:szCs w:val="22"/>
              </w:rPr>
            </w:pPr>
            <w:r w:rsidRPr="004B2939">
              <w:rPr>
                <w:rFonts w:eastAsia="Calibri"/>
                <w:b/>
                <w:bCs/>
                <w:sz w:val="22"/>
                <w:szCs w:val="22"/>
              </w:rPr>
              <w:t>Egységpont</w:t>
            </w:r>
          </w:p>
        </w:tc>
        <w:tc>
          <w:tcPr>
            <w:tcW w:w="3260" w:type="dxa"/>
            <w:tcBorders>
              <w:top w:val="single" w:sz="4" w:space="0" w:color="FFFFFF"/>
              <w:left w:val="nil"/>
              <w:right w:val="single" w:sz="4" w:space="0" w:color="FFFFFF"/>
            </w:tcBorders>
            <w:shd w:val="clear" w:color="auto" w:fill="EDEDED"/>
          </w:tcPr>
          <w:p w14:paraId="7014235C" w14:textId="77777777" w:rsidR="00FD0545" w:rsidRPr="004B2939" w:rsidRDefault="00FD0545" w:rsidP="00026782">
            <w:pPr>
              <w:jc w:val="center"/>
              <w:rPr>
                <w:rFonts w:eastAsia="Calibri"/>
                <w:b/>
                <w:bCs/>
                <w:sz w:val="22"/>
                <w:szCs w:val="22"/>
              </w:rPr>
            </w:pPr>
            <w:r w:rsidRPr="004B2939">
              <w:rPr>
                <w:rFonts w:eastAsia="Calibri"/>
                <w:b/>
                <w:bCs/>
                <w:sz w:val="22"/>
                <w:szCs w:val="22"/>
              </w:rPr>
              <w:t>Maximum pont</w:t>
            </w:r>
          </w:p>
        </w:tc>
      </w:tr>
      <w:tr w:rsidR="00FD0545" w:rsidRPr="00C376DE" w14:paraId="2400FD91" w14:textId="77777777" w:rsidTr="00026782">
        <w:trPr>
          <w:jc w:val="center"/>
        </w:trPr>
        <w:tc>
          <w:tcPr>
            <w:tcW w:w="3592" w:type="dxa"/>
            <w:shd w:val="clear" w:color="auto" w:fill="EDEDED"/>
          </w:tcPr>
          <w:p w14:paraId="68790A94" w14:textId="77777777" w:rsidR="00FD0545" w:rsidRPr="00C376DE" w:rsidRDefault="00FD0545" w:rsidP="00026782">
            <w:pPr>
              <w:rPr>
                <w:rFonts w:eastAsia="Calibri"/>
                <w:sz w:val="22"/>
                <w:szCs w:val="22"/>
              </w:rPr>
            </w:pPr>
            <w:r w:rsidRPr="00C376DE">
              <w:rPr>
                <w:rFonts w:eastAsia="Calibri"/>
                <w:sz w:val="22"/>
                <w:szCs w:val="22"/>
              </w:rPr>
              <w:t>Gyakorlati jegy megszerzésére irányuló vizsgáztatási tevékenység</w:t>
            </w:r>
          </w:p>
        </w:tc>
        <w:tc>
          <w:tcPr>
            <w:tcW w:w="1418" w:type="dxa"/>
            <w:shd w:val="clear" w:color="auto" w:fill="EDEDED"/>
          </w:tcPr>
          <w:p w14:paraId="0697AD48" w14:textId="77777777" w:rsidR="00FD0545" w:rsidRPr="00C376DE" w:rsidRDefault="00FD0545" w:rsidP="00026782">
            <w:pPr>
              <w:jc w:val="center"/>
              <w:rPr>
                <w:rFonts w:eastAsia="Calibri"/>
                <w:sz w:val="22"/>
                <w:szCs w:val="22"/>
              </w:rPr>
            </w:pPr>
            <w:r w:rsidRPr="00C376DE">
              <w:rPr>
                <w:rFonts w:eastAsia="Calibri"/>
                <w:sz w:val="22"/>
                <w:szCs w:val="22"/>
              </w:rPr>
              <w:t>hallgató</w:t>
            </w:r>
          </w:p>
        </w:tc>
        <w:tc>
          <w:tcPr>
            <w:tcW w:w="797" w:type="dxa"/>
            <w:shd w:val="clear" w:color="auto" w:fill="EDEDED"/>
          </w:tcPr>
          <w:p w14:paraId="03DF4AA6" w14:textId="77777777" w:rsidR="00FD0545" w:rsidRPr="00C376DE" w:rsidRDefault="00FD0545" w:rsidP="00026782">
            <w:pPr>
              <w:jc w:val="center"/>
              <w:rPr>
                <w:rFonts w:eastAsia="Calibri"/>
                <w:sz w:val="22"/>
                <w:szCs w:val="22"/>
              </w:rPr>
            </w:pPr>
            <w:r w:rsidRPr="00C376DE">
              <w:rPr>
                <w:rFonts w:eastAsia="Calibri"/>
                <w:sz w:val="22"/>
                <w:szCs w:val="22"/>
              </w:rPr>
              <w:t>0,2 pont</w:t>
            </w:r>
          </w:p>
        </w:tc>
        <w:tc>
          <w:tcPr>
            <w:tcW w:w="3260" w:type="dxa"/>
            <w:shd w:val="clear" w:color="auto" w:fill="EDEDED"/>
          </w:tcPr>
          <w:p w14:paraId="283F6B38"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6 pont</w:t>
            </w:r>
          </w:p>
        </w:tc>
      </w:tr>
      <w:tr w:rsidR="00FD0545" w:rsidRPr="00C376DE" w14:paraId="703232FF" w14:textId="77777777" w:rsidTr="00026782">
        <w:trPr>
          <w:jc w:val="center"/>
        </w:trPr>
        <w:tc>
          <w:tcPr>
            <w:tcW w:w="3592" w:type="dxa"/>
            <w:shd w:val="clear" w:color="auto" w:fill="EDEDED"/>
          </w:tcPr>
          <w:p w14:paraId="550C5C52" w14:textId="77777777" w:rsidR="00FD0545" w:rsidRPr="00C376DE" w:rsidRDefault="00FD0545" w:rsidP="00026782">
            <w:pPr>
              <w:rPr>
                <w:rFonts w:eastAsia="Calibri"/>
                <w:sz w:val="22"/>
                <w:szCs w:val="22"/>
              </w:rPr>
            </w:pPr>
            <w:r w:rsidRPr="00C376DE">
              <w:rPr>
                <w:rFonts w:eastAsia="Calibri"/>
                <w:sz w:val="22"/>
                <w:szCs w:val="22"/>
              </w:rPr>
              <w:t>Írásbeli kollokviumi teszt-jellegű vizsgadolgozat javítása</w:t>
            </w:r>
          </w:p>
        </w:tc>
        <w:tc>
          <w:tcPr>
            <w:tcW w:w="1418" w:type="dxa"/>
            <w:shd w:val="clear" w:color="auto" w:fill="EDEDED"/>
          </w:tcPr>
          <w:p w14:paraId="563E9BEA" w14:textId="77777777" w:rsidR="00FD0545" w:rsidRPr="00C376DE" w:rsidRDefault="00FD0545" w:rsidP="00026782">
            <w:pPr>
              <w:jc w:val="center"/>
              <w:rPr>
                <w:rFonts w:eastAsia="Calibri"/>
                <w:sz w:val="22"/>
                <w:szCs w:val="22"/>
              </w:rPr>
            </w:pPr>
            <w:r w:rsidRPr="00C376DE">
              <w:rPr>
                <w:rFonts w:eastAsia="Calibri"/>
                <w:sz w:val="22"/>
                <w:szCs w:val="22"/>
              </w:rPr>
              <w:t>hallgató</w:t>
            </w:r>
          </w:p>
        </w:tc>
        <w:tc>
          <w:tcPr>
            <w:tcW w:w="797" w:type="dxa"/>
            <w:shd w:val="clear" w:color="auto" w:fill="EDEDED"/>
          </w:tcPr>
          <w:p w14:paraId="3AF04FF4" w14:textId="77777777" w:rsidR="00FD0545" w:rsidRPr="00C376DE" w:rsidRDefault="00FD0545" w:rsidP="00026782">
            <w:pPr>
              <w:jc w:val="center"/>
              <w:rPr>
                <w:rFonts w:eastAsia="Calibri"/>
                <w:sz w:val="22"/>
                <w:szCs w:val="22"/>
              </w:rPr>
            </w:pPr>
            <w:r w:rsidRPr="00C376DE">
              <w:rPr>
                <w:rFonts w:eastAsia="Calibri"/>
                <w:sz w:val="22"/>
                <w:szCs w:val="22"/>
              </w:rPr>
              <w:t>0,1 pont</w:t>
            </w:r>
          </w:p>
        </w:tc>
        <w:tc>
          <w:tcPr>
            <w:tcW w:w="3260" w:type="dxa"/>
            <w:shd w:val="clear" w:color="auto" w:fill="EDEDED"/>
          </w:tcPr>
          <w:p w14:paraId="3038055B" w14:textId="77777777" w:rsidR="00FD0545" w:rsidRPr="00C376DE" w:rsidRDefault="00FD0545" w:rsidP="00026782">
            <w:pPr>
              <w:rPr>
                <w:rFonts w:eastAsia="Calibri"/>
                <w:sz w:val="22"/>
                <w:szCs w:val="22"/>
              </w:rPr>
            </w:pPr>
            <w:r w:rsidRPr="00C376DE">
              <w:rPr>
                <w:rFonts w:eastAsia="Calibri"/>
                <w:sz w:val="22"/>
                <w:szCs w:val="22"/>
              </w:rPr>
              <w:t>Vizsgánként legfeljebb 4 pont, szemeszterenként maximum 20</w:t>
            </w:r>
          </w:p>
        </w:tc>
      </w:tr>
      <w:tr w:rsidR="00FD0545" w:rsidRPr="00C376DE" w14:paraId="015B77BB" w14:textId="77777777" w:rsidTr="00026782">
        <w:trPr>
          <w:jc w:val="center"/>
        </w:trPr>
        <w:tc>
          <w:tcPr>
            <w:tcW w:w="3592" w:type="dxa"/>
            <w:shd w:val="clear" w:color="auto" w:fill="EDEDED"/>
          </w:tcPr>
          <w:p w14:paraId="50DB50A7" w14:textId="77777777" w:rsidR="00FD0545" w:rsidRPr="00C376DE" w:rsidRDefault="00FD0545" w:rsidP="00026782">
            <w:pPr>
              <w:rPr>
                <w:rFonts w:eastAsia="Calibri"/>
                <w:sz w:val="22"/>
                <w:szCs w:val="22"/>
              </w:rPr>
            </w:pPr>
            <w:r w:rsidRPr="00C376DE">
              <w:rPr>
                <w:rFonts w:eastAsia="Calibri"/>
                <w:sz w:val="22"/>
                <w:szCs w:val="22"/>
              </w:rPr>
              <w:t>Szóbeli kollokviumi vizsgáztatás</w:t>
            </w:r>
          </w:p>
        </w:tc>
        <w:tc>
          <w:tcPr>
            <w:tcW w:w="1418" w:type="dxa"/>
            <w:shd w:val="clear" w:color="auto" w:fill="EDEDED"/>
          </w:tcPr>
          <w:p w14:paraId="08B205CA" w14:textId="77777777" w:rsidR="00FD0545" w:rsidRPr="00C376DE" w:rsidRDefault="00FD0545" w:rsidP="00026782">
            <w:pPr>
              <w:jc w:val="center"/>
              <w:rPr>
                <w:rFonts w:eastAsia="Calibri"/>
                <w:sz w:val="22"/>
                <w:szCs w:val="22"/>
              </w:rPr>
            </w:pPr>
            <w:r w:rsidRPr="00C376DE">
              <w:rPr>
                <w:rFonts w:eastAsia="Calibri"/>
                <w:sz w:val="22"/>
                <w:szCs w:val="22"/>
              </w:rPr>
              <w:t>hallgató</w:t>
            </w:r>
          </w:p>
        </w:tc>
        <w:tc>
          <w:tcPr>
            <w:tcW w:w="797" w:type="dxa"/>
            <w:shd w:val="clear" w:color="auto" w:fill="EDEDED"/>
          </w:tcPr>
          <w:p w14:paraId="3094D82C"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3260" w:type="dxa"/>
            <w:shd w:val="clear" w:color="auto" w:fill="EDEDED"/>
          </w:tcPr>
          <w:p w14:paraId="5935D5E4"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30 pont, összesen maximum 90 pont</w:t>
            </w:r>
          </w:p>
        </w:tc>
      </w:tr>
    </w:tbl>
    <w:p w14:paraId="2D0CE3A0"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53DE186B" w14:textId="77777777" w:rsidTr="00026782">
        <w:tc>
          <w:tcPr>
            <w:tcW w:w="1980" w:type="dxa"/>
            <w:shd w:val="clear" w:color="auto" w:fill="F2F2F2"/>
          </w:tcPr>
          <w:p w14:paraId="62854EC9"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F2C5C4F" w14:textId="77777777" w:rsidR="00FD0545" w:rsidRPr="00C376DE" w:rsidRDefault="00FD0545" w:rsidP="00026782">
            <w:pPr>
              <w:rPr>
                <w:rFonts w:eastAsia="Calibri"/>
                <w:b/>
                <w:bCs/>
                <w:sz w:val="22"/>
                <w:szCs w:val="22"/>
              </w:rPr>
            </w:pPr>
            <w:proofErr w:type="spellStart"/>
            <w:r w:rsidRPr="00C376DE">
              <w:rPr>
                <w:rFonts w:eastAsia="Calibri"/>
                <w:b/>
                <w:bCs/>
                <w:sz w:val="22"/>
                <w:szCs w:val="22"/>
              </w:rPr>
              <w:t>Neptun</w:t>
            </w:r>
            <w:proofErr w:type="spellEnd"/>
            <w:r w:rsidRPr="00C376DE">
              <w:rPr>
                <w:rFonts w:eastAsia="Calibri"/>
                <w:b/>
                <w:bCs/>
                <w:sz w:val="22"/>
                <w:szCs w:val="22"/>
              </w:rPr>
              <w:t xml:space="preserve"> tanulmányi rendszer vizsgaadatai</w:t>
            </w:r>
          </w:p>
        </w:tc>
      </w:tr>
      <w:tr w:rsidR="00FD0545" w:rsidRPr="00C376DE" w14:paraId="48285F25" w14:textId="77777777" w:rsidTr="00026782">
        <w:tc>
          <w:tcPr>
            <w:tcW w:w="1980" w:type="dxa"/>
            <w:shd w:val="clear" w:color="auto" w:fill="F2F2F2"/>
          </w:tcPr>
          <w:p w14:paraId="0A5B92EC"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7620173C" w14:textId="77777777" w:rsidR="00FD0545" w:rsidRPr="00C376DE" w:rsidRDefault="00FD0545" w:rsidP="00026782">
            <w:pPr>
              <w:rPr>
                <w:rFonts w:eastAsia="Calibri"/>
                <w:b/>
                <w:bCs/>
                <w:sz w:val="22"/>
                <w:szCs w:val="22"/>
              </w:rPr>
            </w:pPr>
            <w:r w:rsidRPr="00C376DE">
              <w:rPr>
                <w:rFonts w:eastAsia="Calibri"/>
                <w:b/>
                <w:bCs/>
                <w:sz w:val="22"/>
                <w:szCs w:val="22"/>
              </w:rPr>
              <w:t xml:space="preserve">Vizsgát tett hallgatók számának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lekérdezése</w:t>
            </w:r>
          </w:p>
        </w:tc>
      </w:tr>
      <w:tr w:rsidR="00FD0545" w:rsidRPr="00C376DE" w14:paraId="1C37131F" w14:textId="77777777" w:rsidTr="00026782">
        <w:tc>
          <w:tcPr>
            <w:tcW w:w="1980" w:type="dxa"/>
            <w:shd w:val="clear" w:color="auto" w:fill="F2F2F2"/>
          </w:tcPr>
          <w:p w14:paraId="4FD6DC24"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0C838C8" w14:textId="77777777" w:rsidR="00FD0545" w:rsidRPr="00C376DE" w:rsidRDefault="00FD0545" w:rsidP="00026782">
            <w:pPr>
              <w:rPr>
                <w:rFonts w:eastAsia="Calibri"/>
                <w:b/>
                <w:bCs/>
                <w:sz w:val="22"/>
                <w:szCs w:val="22"/>
              </w:rPr>
            </w:pPr>
            <w:r w:rsidRPr="00C376DE">
              <w:rPr>
                <w:rFonts w:eastAsia="Calibri"/>
                <w:b/>
                <w:bCs/>
                <w:sz w:val="22"/>
                <w:szCs w:val="22"/>
              </w:rPr>
              <w:t xml:space="preserve">Tanulmányi </w:t>
            </w:r>
            <w:proofErr w:type="gramStart"/>
            <w:r w:rsidRPr="00C376DE">
              <w:rPr>
                <w:rFonts w:eastAsia="Calibri"/>
                <w:b/>
                <w:bCs/>
                <w:sz w:val="22"/>
                <w:szCs w:val="22"/>
              </w:rPr>
              <w:t>rendszer működtetési</w:t>
            </w:r>
            <w:proofErr w:type="gramEnd"/>
            <w:r w:rsidRPr="00C376DE">
              <w:rPr>
                <w:rFonts w:eastAsia="Calibri"/>
                <w:b/>
                <w:bCs/>
                <w:sz w:val="22"/>
                <w:szCs w:val="22"/>
              </w:rPr>
              <w:t xml:space="preserve"> koordinátor</w:t>
            </w:r>
          </w:p>
        </w:tc>
      </w:tr>
    </w:tbl>
    <w:p w14:paraId="07E5442A" w14:textId="77777777" w:rsidR="00FD0545" w:rsidRDefault="00FD0545" w:rsidP="00FD0545">
      <w:pPr>
        <w:rPr>
          <w:rFonts w:eastAsia="Calibri"/>
          <w:sz w:val="22"/>
          <w:szCs w:val="22"/>
        </w:rPr>
      </w:pPr>
    </w:p>
    <w:p w14:paraId="0174AB35"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592"/>
        <w:gridCol w:w="1418"/>
        <w:gridCol w:w="1304"/>
        <w:gridCol w:w="2508"/>
      </w:tblGrid>
      <w:tr w:rsidR="00FD0545" w:rsidRPr="00C376DE" w14:paraId="5482B72C" w14:textId="77777777" w:rsidTr="00026782">
        <w:trPr>
          <w:jc w:val="center"/>
        </w:trPr>
        <w:tc>
          <w:tcPr>
            <w:tcW w:w="3592" w:type="dxa"/>
            <w:tcBorders>
              <w:top w:val="single" w:sz="4" w:space="0" w:color="FFFFFF"/>
              <w:left w:val="single" w:sz="4" w:space="0" w:color="FFFFFF"/>
              <w:right w:val="nil"/>
            </w:tcBorders>
            <w:shd w:val="clear" w:color="auto" w:fill="EDEDED"/>
          </w:tcPr>
          <w:p w14:paraId="73D8C4F7" w14:textId="77777777" w:rsidR="00FD0545" w:rsidRPr="00C376DE" w:rsidRDefault="00FD0545" w:rsidP="00026782">
            <w:pPr>
              <w:jc w:val="center"/>
              <w:rPr>
                <w:rFonts w:eastAsia="Calibri"/>
                <w:b/>
                <w:bCs/>
                <w:sz w:val="22"/>
                <w:szCs w:val="22"/>
              </w:rPr>
            </w:pPr>
            <w:r w:rsidRPr="00C376DE">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5E091C79" w14:textId="77777777" w:rsidR="00FD0545" w:rsidRPr="00C376DE" w:rsidRDefault="00FD0545" w:rsidP="00026782">
            <w:pPr>
              <w:jc w:val="center"/>
              <w:rPr>
                <w:rFonts w:eastAsia="Calibri"/>
                <w:b/>
                <w:bCs/>
                <w:sz w:val="22"/>
                <w:szCs w:val="22"/>
              </w:rPr>
            </w:pPr>
            <w:r w:rsidRPr="00C376DE">
              <w:rPr>
                <w:rFonts w:eastAsia="Calibri"/>
                <w:b/>
                <w:bCs/>
                <w:sz w:val="22"/>
                <w:szCs w:val="22"/>
              </w:rPr>
              <w:t>Mérésegység</w:t>
            </w:r>
          </w:p>
        </w:tc>
        <w:tc>
          <w:tcPr>
            <w:tcW w:w="1266" w:type="dxa"/>
            <w:tcBorders>
              <w:top w:val="single" w:sz="4" w:space="0" w:color="FFFFFF"/>
              <w:left w:val="nil"/>
              <w:right w:val="nil"/>
            </w:tcBorders>
            <w:shd w:val="clear" w:color="auto" w:fill="EDEDED"/>
          </w:tcPr>
          <w:p w14:paraId="1E962866" w14:textId="77777777" w:rsidR="00FD0545" w:rsidRPr="00C376DE" w:rsidRDefault="00FD0545" w:rsidP="00026782">
            <w:pPr>
              <w:jc w:val="center"/>
              <w:rPr>
                <w:rFonts w:eastAsia="Calibri"/>
                <w:b/>
                <w:bCs/>
                <w:sz w:val="22"/>
                <w:szCs w:val="22"/>
              </w:rPr>
            </w:pPr>
            <w:r w:rsidRPr="00C376DE">
              <w:rPr>
                <w:rFonts w:eastAsia="Calibri"/>
                <w:b/>
                <w:bCs/>
                <w:sz w:val="22"/>
                <w:szCs w:val="22"/>
              </w:rPr>
              <w:t>Egységpont</w:t>
            </w:r>
          </w:p>
        </w:tc>
        <w:tc>
          <w:tcPr>
            <w:tcW w:w="2508" w:type="dxa"/>
            <w:tcBorders>
              <w:top w:val="single" w:sz="4" w:space="0" w:color="FFFFFF"/>
              <w:left w:val="nil"/>
              <w:right w:val="single" w:sz="4" w:space="0" w:color="FFFFFF"/>
            </w:tcBorders>
            <w:shd w:val="clear" w:color="auto" w:fill="EDEDED"/>
          </w:tcPr>
          <w:p w14:paraId="01988DC0" w14:textId="77777777" w:rsidR="00FD0545" w:rsidRPr="00C376DE" w:rsidRDefault="00FD0545" w:rsidP="00026782">
            <w:pPr>
              <w:jc w:val="center"/>
              <w:rPr>
                <w:rFonts w:eastAsia="Calibri"/>
                <w:b/>
                <w:bCs/>
                <w:sz w:val="22"/>
                <w:szCs w:val="22"/>
              </w:rPr>
            </w:pPr>
            <w:r w:rsidRPr="00C376DE">
              <w:rPr>
                <w:rFonts w:eastAsia="Calibri"/>
                <w:b/>
                <w:bCs/>
                <w:sz w:val="22"/>
                <w:szCs w:val="22"/>
              </w:rPr>
              <w:t>Maximum pont</w:t>
            </w:r>
          </w:p>
        </w:tc>
      </w:tr>
      <w:tr w:rsidR="00FD0545" w:rsidRPr="00C376DE" w14:paraId="15A2BB8D" w14:textId="77777777" w:rsidTr="00026782">
        <w:trPr>
          <w:jc w:val="center"/>
        </w:trPr>
        <w:tc>
          <w:tcPr>
            <w:tcW w:w="3592" w:type="dxa"/>
            <w:shd w:val="clear" w:color="auto" w:fill="EDEDED"/>
          </w:tcPr>
          <w:p w14:paraId="35B9E435" w14:textId="77777777" w:rsidR="00FD0545" w:rsidRPr="00C376DE" w:rsidRDefault="00FD0545" w:rsidP="00026782">
            <w:pPr>
              <w:rPr>
                <w:rFonts w:eastAsia="Calibri"/>
                <w:sz w:val="22"/>
                <w:szCs w:val="22"/>
              </w:rPr>
            </w:pPr>
            <w:r w:rsidRPr="00C376DE">
              <w:rPr>
                <w:rFonts w:eastAsia="Calibri"/>
                <w:sz w:val="22"/>
                <w:szCs w:val="22"/>
              </w:rPr>
              <w:t>Új írásbeli kollokviumi teszt-jellegű vizsgadolgozat összeállítása</w:t>
            </w:r>
          </w:p>
        </w:tc>
        <w:tc>
          <w:tcPr>
            <w:tcW w:w="1418" w:type="dxa"/>
            <w:shd w:val="clear" w:color="auto" w:fill="EDEDED"/>
          </w:tcPr>
          <w:p w14:paraId="3774A6A9" w14:textId="77777777" w:rsidR="00FD0545" w:rsidRPr="00C376DE" w:rsidRDefault="00FD0545" w:rsidP="00026782">
            <w:pPr>
              <w:jc w:val="center"/>
              <w:rPr>
                <w:rFonts w:eastAsia="Calibri"/>
                <w:sz w:val="22"/>
                <w:szCs w:val="22"/>
              </w:rPr>
            </w:pPr>
            <w:r w:rsidRPr="00C376DE">
              <w:rPr>
                <w:rFonts w:eastAsia="Calibri"/>
                <w:sz w:val="22"/>
                <w:szCs w:val="22"/>
              </w:rPr>
              <w:t>feladatsor</w:t>
            </w:r>
          </w:p>
        </w:tc>
        <w:tc>
          <w:tcPr>
            <w:tcW w:w="1266" w:type="dxa"/>
            <w:shd w:val="clear" w:color="auto" w:fill="EDEDED"/>
          </w:tcPr>
          <w:p w14:paraId="112A8055" w14:textId="77777777" w:rsidR="00FD0545" w:rsidRPr="00C376DE" w:rsidRDefault="00FD0545" w:rsidP="00026782">
            <w:pPr>
              <w:jc w:val="center"/>
              <w:rPr>
                <w:rFonts w:eastAsia="Calibri"/>
                <w:sz w:val="22"/>
                <w:szCs w:val="22"/>
              </w:rPr>
            </w:pPr>
            <w:r w:rsidRPr="00C376DE">
              <w:rPr>
                <w:rFonts w:eastAsia="Calibri"/>
                <w:sz w:val="22"/>
                <w:szCs w:val="22"/>
              </w:rPr>
              <w:t>4 pont</w:t>
            </w:r>
          </w:p>
        </w:tc>
        <w:tc>
          <w:tcPr>
            <w:tcW w:w="2508" w:type="dxa"/>
            <w:shd w:val="clear" w:color="auto" w:fill="EDEDED"/>
          </w:tcPr>
          <w:p w14:paraId="2689F5AD" w14:textId="77777777" w:rsidR="00FD0545" w:rsidRPr="00C376DE" w:rsidRDefault="00FD0545" w:rsidP="00026782">
            <w:pPr>
              <w:rPr>
                <w:rFonts w:eastAsia="Calibri"/>
                <w:sz w:val="22"/>
                <w:szCs w:val="22"/>
              </w:rPr>
            </w:pPr>
            <w:proofErr w:type="gramStart"/>
            <w:r w:rsidRPr="00C376DE">
              <w:rPr>
                <w:rFonts w:eastAsia="Calibri"/>
                <w:sz w:val="22"/>
                <w:szCs w:val="22"/>
              </w:rPr>
              <w:t>Kurzusonként</w:t>
            </w:r>
            <w:proofErr w:type="gramEnd"/>
            <w:r w:rsidRPr="00C376DE">
              <w:rPr>
                <w:rFonts w:eastAsia="Calibri"/>
                <w:sz w:val="22"/>
                <w:szCs w:val="22"/>
              </w:rPr>
              <w:t xml:space="preserve"> legfeljebb 8 pont, összesen maximum 30 pont</w:t>
            </w:r>
          </w:p>
        </w:tc>
      </w:tr>
      <w:tr w:rsidR="00FD0545" w:rsidRPr="00C376DE" w14:paraId="089DBC1A" w14:textId="77777777" w:rsidTr="00026782">
        <w:trPr>
          <w:jc w:val="center"/>
        </w:trPr>
        <w:tc>
          <w:tcPr>
            <w:tcW w:w="3592" w:type="dxa"/>
            <w:shd w:val="clear" w:color="auto" w:fill="EDEDED"/>
          </w:tcPr>
          <w:p w14:paraId="1F01D190" w14:textId="77777777" w:rsidR="00FD0545" w:rsidRPr="00C376DE" w:rsidRDefault="00FD0545" w:rsidP="00026782">
            <w:pPr>
              <w:rPr>
                <w:rFonts w:eastAsia="Calibri"/>
                <w:sz w:val="22"/>
                <w:szCs w:val="22"/>
              </w:rPr>
            </w:pPr>
            <w:r w:rsidRPr="00C376DE">
              <w:rPr>
                <w:rFonts w:eastAsia="Calibri"/>
                <w:sz w:val="22"/>
                <w:szCs w:val="22"/>
              </w:rPr>
              <w:lastRenderedPageBreak/>
              <w:t>Új írásbeli kollokviumi nyitott kérdéses vizsgadolgozat összeállítása és javítása</w:t>
            </w:r>
          </w:p>
        </w:tc>
        <w:tc>
          <w:tcPr>
            <w:tcW w:w="1418" w:type="dxa"/>
            <w:shd w:val="clear" w:color="auto" w:fill="EDEDED"/>
          </w:tcPr>
          <w:p w14:paraId="23D143C7" w14:textId="77777777" w:rsidR="00FD0545" w:rsidRPr="00C376DE" w:rsidRDefault="00FD0545" w:rsidP="00026782">
            <w:pPr>
              <w:jc w:val="center"/>
              <w:rPr>
                <w:rFonts w:eastAsia="Calibri"/>
                <w:sz w:val="22"/>
                <w:szCs w:val="22"/>
              </w:rPr>
            </w:pPr>
            <w:r w:rsidRPr="00C376DE">
              <w:rPr>
                <w:rFonts w:eastAsia="Calibri"/>
                <w:sz w:val="22"/>
                <w:szCs w:val="22"/>
              </w:rPr>
              <w:t>darab dolgozat</w:t>
            </w:r>
          </w:p>
        </w:tc>
        <w:tc>
          <w:tcPr>
            <w:tcW w:w="1266" w:type="dxa"/>
            <w:shd w:val="clear" w:color="auto" w:fill="EDEDED"/>
          </w:tcPr>
          <w:p w14:paraId="2E21E131" w14:textId="77777777" w:rsidR="00FD0545" w:rsidRPr="00C376DE" w:rsidRDefault="00FD0545" w:rsidP="00026782">
            <w:pPr>
              <w:jc w:val="center"/>
              <w:rPr>
                <w:rFonts w:eastAsia="Calibri"/>
                <w:sz w:val="22"/>
                <w:szCs w:val="22"/>
              </w:rPr>
            </w:pPr>
            <w:r w:rsidRPr="00C376DE">
              <w:rPr>
                <w:rFonts w:eastAsia="Calibri"/>
                <w:sz w:val="22"/>
                <w:szCs w:val="22"/>
              </w:rPr>
              <w:t>10 pont</w:t>
            </w:r>
          </w:p>
        </w:tc>
        <w:tc>
          <w:tcPr>
            <w:tcW w:w="2508" w:type="dxa"/>
            <w:shd w:val="clear" w:color="auto" w:fill="EDEDED"/>
          </w:tcPr>
          <w:p w14:paraId="64C8DB9B" w14:textId="77777777" w:rsidR="00FD0545" w:rsidRPr="00C376DE" w:rsidRDefault="00FD0545" w:rsidP="00026782">
            <w:pPr>
              <w:rPr>
                <w:rFonts w:eastAsia="Calibri"/>
                <w:sz w:val="22"/>
                <w:szCs w:val="22"/>
              </w:rPr>
            </w:pPr>
            <w:r w:rsidRPr="00C376DE">
              <w:rPr>
                <w:rFonts w:eastAsia="Calibri"/>
                <w:sz w:val="22"/>
                <w:szCs w:val="22"/>
              </w:rPr>
              <w:t>összesen maximum 40 pont</w:t>
            </w:r>
          </w:p>
        </w:tc>
      </w:tr>
    </w:tbl>
    <w:p w14:paraId="2645EF6A" w14:textId="77777777" w:rsidR="00FD0545" w:rsidRDefault="00FD0545" w:rsidP="00FD0545">
      <w:pPr>
        <w:spacing w:before="160"/>
        <w:jc w:val="both"/>
        <w:rPr>
          <w:rFonts w:eastAsia="Calibri"/>
          <w:sz w:val="22"/>
          <w:szCs w:val="22"/>
        </w:rPr>
      </w:pPr>
      <w:r w:rsidRPr="00E13CE5">
        <w:rPr>
          <w:rFonts w:eastAsia="Calibri"/>
          <w:sz w:val="22"/>
          <w:szCs w:val="22"/>
        </w:rPr>
        <w:t>Új dolgozatnak minősül, amennyiben a kérdések és/vagy válaszok 80%-</w:t>
      </w:r>
      <w:proofErr w:type="gramStart"/>
      <w:r w:rsidRPr="00E13CE5">
        <w:rPr>
          <w:rFonts w:eastAsia="Calibri"/>
          <w:sz w:val="22"/>
          <w:szCs w:val="22"/>
        </w:rPr>
        <w:t>a</w:t>
      </w:r>
      <w:proofErr w:type="gramEnd"/>
      <w:r w:rsidRPr="00E13CE5">
        <w:rPr>
          <w:rFonts w:eastAsia="Calibri"/>
          <w:sz w:val="22"/>
          <w:szCs w:val="22"/>
        </w:rPr>
        <w:t xml:space="preserve"> új, nem ideértve a válaszok sorrendjének módosulását. Új dolgozatként és nyitott kérdésekből álló kollokviumi dolgozatért történő TÉR pont megszerzésének feltétele az elszámolás alapját jelentő valamennyi feladatsor feltöltése az online rendszerbe. Az értékelés alapjául szolgáló adatok forrása, az adatnyerés módja:</w:t>
      </w:r>
    </w:p>
    <w:p w14:paraId="63FE714C" w14:textId="77777777" w:rsidR="00FD0545" w:rsidRPr="00E13CE5" w:rsidRDefault="00FD0545" w:rsidP="00FD0545">
      <w:pPr>
        <w:spacing w:before="160"/>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51F4EF07" w14:textId="77777777" w:rsidTr="00026782">
        <w:tc>
          <w:tcPr>
            <w:tcW w:w="1980" w:type="dxa"/>
            <w:shd w:val="clear" w:color="auto" w:fill="F2F2F2"/>
          </w:tcPr>
          <w:p w14:paraId="334D6EDD"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CA2F099" w14:textId="77777777" w:rsidR="00FD0545" w:rsidRPr="00C376DE" w:rsidRDefault="00FD0545" w:rsidP="00026782">
            <w:pPr>
              <w:rPr>
                <w:rFonts w:eastAsia="Calibri"/>
                <w:b/>
                <w:bCs/>
                <w:sz w:val="22"/>
                <w:szCs w:val="22"/>
              </w:rPr>
            </w:pPr>
            <w:r w:rsidRPr="00C376DE">
              <w:rPr>
                <w:rFonts w:eastAsia="Calibri"/>
                <w:b/>
                <w:bCs/>
                <w:sz w:val="22"/>
                <w:szCs w:val="22"/>
              </w:rPr>
              <w:t xml:space="preserve">Új dolgozatként jelzett dolgozat </w:t>
            </w:r>
            <w:proofErr w:type="spellStart"/>
            <w:r w:rsidRPr="00C376DE">
              <w:rPr>
                <w:rFonts w:eastAsia="Calibri"/>
                <w:b/>
                <w:bCs/>
                <w:sz w:val="22"/>
                <w:szCs w:val="22"/>
              </w:rPr>
              <w:t>pdf</w:t>
            </w:r>
            <w:proofErr w:type="spellEnd"/>
            <w:r w:rsidRPr="00C376DE">
              <w:rPr>
                <w:rFonts w:eastAsia="Calibri"/>
                <w:b/>
                <w:bCs/>
                <w:sz w:val="22"/>
                <w:szCs w:val="22"/>
              </w:rPr>
              <w:t xml:space="preserve"> változatának feltöltése az értékelési rendszerbe </w:t>
            </w:r>
          </w:p>
        </w:tc>
      </w:tr>
      <w:tr w:rsidR="00FD0545" w:rsidRPr="00C376DE" w14:paraId="5DE35A00" w14:textId="77777777" w:rsidTr="00026782">
        <w:tc>
          <w:tcPr>
            <w:tcW w:w="1980" w:type="dxa"/>
            <w:shd w:val="clear" w:color="auto" w:fill="F2F2F2"/>
          </w:tcPr>
          <w:p w14:paraId="3C82CA64"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09B38EC" w14:textId="77777777" w:rsidR="00FD0545" w:rsidRPr="00C376DE" w:rsidRDefault="00FD0545" w:rsidP="00026782">
            <w:pPr>
              <w:rPr>
                <w:rFonts w:eastAsia="Calibri"/>
                <w:b/>
                <w:bCs/>
                <w:sz w:val="22"/>
                <w:szCs w:val="22"/>
              </w:rPr>
            </w:pPr>
            <w:r w:rsidRPr="00C376DE">
              <w:rPr>
                <w:rFonts w:eastAsia="Calibri"/>
                <w:b/>
                <w:bCs/>
                <w:sz w:val="22"/>
                <w:szCs w:val="22"/>
              </w:rPr>
              <w:t>Értékelt önbevallása (É/1. melléklet)</w:t>
            </w:r>
          </w:p>
        </w:tc>
      </w:tr>
      <w:tr w:rsidR="00FD0545" w:rsidRPr="00C376DE" w14:paraId="7986ACC7" w14:textId="77777777" w:rsidTr="00026782">
        <w:tc>
          <w:tcPr>
            <w:tcW w:w="1980" w:type="dxa"/>
            <w:shd w:val="clear" w:color="auto" w:fill="F2F2F2"/>
          </w:tcPr>
          <w:p w14:paraId="7600888A"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D8319EF" w14:textId="77777777" w:rsidR="00FD0545" w:rsidRPr="00C376DE" w:rsidRDefault="00FD0545" w:rsidP="00026782">
            <w:pPr>
              <w:rPr>
                <w:rFonts w:eastAsia="Calibri"/>
                <w:b/>
                <w:bCs/>
                <w:sz w:val="22"/>
                <w:szCs w:val="22"/>
              </w:rPr>
            </w:pPr>
            <w:r w:rsidRPr="00C376DE">
              <w:rPr>
                <w:rFonts w:eastAsia="Calibri"/>
                <w:b/>
                <w:bCs/>
                <w:sz w:val="22"/>
                <w:szCs w:val="22"/>
              </w:rPr>
              <w:t>Értékelt</w:t>
            </w:r>
          </w:p>
        </w:tc>
      </w:tr>
    </w:tbl>
    <w:p w14:paraId="3E9F4F05"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592"/>
        <w:gridCol w:w="1418"/>
        <w:gridCol w:w="1304"/>
        <w:gridCol w:w="2508"/>
      </w:tblGrid>
      <w:tr w:rsidR="00FD0545" w:rsidRPr="004B2939" w14:paraId="7795A3CF" w14:textId="77777777" w:rsidTr="00026782">
        <w:trPr>
          <w:jc w:val="center"/>
        </w:trPr>
        <w:tc>
          <w:tcPr>
            <w:tcW w:w="3592" w:type="dxa"/>
            <w:tcBorders>
              <w:top w:val="single" w:sz="4" w:space="0" w:color="FFFFFF"/>
              <w:left w:val="single" w:sz="4" w:space="0" w:color="FFFFFF"/>
              <w:right w:val="nil"/>
            </w:tcBorders>
            <w:shd w:val="clear" w:color="auto" w:fill="EDEDED"/>
          </w:tcPr>
          <w:p w14:paraId="00A74F0F" w14:textId="77777777" w:rsidR="00FD0545" w:rsidRPr="004B2939" w:rsidRDefault="00FD0545" w:rsidP="00026782">
            <w:pPr>
              <w:jc w:val="center"/>
              <w:rPr>
                <w:rFonts w:eastAsia="Calibri"/>
                <w:b/>
                <w:bCs/>
                <w:sz w:val="22"/>
                <w:szCs w:val="22"/>
              </w:rPr>
            </w:pPr>
            <w:r w:rsidRPr="004B2939">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2D909691" w14:textId="77777777" w:rsidR="00FD0545" w:rsidRPr="004B2939" w:rsidRDefault="00FD0545" w:rsidP="00026782">
            <w:pPr>
              <w:jc w:val="center"/>
              <w:rPr>
                <w:rFonts w:eastAsia="Calibri"/>
                <w:b/>
                <w:bCs/>
                <w:sz w:val="22"/>
                <w:szCs w:val="22"/>
              </w:rPr>
            </w:pPr>
            <w:r w:rsidRPr="004B2939">
              <w:rPr>
                <w:rFonts w:eastAsia="Calibri"/>
                <w:b/>
                <w:bCs/>
                <w:sz w:val="22"/>
                <w:szCs w:val="22"/>
              </w:rPr>
              <w:t>Mérésegység</w:t>
            </w:r>
          </w:p>
        </w:tc>
        <w:tc>
          <w:tcPr>
            <w:tcW w:w="1266" w:type="dxa"/>
            <w:tcBorders>
              <w:top w:val="single" w:sz="4" w:space="0" w:color="FFFFFF"/>
              <w:left w:val="nil"/>
              <w:right w:val="nil"/>
            </w:tcBorders>
            <w:shd w:val="clear" w:color="auto" w:fill="EDEDED"/>
          </w:tcPr>
          <w:p w14:paraId="1EED0149" w14:textId="77777777" w:rsidR="00FD0545" w:rsidRPr="004B2939" w:rsidRDefault="00FD0545" w:rsidP="00026782">
            <w:pPr>
              <w:jc w:val="center"/>
              <w:rPr>
                <w:rFonts w:eastAsia="Calibri"/>
                <w:b/>
                <w:bCs/>
                <w:sz w:val="22"/>
                <w:szCs w:val="22"/>
              </w:rPr>
            </w:pPr>
            <w:r w:rsidRPr="004B2939">
              <w:rPr>
                <w:rFonts w:eastAsia="Calibri"/>
                <w:b/>
                <w:bCs/>
                <w:sz w:val="22"/>
                <w:szCs w:val="22"/>
              </w:rPr>
              <w:t>Egységpont</w:t>
            </w:r>
          </w:p>
        </w:tc>
        <w:tc>
          <w:tcPr>
            <w:tcW w:w="2508" w:type="dxa"/>
            <w:tcBorders>
              <w:top w:val="single" w:sz="4" w:space="0" w:color="FFFFFF"/>
              <w:left w:val="nil"/>
              <w:right w:val="single" w:sz="4" w:space="0" w:color="FFFFFF"/>
            </w:tcBorders>
            <w:shd w:val="clear" w:color="auto" w:fill="EDEDED"/>
          </w:tcPr>
          <w:p w14:paraId="05570CE0" w14:textId="77777777" w:rsidR="00FD0545" w:rsidRPr="004B2939" w:rsidRDefault="00FD0545" w:rsidP="00026782">
            <w:pPr>
              <w:jc w:val="center"/>
              <w:rPr>
                <w:rFonts w:eastAsia="Calibri"/>
                <w:b/>
                <w:bCs/>
                <w:sz w:val="22"/>
                <w:szCs w:val="22"/>
              </w:rPr>
            </w:pPr>
            <w:r w:rsidRPr="004B2939">
              <w:rPr>
                <w:rFonts w:eastAsia="Calibri"/>
                <w:b/>
                <w:bCs/>
                <w:sz w:val="22"/>
                <w:szCs w:val="22"/>
              </w:rPr>
              <w:t>Maximum pont</w:t>
            </w:r>
          </w:p>
        </w:tc>
      </w:tr>
      <w:tr w:rsidR="00FD0545" w:rsidRPr="00C376DE" w14:paraId="109B71BC" w14:textId="77777777" w:rsidTr="00026782">
        <w:trPr>
          <w:jc w:val="center"/>
        </w:trPr>
        <w:tc>
          <w:tcPr>
            <w:tcW w:w="3592" w:type="dxa"/>
            <w:shd w:val="clear" w:color="auto" w:fill="EDEDED"/>
          </w:tcPr>
          <w:p w14:paraId="42BA27C2" w14:textId="77777777" w:rsidR="00FD0545" w:rsidRPr="00C376DE" w:rsidRDefault="00FD0545" w:rsidP="00026782">
            <w:pPr>
              <w:rPr>
                <w:rFonts w:eastAsia="Calibri"/>
                <w:sz w:val="22"/>
                <w:szCs w:val="22"/>
              </w:rPr>
            </w:pPr>
            <w:r w:rsidRPr="00C376DE">
              <w:rPr>
                <w:rFonts w:eastAsia="Calibri"/>
                <w:sz w:val="22"/>
                <w:szCs w:val="22"/>
              </w:rPr>
              <w:t>Írábeli kollokviumi dolgozat lektorálása (kizárólag vezető oktatók esetében ismerhető el)</w:t>
            </w:r>
          </w:p>
        </w:tc>
        <w:tc>
          <w:tcPr>
            <w:tcW w:w="1418" w:type="dxa"/>
            <w:shd w:val="clear" w:color="auto" w:fill="EDEDED"/>
          </w:tcPr>
          <w:p w14:paraId="7A9420C1" w14:textId="77777777" w:rsidR="00FD0545" w:rsidRPr="00C376DE" w:rsidRDefault="00FD0545" w:rsidP="00026782">
            <w:pPr>
              <w:jc w:val="center"/>
              <w:rPr>
                <w:rFonts w:eastAsia="Calibri"/>
                <w:sz w:val="22"/>
                <w:szCs w:val="22"/>
              </w:rPr>
            </w:pPr>
            <w:r w:rsidRPr="00C376DE">
              <w:rPr>
                <w:rFonts w:eastAsia="Calibri"/>
                <w:sz w:val="22"/>
                <w:szCs w:val="22"/>
              </w:rPr>
              <w:t>feladatsor</w:t>
            </w:r>
          </w:p>
        </w:tc>
        <w:tc>
          <w:tcPr>
            <w:tcW w:w="1266" w:type="dxa"/>
            <w:shd w:val="clear" w:color="auto" w:fill="EDEDED"/>
          </w:tcPr>
          <w:p w14:paraId="1FB97FCE" w14:textId="77777777" w:rsidR="00FD0545" w:rsidRPr="00C376DE" w:rsidRDefault="00FD0545" w:rsidP="00026782">
            <w:pPr>
              <w:jc w:val="center"/>
              <w:rPr>
                <w:rFonts w:eastAsia="Calibri"/>
                <w:sz w:val="22"/>
                <w:szCs w:val="22"/>
              </w:rPr>
            </w:pPr>
            <w:r w:rsidRPr="00C376DE">
              <w:rPr>
                <w:rFonts w:eastAsia="Calibri"/>
                <w:sz w:val="22"/>
                <w:szCs w:val="22"/>
              </w:rPr>
              <w:t>4 pont</w:t>
            </w:r>
          </w:p>
        </w:tc>
        <w:tc>
          <w:tcPr>
            <w:tcW w:w="2508" w:type="dxa"/>
            <w:shd w:val="clear" w:color="auto" w:fill="EDEDED"/>
          </w:tcPr>
          <w:p w14:paraId="2A68C6B2" w14:textId="77777777" w:rsidR="00FD0545" w:rsidRPr="00C376DE" w:rsidRDefault="00FD0545" w:rsidP="00026782">
            <w:pPr>
              <w:rPr>
                <w:rFonts w:eastAsia="Calibri"/>
                <w:sz w:val="22"/>
                <w:szCs w:val="22"/>
              </w:rPr>
            </w:pPr>
            <w:r w:rsidRPr="00C376DE">
              <w:rPr>
                <w:rFonts w:eastAsia="Calibri"/>
                <w:sz w:val="22"/>
                <w:szCs w:val="22"/>
              </w:rPr>
              <w:t>összesen maximum 30 pont</w:t>
            </w:r>
          </w:p>
        </w:tc>
      </w:tr>
    </w:tbl>
    <w:p w14:paraId="3666EF52"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2E7F325D" w14:textId="77777777" w:rsidTr="00026782">
        <w:tc>
          <w:tcPr>
            <w:tcW w:w="1980" w:type="dxa"/>
            <w:shd w:val="clear" w:color="auto" w:fill="F2F2F2"/>
          </w:tcPr>
          <w:p w14:paraId="25F7F535"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486B29E" w14:textId="77777777" w:rsidR="00FD0545" w:rsidRPr="00C376DE" w:rsidRDefault="00FD0545" w:rsidP="00026782">
            <w:pPr>
              <w:rPr>
                <w:rFonts w:eastAsia="Calibri"/>
                <w:b/>
                <w:bCs/>
                <w:sz w:val="22"/>
                <w:szCs w:val="22"/>
              </w:rPr>
            </w:pPr>
            <w:r w:rsidRPr="00C376DE">
              <w:rPr>
                <w:rFonts w:eastAsia="Calibri"/>
                <w:b/>
                <w:bCs/>
                <w:sz w:val="22"/>
                <w:szCs w:val="22"/>
              </w:rPr>
              <w:t>Értékelt vezető oktató írásos nyilatkozata az intézeti referensnek</w:t>
            </w:r>
          </w:p>
        </w:tc>
      </w:tr>
      <w:tr w:rsidR="00FD0545" w:rsidRPr="00C376DE" w14:paraId="3FE08CD5" w14:textId="77777777" w:rsidTr="00026782">
        <w:tc>
          <w:tcPr>
            <w:tcW w:w="1980" w:type="dxa"/>
            <w:shd w:val="clear" w:color="auto" w:fill="F2F2F2"/>
          </w:tcPr>
          <w:p w14:paraId="60BBE0E4"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22AF7321"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7528A984" w14:textId="77777777" w:rsidTr="00026782">
        <w:tc>
          <w:tcPr>
            <w:tcW w:w="1980" w:type="dxa"/>
            <w:shd w:val="clear" w:color="auto" w:fill="F2F2F2"/>
          </w:tcPr>
          <w:p w14:paraId="2487AB09"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3B94214"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33FC2C42"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592"/>
        <w:gridCol w:w="1418"/>
        <w:gridCol w:w="1537"/>
        <w:gridCol w:w="1953"/>
      </w:tblGrid>
      <w:tr w:rsidR="00FD0545" w:rsidRPr="004B2939" w14:paraId="068DAB50" w14:textId="77777777" w:rsidTr="00026782">
        <w:trPr>
          <w:tblHeader/>
          <w:jc w:val="center"/>
        </w:trPr>
        <w:tc>
          <w:tcPr>
            <w:tcW w:w="3592" w:type="dxa"/>
            <w:tcBorders>
              <w:top w:val="single" w:sz="4" w:space="0" w:color="FFFFFF"/>
              <w:left w:val="single" w:sz="4" w:space="0" w:color="FFFFFF"/>
              <w:right w:val="nil"/>
            </w:tcBorders>
            <w:shd w:val="clear" w:color="auto" w:fill="EDEDED"/>
          </w:tcPr>
          <w:p w14:paraId="6C3AAAD4" w14:textId="77777777" w:rsidR="00FD0545" w:rsidRPr="004B2939" w:rsidRDefault="00FD0545" w:rsidP="00026782">
            <w:pPr>
              <w:jc w:val="center"/>
              <w:rPr>
                <w:rFonts w:eastAsia="Calibri"/>
                <w:b/>
                <w:bCs/>
                <w:sz w:val="22"/>
                <w:szCs w:val="22"/>
              </w:rPr>
            </w:pPr>
            <w:r w:rsidRPr="004B2939">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21B87277" w14:textId="77777777" w:rsidR="00FD0545" w:rsidRPr="004B2939" w:rsidRDefault="00FD0545" w:rsidP="00026782">
            <w:pPr>
              <w:jc w:val="center"/>
              <w:rPr>
                <w:rFonts w:eastAsia="Calibri"/>
                <w:b/>
                <w:bCs/>
                <w:sz w:val="22"/>
                <w:szCs w:val="22"/>
              </w:rPr>
            </w:pPr>
            <w:r w:rsidRPr="004B2939">
              <w:rPr>
                <w:rFonts w:eastAsia="Calibri"/>
                <w:b/>
                <w:bCs/>
                <w:sz w:val="22"/>
                <w:szCs w:val="22"/>
              </w:rPr>
              <w:t>Mérésegység</w:t>
            </w:r>
          </w:p>
        </w:tc>
        <w:tc>
          <w:tcPr>
            <w:tcW w:w="1537" w:type="dxa"/>
            <w:tcBorders>
              <w:top w:val="single" w:sz="4" w:space="0" w:color="FFFFFF"/>
              <w:left w:val="nil"/>
              <w:right w:val="nil"/>
            </w:tcBorders>
            <w:shd w:val="clear" w:color="auto" w:fill="EDEDED"/>
          </w:tcPr>
          <w:p w14:paraId="3C0C04FD" w14:textId="77777777" w:rsidR="00FD0545" w:rsidRPr="004B2939" w:rsidRDefault="00FD0545" w:rsidP="00026782">
            <w:pPr>
              <w:jc w:val="center"/>
              <w:rPr>
                <w:rFonts w:eastAsia="Calibri"/>
                <w:b/>
                <w:bCs/>
                <w:sz w:val="22"/>
                <w:szCs w:val="22"/>
              </w:rPr>
            </w:pPr>
            <w:r w:rsidRPr="004B2939">
              <w:rPr>
                <w:rFonts w:eastAsia="Calibri"/>
                <w:b/>
                <w:bCs/>
                <w:sz w:val="22"/>
                <w:szCs w:val="22"/>
              </w:rPr>
              <w:t>Egységpont</w:t>
            </w:r>
          </w:p>
        </w:tc>
        <w:tc>
          <w:tcPr>
            <w:tcW w:w="1953" w:type="dxa"/>
            <w:tcBorders>
              <w:top w:val="single" w:sz="4" w:space="0" w:color="FFFFFF"/>
              <w:left w:val="nil"/>
              <w:right w:val="single" w:sz="4" w:space="0" w:color="FFFFFF"/>
            </w:tcBorders>
            <w:shd w:val="clear" w:color="auto" w:fill="EDEDED"/>
          </w:tcPr>
          <w:p w14:paraId="34283BDF" w14:textId="77777777" w:rsidR="00FD0545" w:rsidRPr="004B2939" w:rsidRDefault="00FD0545" w:rsidP="00026782">
            <w:pPr>
              <w:jc w:val="center"/>
              <w:rPr>
                <w:rFonts w:eastAsia="Calibri"/>
                <w:b/>
                <w:bCs/>
                <w:sz w:val="22"/>
                <w:szCs w:val="22"/>
              </w:rPr>
            </w:pPr>
            <w:r w:rsidRPr="004B2939">
              <w:rPr>
                <w:rFonts w:eastAsia="Calibri"/>
                <w:b/>
                <w:bCs/>
                <w:sz w:val="22"/>
                <w:szCs w:val="22"/>
              </w:rPr>
              <w:t>Maximum pont</w:t>
            </w:r>
          </w:p>
        </w:tc>
      </w:tr>
      <w:tr w:rsidR="00FD0545" w:rsidRPr="00C376DE" w14:paraId="5947823B" w14:textId="77777777" w:rsidTr="00026782">
        <w:trPr>
          <w:jc w:val="center"/>
        </w:trPr>
        <w:tc>
          <w:tcPr>
            <w:tcW w:w="3592" w:type="dxa"/>
            <w:shd w:val="clear" w:color="auto" w:fill="EDEDED"/>
          </w:tcPr>
          <w:p w14:paraId="03F1D29D" w14:textId="77777777" w:rsidR="00FD0545" w:rsidRPr="00C376DE" w:rsidRDefault="00FD0545" w:rsidP="00026782">
            <w:pPr>
              <w:rPr>
                <w:rFonts w:eastAsia="Calibri"/>
                <w:sz w:val="22"/>
                <w:szCs w:val="22"/>
              </w:rPr>
            </w:pPr>
            <w:r w:rsidRPr="00C376DE">
              <w:rPr>
                <w:rFonts w:eastAsia="Calibri"/>
                <w:sz w:val="22"/>
                <w:szCs w:val="22"/>
              </w:rPr>
              <w:t>Szigorlati bizottsági tagság</w:t>
            </w:r>
          </w:p>
        </w:tc>
        <w:tc>
          <w:tcPr>
            <w:tcW w:w="1418" w:type="dxa"/>
            <w:shd w:val="clear" w:color="auto" w:fill="EDEDED"/>
          </w:tcPr>
          <w:p w14:paraId="6F298D80" w14:textId="77777777" w:rsidR="00FD0545" w:rsidRPr="00C376DE" w:rsidRDefault="00FD0545" w:rsidP="00026782">
            <w:pPr>
              <w:jc w:val="center"/>
              <w:rPr>
                <w:rFonts w:eastAsia="Calibri"/>
                <w:sz w:val="22"/>
                <w:szCs w:val="22"/>
              </w:rPr>
            </w:pPr>
            <w:r w:rsidRPr="00C376DE">
              <w:rPr>
                <w:rFonts w:eastAsia="Calibri"/>
                <w:sz w:val="22"/>
                <w:szCs w:val="22"/>
              </w:rPr>
              <w:t>hallgató</w:t>
            </w:r>
          </w:p>
        </w:tc>
        <w:tc>
          <w:tcPr>
            <w:tcW w:w="1537" w:type="dxa"/>
            <w:shd w:val="clear" w:color="auto" w:fill="EDEDED"/>
          </w:tcPr>
          <w:p w14:paraId="282657BF" w14:textId="77777777" w:rsidR="00FD0545" w:rsidRPr="00C376DE" w:rsidRDefault="00FD0545" w:rsidP="00026782">
            <w:pPr>
              <w:jc w:val="center"/>
              <w:rPr>
                <w:rFonts w:eastAsia="Calibri"/>
                <w:sz w:val="22"/>
                <w:szCs w:val="22"/>
              </w:rPr>
            </w:pPr>
            <w:r w:rsidRPr="00C376DE">
              <w:rPr>
                <w:rFonts w:eastAsia="Calibri"/>
                <w:sz w:val="22"/>
                <w:szCs w:val="22"/>
              </w:rPr>
              <w:t>0,5 pont</w:t>
            </w:r>
          </w:p>
        </w:tc>
        <w:tc>
          <w:tcPr>
            <w:tcW w:w="1953" w:type="dxa"/>
            <w:shd w:val="clear" w:color="auto" w:fill="EDEDED"/>
          </w:tcPr>
          <w:p w14:paraId="6200F1C2" w14:textId="77777777" w:rsidR="00FD0545" w:rsidRPr="00C376DE" w:rsidRDefault="00FD0545" w:rsidP="00026782">
            <w:pPr>
              <w:rPr>
                <w:rFonts w:eastAsia="Calibri"/>
                <w:sz w:val="22"/>
                <w:szCs w:val="22"/>
              </w:rPr>
            </w:pPr>
            <w:r w:rsidRPr="00C376DE">
              <w:rPr>
                <w:rFonts w:eastAsia="Calibri"/>
                <w:sz w:val="22"/>
                <w:szCs w:val="22"/>
              </w:rPr>
              <w:t>Összesen maximum 20 pont</w:t>
            </w:r>
          </w:p>
        </w:tc>
      </w:tr>
      <w:tr w:rsidR="00FD0545" w:rsidRPr="00C376DE" w14:paraId="2F35DADC" w14:textId="77777777" w:rsidTr="00026782">
        <w:trPr>
          <w:jc w:val="center"/>
        </w:trPr>
        <w:tc>
          <w:tcPr>
            <w:tcW w:w="3592" w:type="dxa"/>
            <w:shd w:val="clear" w:color="auto" w:fill="EDEDED"/>
          </w:tcPr>
          <w:p w14:paraId="275BFAB6" w14:textId="77777777" w:rsidR="00FD0545" w:rsidRPr="00C376DE" w:rsidRDefault="00FD0545" w:rsidP="00026782">
            <w:pPr>
              <w:rPr>
                <w:rFonts w:eastAsia="Calibri"/>
                <w:sz w:val="22"/>
                <w:szCs w:val="22"/>
              </w:rPr>
            </w:pPr>
            <w:r w:rsidRPr="00C376DE">
              <w:rPr>
                <w:rFonts w:eastAsia="Calibri"/>
                <w:sz w:val="22"/>
                <w:szCs w:val="22"/>
              </w:rPr>
              <w:t>Szigorlati elnöki tagság</w:t>
            </w:r>
          </w:p>
        </w:tc>
        <w:tc>
          <w:tcPr>
            <w:tcW w:w="1418" w:type="dxa"/>
            <w:shd w:val="clear" w:color="auto" w:fill="EDEDED"/>
          </w:tcPr>
          <w:p w14:paraId="0EADD377" w14:textId="77777777" w:rsidR="00FD0545" w:rsidRPr="00C376DE" w:rsidRDefault="00FD0545" w:rsidP="00026782">
            <w:pPr>
              <w:jc w:val="center"/>
              <w:rPr>
                <w:rFonts w:eastAsia="Calibri"/>
                <w:sz w:val="22"/>
                <w:szCs w:val="22"/>
              </w:rPr>
            </w:pPr>
            <w:r w:rsidRPr="00C376DE">
              <w:rPr>
                <w:rFonts w:eastAsia="Calibri"/>
                <w:sz w:val="22"/>
                <w:szCs w:val="22"/>
              </w:rPr>
              <w:t>hallgató</w:t>
            </w:r>
          </w:p>
        </w:tc>
        <w:tc>
          <w:tcPr>
            <w:tcW w:w="1537" w:type="dxa"/>
            <w:shd w:val="clear" w:color="auto" w:fill="EDEDED"/>
          </w:tcPr>
          <w:p w14:paraId="3D962A50"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953" w:type="dxa"/>
            <w:shd w:val="clear" w:color="auto" w:fill="EDEDED"/>
          </w:tcPr>
          <w:p w14:paraId="44E20DBD" w14:textId="77777777" w:rsidR="00FD0545" w:rsidRPr="00C376DE" w:rsidRDefault="00FD0545" w:rsidP="00026782">
            <w:pPr>
              <w:rPr>
                <w:rFonts w:eastAsia="Calibri"/>
                <w:sz w:val="22"/>
                <w:szCs w:val="22"/>
              </w:rPr>
            </w:pPr>
            <w:r w:rsidRPr="00C376DE">
              <w:rPr>
                <w:rFonts w:eastAsia="Calibri"/>
                <w:sz w:val="22"/>
                <w:szCs w:val="22"/>
              </w:rPr>
              <w:t>Összesen maximum 40 pont</w:t>
            </w:r>
          </w:p>
        </w:tc>
      </w:tr>
    </w:tbl>
    <w:p w14:paraId="401A0389" w14:textId="77777777" w:rsidR="00FD0545" w:rsidRPr="00E13CE5" w:rsidRDefault="00FD0545" w:rsidP="00FD0545">
      <w:pPr>
        <w:rPr>
          <w:rFonts w:eastAsia="Calibri"/>
          <w:sz w:val="22"/>
          <w:szCs w:val="22"/>
        </w:rPr>
      </w:pPr>
    </w:p>
    <w:p w14:paraId="410681E6"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VT TÉR= </m:t>
          </m:r>
          <m:nary>
            <m:naryPr>
              <m:chr m:val="∑"/>
              <m:limLoc m:val="undOvr"/>
              <m:subHide m:val="1"/>
              <m:supHide m:val="1"/>
              <m:ctrlPr>
                <w:rPr>
                  <w:rFonts w:ascii="Cambria Math" w:eastAsia="Calibri" w:hAnsi="Cambria Math"/>
                  <w:i/>
                  <w:sz w:val="22"/>
                  <w:szCs w:val="22"/>
                </w:rPr>
              </m:ctrlPr>
            </m:naryPr>
            <m:sub/>
            <m:sup/>
            <m:e>
              <m:r>
                <w:rPr>
                  <w:rFonts w:ascii="Cambria Math" w:eastAsia="Calibri" w:hAnsi="Cambria Math"/>
                  <w:sz w:val="22"/>
                  <w:szCs w:val="22"/>
                </w:rPr>
                <m:t>MÉRÉSEGYSÉG ×EGYSÉGPONT</m:t>
              </m:r>
            </m:e>
          </m:nary>
        </m:oMath>
      </m:oMathPara>
    </w:p>
    <w:p w14:paraId="31B23A4F" w14:textId="77777777" w:rsidR="00FD0545" w:rsidRPr="00E13CE5" w:rsidRDefault="00FD0545" w:rsidP="00FD0545">
      <w:pPr>
        <w:rPr>
          <w:rFonts w:eastAsia="Calibri"/>
          <w:sz w:val="22"/>
          <w:szCs w:val="22"/>
        </w:rPr>
      </w:pPr>
    </w:p>
    <w:p w14:paraId="1D73B5CE" w14:textId="77777777" w:rsidR="00FD0545" w:rsidRPr="00E13CE5" w:rsidRDefault="00FD0545" w:rsidP="00FD0545">
      <w:pPr>
        <w:rPr>
          <w:rFonts w:eastAsia="Calibri"/>
          <w:sz w:val="22"/>
          <w:szCs w:val="22"/>
        </w:rPr>
      </w:pPr>
      <w:r w:rsidRPr="00E13CE5">
        <w:rPr>
          <w:rFonts w:eastAsia="Calibri"/>
          <w:sz w:val="22"/>
          <w:szCs w:val="22"/>
        </w:rPr>
        <w:t>Ahol VT TÉR a vizsgatevékenységért megszerezhető TÉR pontok száma. Az értékelés alapjául szolgáló adatok forrása, az adatnyerés módja:</w:t>
      </w:r>
    </w:p>
    <w:p w14:paraId="7B124FC9" w14:textId="77777777" w:rsidR="00FD0545" w:rsidRPr="00E13CE5" w:rsidRDefault="00FD0545" w:rsidP="00FD0545">
      <w:pPr>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5E8F8280" w14:textId="77777777" w:rsidTr="00026782">
        <w:tc>
          <w:tcPr>
            <w:tcW w:w="1980" w:type="dxa"/>
            <w:shd w:val="clear" w:color="auto" w:fill="F2F2F2"/>
          </w:tcPr>
          <w:p w14:paraId="088BDBD1"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87C95E6" w14:textId="77777777" w:rsidR="00FD0545" w:rsidRPr="00C376DE" w:rsidRDefault="00FD0545" w:rsidP="00026782">
            <w:pPr>
              <w:rPr>
                <w:rFonts w:eastAsia="Calibri"/>
                <w:b/>
                <w:bCs/>
                <w:sz w:val="22"/>
                <w:szCs w:val="22"/>
              </w:rPr>
            </w:pPr>
            <w:proofErr w:type="spellStart"/>
            <w:r w:rsidRPr="00C376DE">
              <w:rPr>
                <w:rFonts w:eastAsia="Calibri"/>
                <w:b/>
                <w:bCs/>
                <w:sz w:val="22"/>
                <w:szCs w:val="22"/>
              </w:rPr>
              <w:t>Neptun</w:t>
            </w:r>
            <w:proofErr w:type="spellEnd"/>
            <w:r w:rsidRPr="00C376DE">
              <w:rPr>
                <w:rFonts w:eastAsia="Calibri"/>
                <w:b/>
                <w:bCs/>
                <w:sz w:val="22"/>
                <w:szCs w:val="22"/>
              </w:rPr>
              <w:t xml:space="preserve"> tanulmányi rendszer szigorlati vizsgalapjai</w:t>
            </w:r>
          </w:p>
        </w:tc>
      </w:tr>
      <w:tr w:rsidR="00FD0545" w:rsidRPr="00C376DE" w14:paraId="673C8EF2" w14:textId="77777777" w:rsidTr="00026782">
        <w:tc>
          <w:tcPr>
            <w:tcW w:w="1980" w:type="dxa"/>
            <w:shd w:val="clear" w:color="auto" w:fill="F2F2F2"/>
          </w:tcPr>
          <w:p w14:paraId="428E62B5"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B6D9D68" w14:textId="77777777" w:rsidR="00FD0545" w:rsidRPr="00C376DE" w:rsidRDefault="00FD0545" w:rsidP="00026782">
            <w:pPr>
              <w:rPr>
                <w:rFonts w:eastAsia="Calibri"/>
                <w:b/>
                <w:bCs/>
                <w:sz w:val="22"/>
                <w:szCs w:val="22"/>
              </w:rPr>
            </w:pPr>
            <w:r w:rsidRPr="00C376DE">
              <w:rPr>
                <w:rFonts w:eastAsia="Calibri"/>
                <w:b/>
                <w:bCs/>
                <w:sz w:val="22"/>
                <w:szCs w:val="22"/>
              </w:rPr>
              <w:t xml:space="preserve">Nyilvántartásból </w:t>
            </w:r>
            <w:proofErr w:type="gramStart"/>
            <w:r w:rsidRPr="00C376DE">
              <w:rPr>
                <w:rFonts w:eastAsia="Calibri"/>
                <w:b/>
                <w:bCs/>
                <w:sz w:val="22"/>
                <w:szCs w:val="22"/>
              </w:rPr>
              <w:t>automatikus</w:t>
            </w:r>
            <w:proofErr w:type="gramEnd"/>
            <w:r w:rsidRPr="00C376DE">
              <w:rPr>
                <w:rFonts w:eastAsia="Calibri"/>
                <w:b/>
                <w:bCs/>
                <w:sz w:val="22"/>
                <w:szCs w:val="22"/>
              </w:rPr>
              <w:t xml:space="preserve"> lekérdezés</w:t>
            </w:r>
          </w:p>
        </w:tc>
      </w:tr>
      <w:tr w:rsidR="00FD0545" w:rsidRPr="00C376DE" w14:paraId="3CC09505" w14:textId="77777777" w:rsidTr="00026782">
        <w:tc>
          <w:tcPr>
            <w:tcW w:w="1980" w:type="dxa"/>
            <w:shd w:val="clear" w:color="auto" w:fill="F2F2F2"/>
          </w:tcPr>
          <w:p w14:paraId="1944D6F9"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0F7C802" w14:textId="77777777" w:rsidR="00FD0545" w:rsidRPr="00C376DE" w:rsidRDefault="00FD0545" w:rsidP="00026782">
            <w:pPr>
              <w:rPr>
                <w:rFonts w:eastAsia="Calibri"/>
                <w:b/>
                <w:bCs/>
                <w:sz w:val="22"/>
                <w:szCs w:val="22"/>
              </w:rPr>
            </w:pPr>
            <w:r w:rsidRPr="00C376DE">
              <w:rPr>
                <w:rFonts w:eastAsia="Calibri"/>
                <w:b/>
                <w:bCs/>
                <w:sz w:val="22"/>
                <w:szCs w:val="22"/>
              </w:rPr>
              <w:t xml:space="preserve">Tanulmányi </w:t>
            </w:r>
            <w:proofErr w:type="gramStart"/>
            <w:r w:rsidRPr="00C376DE">
              <w:rPr>
                <w:rFonts w:eastAsia="Calibri"/>
                <w:b/>
                <w:bCs/>
                <w:sz w:val="22"/>
                <w:szCs w:val="22"/>
              </w:rPr>
              <w:t>rendszer működtetési</w:t>
            </w:r>
            <w:proofErr w:type="gramEnd"/>
            <w:r w:rsidRPr="00C376DE">
              <w:rPr>
                <w:rFonts w:eastAsia="Calibri"/>
                <w:b/>
                <w:bCs/>
                <w:sz w:val="22"/>
                <w:szCs w:val="22"/>
              </w:rPr>
              <w:t xml:space="preserve"> koordinátor</w:t>
            </w:r>
          </w:p>
        </w:tc>
      </w:tr>
    </w:tbl>
    <w:p w14:paraId="4321C5AC" w14:textId="77777777" w:rsidR="00FD0545" w:rsidRPr="00E13CE5" w:rsidRDefault="00FD0545" w:rsidP="00FD0545">
      <w:pPr>
        <w:spacing w:before="160"/>
        <w:jc w:val="both"/>
        <w:rPr>
          <w:rFonts w:eastAsia="Calibri"/>
          <w:b/>
          <w:bCs/>
          <w:sz w:val="22"/>
          <w:szCs w:val="22"/>
        </w:rPr>
      </w:pPr>
      <w:r w:rsidRPr="00E13CE5">
        <w:rPr>
          <w:b/>
          <w:bCs/>
          <w:sz w:val="22"/>
          <w:szCs w:val="22"/>
        </w:rPr>
        <w:t>Félévvégi vizsgáztatási tevékenységért járó többletpont legfeljebb 100 pont mértékig vehető figyelembe.</w:t>
      </w:r>
      <w:r w:rsidRPr="00E13CE5">
        <w:rPr>
          <w:rFonts w:eastAsia="Calibri"/>
          <w:b/>
          <w:bCs/>
          <w:sz w:val="22"/>
          <w:szCs w:val="22"/>
        </w:rPr>
        <w:t xml:space="preserve"> </w:t>
      </w:r>
    </w:p>
    <w:p w14:paraId="01A92929" w14:textId="77777777" w:rsidR="00FD0545" w:rsidRPr="004B2939" w:rsidRDefault="00FD0545" w:rsidP="00FD0545">
      <w:pPr>
        <w:ind w:left="1416"/>
        <w:rPr>
          <w:rFonts w:eastAsia="Calibri"/>
          <w:b/>
          <w:sz w:val="22"/>
        </w:rPr>
      </w:pPr>
    </w:p>
    <w:p w14:paraId="519CBCEC" w14:textId="77777777" w:rsidR="00FD0545" w:rsidRPr="004B2939" w:rsidRDefault="00FD0545" w:rsidP="00FD0545">
      <w:pPr>
        <w:ind w:left="1416"/>
        <w:rPr>
          <w:b/>
          <w:sz w:val="22"/>
        </w:rPr>
      </w:pPr>
      <w:r w:rsidRPr="004B2939">
        <w:rPr>
          <w:b/>
          <w:sz w:val="22"/>
        </w:rPr>
        <w:t>10. Záróvizsgával összefüggő oktatói tevékenység (ZV TÉR)</w:t>
      </w:r>
    </w:p>
    <w:p w14:paraId="050877F7" w14:textId="77777777" w:rsidR="00FD0545" w:rsidRPr="004B2939" w:rsidRDefault="00FD0545" w:rsidP="00FD0545">
      <w:pPr>
        <w:ind w:left="1416"/>
        <w:rPr>
          <w:b/>
          <w:sz w:val="22"/>
        </w:rPr>
      </w:pPr>
    </w:p>
    <w:p w14:paraId="30EEEF96" w14:textId="77777777" w:rsidR="00FD0545" w:rsidRPr="00E13CE5" w:rsidRDefault="00FD0545" w:rsidP="00FD0545">
      <w:pPr>
        <w:rPr>
          <w:rFonts w:eastAsia="Calibri"/>
          <w:sz w:val="22"/>
          <w:szCs w:val="22"/>
        </w:rPr>
      </w:pPr>
      <w:r w:rsidRPr="00E13CE5">
        <w:rPr>
          <w:rFonts w:eastAsia="Calibri"/>
          <w:sz w:val="22"/>
          <w:szCs w:val="22"/>
        </w:rPr>
        <w:t>A záróvizsgával kapcsolatos oktatói teljesítmény értékelése az alábbi paraméterek alapján történik:</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09"/>
        <w:gridCol w:w="1418"/>
        <w:gridCol w:w="1537"/>
        <w:gridCol w:w="1686"/>
      </w:tblGrid>
      <w:tr w:rsidR="00FD0545" w:rsidRPr="00CD78CA" w14:paraId="537BF658" w14:textId="77777777" w:rsidTr="00026782">
        <w:trPr>
          <w:jc w:val="center"/>
        </w:trPr>
        <w:tc>
          <w:tcPr>
            <w:tcW w:w="3009" w:type="dxa"/>
            <w:tcBorders>
              <w:top w:val="single" w:sz="4" w:space="0" w:color="FFFFFF"/>
              <w:left w:val="single" w:sz="4" w:space="0" w:color="FFFFFF"/>
              <w:right w:val="nil"/>
            </w:tcBorders>
            <w:shd w:val="clear" w:color="auto" w:fill="EDEDED"/>
          </w:tcPr>
          <w:p w14:paraId="596A1173" w14:textId="77777777" w:rsidR="00FD0545" w:rsidRPr="00CD78CA" w:rsidRDefault="00FD0545" w:rsidP="00026782">
            <w:pPr>
              <w:jc w:val="center"/>
              <w:rPr>
                <w:rFonts w:eastAsia="Calibri"/>
                <w:b/>
                <w:bCs/>
                <w:sz w:val="22"/>
                <w:szCs w:val="22"/>
              </w:rPr>
            </w:pPr>
            <w:r w:rsidRPr="00CD78CA">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552C5F50" w14:textId="77777777" w:rsidR="00FD0545" w:rsidRPr="00CD78CA" w:rsidRDefault="00FD0545" w:rsidP="00026782">
            <w:pPr>
              <w:jc w:val="center"/>
              <w:rPr>
                <w:rFonts w:eastAsia="Calibri"/>
                <w:b/>
                <w:bCs/>
                <w:sz w:val="22"/>
                <w:szCs w:val="22"/>
              </w:rPr>
            </w:pPr>
            <w:r w:rsidRPr="00CD78CA">
              <w:rPr>
                <w:rFonts w:eastAsia="Calibri"/>
                <w:b/>
                <w:bCs/>
                <w:sz w:val="22"/>
                <w:szCs w:val="22"/>
              </w:rPr>
              <w:t>Mérésegység</w:t>
            </w:r>
          </w:p>
        </w:tc>
        <w:tc>
          <w:tcPr>
            <w:tcW w:w="1537" w:type="dxa"/>
            <w:tcBorders>
              <w:top w:val="single" w:sz="4" w:space="0" w:color="FFFFFF"/>
              <w:left w:val="nil"/>
              <w:right w:val="nil"/>
            </w:tcBorders>
            <w:shd w:val="clear" w:color="auto" w:fill="EDEDED"/>
          </w:tcPr>
          <w:p w14:paraId="2251678A" w14:textId="77777777" w:rsidR="00FD0545" w:rsidRPr="00CD78CA" w:rsidRDefault="00FD0545" w:rsidP="00026782">
            <w:pPr>
              <w:jc w:val="center"/>
              <w:rPr>
                <w:rFonts w:eastAsia="Calibri"/>
                <w:b/>
                <w:bCs/>
                <w:sz w:val="22"/>
                <w:szCs w:val="22"/>
              </w:rPr>
            </w:pPr>
            <w:r w:rsidRPr="00CD78CA">
              <w:rPr>
                <w:rFonts w:eastAsia="Calibri"/>
                <w:b/>
                <w:bCs/>
                <w:sz w:val="22"/>
                <w:szCs w:val="22"/>
              </w:rPr>
              <w:t>Egységpont</w:t>
            </w:r>
          </w:p>
        </w:tc>
        <w:tc>
          <w:tcPr>
            <w:tcW w:w="1686" w:type="dxa"/>
            <w:tcBorders>
              <w:top w:val="single" w:sz="4" w:space="0" w:color="FFFFFF"/>
              <w:left w:val="nil"/>
              <w:right w:val="single" w:sz="4" w:space="0" w:color="FFFFFF"/>
            </w:tcBorders>
            <w:shd w:val="clear" w:color="auto" w:fill="EDEDED"/>
          </w:tcPr>
          <w:p w14:paraId="27FDED0E" w14:textId="77777777" w:rsidR="00FD0545" w:rsidRPr="00CD78CA" w:rsidRDefault="00FD0545" w:rsidP="00026782">
            <w:pPr>
              <w:jc w:val="center"/>
              <w:rPr>
                <w:rFonts w:eastAsia="Calibri"/>
                <w:b/>
                <w:bCs/>
                <w:sz w:val="22"/>
                <w:szCs w:val="22"/>
              </w:rPr>
            </w:pPr>
            <w:r w:rsidRPr="00CD78CA">
              <w:rPr>
                <w:rFonts w:eastAsia="Calibri"/>
                <w:b/>
                <w:bCs/>
                <w:sz w:val="22"/>
                <w:szCs w:val="22"/>
              </w:rPr>
              <w:t>Maximum pont</w:t>
            </w:r>
          </w:p>
        </w:tc>
      </w:tr>
      <w:tr w:rsidR="00FD0545" w:rsidRPr="00C376DE" w14:paraId="14FFC65D" w14:textId="77777777" w:rsidTr="00026782">
        <w:trPr>
          <w:jc w:val="center"/>
        </w:trPr>
        <w:tc>
          <w:tcPr>
            <w:tcW w:w="3009" w:type="dxa"/>
            <w:shd w:val="clear" w:color="auto" w:fill="EDEDED"/>
          </w:tcPr>
          <w:p w14:paraId="55A67A04" w14:textId="77777777" w:rsidR="00FD0545" w:rsidRPr="00C376DE" w:rsidRDefault="00FD0545" w:rsidP="00026782">
            <w:pPr>
              <w:rPr>
                <w:rFonts w:eastAsia="Calibri"/>
                <w:sz w:val="22"/>
                <w:szCs w:val="22"/>
              </w:rPr>
            </w:pPr>
            <w:r w:rsidRPr="00C376DE">
              <w:rPr>
                <w:rFonts w:eastAsia="Calibri"/>
                <w:sz w:val="22"/>
                <w:szCs w:val="22"/>
              </w:rPr>
              <w:t>Szakdolgozat témahirdetés (csak a hirdetés évében ismerhető el)</w:t>
            </w:r>
          </w:p>
        </w:tc>
        <w:tc>
          <w:tcPr>
            <w:tcW w:w="1418" w:type="dxa"/>
            <w:shd w:val="clear" w:color="auto" w:fill="EDEDED"/>
          </w:tcPr>
          <w:p w14:paraId="6EA3C271" w14:textId="77777777" w:rsidR="00FD0545" w:rsidRPr="00C376DE" w:rsidRDefault="00FD0545" w:rsidP="00026782">
            <w:pPr>
              <w:jc w:val="center"/>
              <w:rPr>
                <w:rFonts w:eastAsia="Calibri"/>
                <w:sz w:val="22"/>
                <w:szCs w:val="22"/>
              </w:rPr>
            </w:pPr>
            <w:r w:rsidRPr="00C376DE">
              <w:rPr>
                <w:rFonts w:eastAsia="Calibri"/>
                <w:sz w:val="22"/>
                <w:szCs w:val="22"/>
              </w:rPr>
              <w:t>darab</w:t>
            </w:r>
          </w:p>
        </w:tc>
        <w:tc>
          <w:tcPr>
            <w:tcW w:w="1537" w:type="dxa"/>
            <w:shd w:val="clear" w:color="auto" w:fill="EDEDED"/>
          </w:tcPr>
          <w:p w14:paraId="1B6764D6"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686" w:type="dxa"/>
            <w:shd w:val="clear" w:color="auto" w:fill="EDEDED"/>
          </w:tcPr>
          <w:p w14:paraId="68941BEA" w14:textId="77777777" w:rsidR="00FD0545" w:rsidRPr="00C376DE" w:rsidRDefault="00FD0545" w:rsidP="00026782">
            <w:pPr>
              <w:jc w:val="center"/>
              <w:rPr>
                <w:rFonts w:eastAsia="Calibri"/>
                <w:sz w:val="22"/>
                <w:szCs w:val="22"/>
              </w:rPr>
            </w:pPr>
            <w:r w:rsidRPr="00C376DE">
              <w:rPr>
                <w:rFonts w:eastAsia="Calibri"/>
                <w:sz w:val="22"/>
                <w:szCs w:val="22"/>
              </w:rPr>
              <w:t>10 pont</w:t>
            </w:r>
          </w:p>
        </w:tc>
      </w:tr>
    </w:tbl>
    <w:p w14:paraId="336995E8" w14:textId="77777777" w:rsidR="00FD0545" w:rsidRDefault="00FD0545" w:rsidP="00FD0545">
      <w:pPr>
        <w:spacing w:before="160"/>
        <w:jc w:val="both"/>
        <w:rPr>
          <w:rFonts w:eastAsia="Calibri"/>
          <w:sz w:val="22"/>
          <w:szCs w:val="22"/>
        </w:rPr>
      </w:pPr>
      <w:r w:rsidRPr="00E13CE5">
        <w:rPr>
          <w:rFonts w:eastAsia="Calibri"/>
          <w:sz w:val="22"/>
          <w:szCs w:val="22"/>
        </w:rPr>
        <w:lastRenderedPageBreak/>
        <w:t xml:space="preserve"> ZV TÉR pont számításakor szakdolgozat alatt valamennyi, felsőfokú végzettség megszerzésére irányuló, záróvizsga részeként teljesítendő írásbeli tevékenység (így különösen a tanűri portfólió, diplomamunka) értékelésre kerül. Az értékelés alapjául szolgáló adatok forrása, az adatnyerés módja:</w:t>
      </w:r>
    </w:p>
    <w:p w14:paraId="74A8C0FE" w14:textId="77777777" w:rsidR="00FD0545" w:rsidRPr="00E13CE5" w:rsidRDefault="00FD0545" w:rsidP="00FD0545">
      <w:pPr>
        <w:spacing w:before="160"/>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3FCCE425" w14:textId="77777777" w:rsidTr="00026782">
        <w:tc>
          <w:tcPr>
            <w:tcW w:w="1980" w:type="dxa"/>
            <w:shd w:val="clear" w:color="auto" w:fill="F2F2F2"/>
          </w:tcPr>
          <w:p w14:paraId="0900B6B4"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B6DD68D" w14:textId="77777777" w:rsidR="00FD0545" w:rsidRPr="00C376DE" w:rsidRDefault="00FD0545" w:rsidP="00026782">
            <w:pPr>
              <w:rPr>
                <w:rFonts w:eastAsia="Calibri"/>
                <w:b/>
                <w:bCs/>
                <w:sz w:val="22"/>
                <w:szCs w:val="22"/>
              </w:rPr>
            </w:pPr>
            <w:r w:rsidRPr="00C376DE">
              <w:rPr>
                <w:rFonts w:eastAsia="Calibri"/>
                <w:b/>
                <w:bCs/>
                <w:sz w:val="22"/>
                <w:szCs w:val="22"/>
              </w:rPr>
              <w:t xml:space="preserve">Intézeti témalista táblázat </w:t>
            </w:r>
          </w:p>
        </w:tc>
      </w:tr>
      <w:tr w:rsidR="00FD0545" w:rsidRPr="00C376DE" w14:paraId="12E6514A" w14:textId="77777777" w:rsidTr="00026782">
        <w:tc>
          <w:tcPr>
            <w:tcW w:w="1980" w:type="dxa"/>
            <w:shd w:val="clear" w:color="auto" w:fill="F2F2F2"/>
          </w:tcPr>
          <w:p w14:paraId="32594246"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25504150"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26E63970" w14:textId="77777777" w:rsidTr="00026782">
        <w:tc>
          <w:tcPr>
            <w:tcW w:w="1980" w:type="dxa"/>
            <w:shd w:val="clear" w:color="auto" w:fill="F2F2F2"/>
          </w:tcPr>
          <w:p w14:paraId="28C93257"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499CFEC2"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693632CF"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2822"/>
        <w:gridCol w:w="864"/>
        <w:gridCol w:w="1374"/>
        <w:gridCol w:w="1266"/>
        <w:gridCol w:w="1588"/>
        <w:gridCol w:w="1148"/>
      </w:tblGrid>
      <w:tr w:rsidR="00FD0545" w:rsidRPr="00C376DE" w14:paraId="7F38E4BF" w14:textId="77777777" w:rsidTr="00026782">
        <w:trPr>
          <w:tblHeader/>
          <w:jc w:val="center"/>
        </w:trPr>
        <w:tc>
          <w:tcPr>
            <w:tcW w:w="2822" w:type="dxa"/>
            <w:tcBorders>
              <w:top w:val="single" w:sz="4" w:space="0" w:color="FFFFFF"/>
              <w:left w:val="single" w:sz="4" w:space="0" w:color="FFFFFF"/>
              <w:right w:val="nil"/>
            </w:tcBorders>
            <w:shd w:val="clear" w:color="auto" w:fill="A5A5A5"/>
          </w:tcPr>
          <w:p w14:paraId="5F482715" w14:textId="77777777" w:rsidR="00FD0545" w:rsidRPr="00CD78CA" w:rsidRDefault="00FD0545" w:rsidP="00026782">
            <w:pPr>
              <w:jc w:val="center"/>
              <w:rPr>
                <w:rFonts w:eastAsia="Calibri"/>
                <w:b/>
                <w:bCs/>
                <w:sz w:val="20"/>
                <w:szCs w:val="22"/>
              </w:rPr>
            </w:pPr>
            <w:r w:rsidRPr="00CD78CA">
              <w:rPr>
                <w:rFonts w:eastAsia="Calibri"/>
                <w:b/>
                <w:bCs/>
                <w:sz w:val="20"/>
                <w:szCs w:val="22"/>
              </w:rPr>
              <w:t>Elismert teljesítmény</w:t>
            </w:r>
          </w:p>
        </w:tc>
        <w:tc>
          <w:tcPr>
            <w:tcW w:w="864" w:type="dxa"/>
            <w:tcBorders>
              <w:top w:val="single" w:sz="4" w:space="0" w:color="FFFFFF"/>
              <w:left w:val="nil"/>
              <w:right w:val="nil"/>
            </w:tcBorders>
            <w:shd w:val="clear" w:color="auto" w:fill="A5A5A5"/>
          </w:tcPr>
          <w:p w14:paraId="6E104271" w14:textId="77777777" w:rsidR="00FD0545" w:rsidRPr="00CD78CA" w:rsidRDefault="00FD0545" w:rsidP="00026782">
            <w:pPr>
              <w:jc w:val="center"/>
              <w:rPr>
                <w:rFonts w:eastAsia="Calibri"/>
                <w:b/>
                <w:bCs/>
                <w:sz w:val="20"/>
                <w:szCs w:val="22"/>
              </w:rPr>
            </w:pPr>
            <w:r w:rsidRPr="00CD78CA">
              <w:rPr>
                <w:rFonts w:eastAsia="Calibri"/>
                <w:b/>
                <w:bCs/>
                <w:sz w:val="20"/>
                <w:szCs w:val="22"/>
              </w:rPr>
              <w:t>Mérés-egység</w:t>
            </w:r>
          </w:p>
        </w:tc>
        <w:tc>
          <w:tcPr>
            <w:tcW w:w="1374" w:type="dxa"/>
            <w:tcBorders>
              <w:top w:val="single" w:sz="4" w:space="0" w:color="FFFFFF"/>
              <w:left w:val="nil"/>
              <w:right w:val="nil"/>
            </w:tcBorders>
            <w:shd w:val="clear" w:color="auto" w:fill="A5A5A5"/>
          </w:tcPr>
          <w:p w14:paraId="00D1E5E3" w14:textId="77777777" w:rsidR="00FD0545" w:rsidRPr="00CD78CA" w:rsidRDefault="00FD0545" w:rsidP="00026782">
            <w:pPr>
              <w:jc w:val="center"/>
              <w:rPr>
                <w:rFonts w:eastAsia="Calibri"/>
                <w:b/>
                <w:bCs/>
                <w:sz w:val="20"/>
                <w:szCs w:val="22"/>
              </w:rPr>
            </w:pPr>
            <w:r w:rsidRPr="00CD78CA">
              <w:rPr>
                <w:rFonts w:eastAsia="Calibri"/>
                <w:b/>
                <w:bCs/>
                <w:sz w:val="20"/>
                <w:szCs w:val="22"/>
              </w:rPr>
              <w:t>Egységpont</w:t>
            </w:r>
          </w:p>
        </w:tc>
        <w:tc>
          <w:tcPr>
            <w:tcW w:w="1266" w:type="dxa"/>
            <w:tcBorders>
              <w:top w:val="single" w:sz="4" w:space="0" w:color="FFFFFF"/>
              <w:left w:val="nil"/>
              <w:right w:val="nil"/>
            </w:tcBorders>
            <w:shd w:val="clear" w:color="auto" w:fill="A5A5A5"/>
          </w:tcPr>
          <w:p w14:paraId="0F6CDA42" w14:textId="77777777" w:rsidR="00FD0545" w:rsidRPr="00CD78CA" w:rsidRDefault="00FD0545" w:rsidP="00026782">
            <w:pPr>
              <w:jc w:val="center"/>
              <w:rPr>
                <w:rFonts w:eastAsia="Calibri"/>
                <w:b/>
                <w:bCs/>
                <w:sz w:val="20"/>
                <w:szCs w:val="22"/>
              </w:rPr>
            </w:pPr>
            <w:r w:rsidRPr="00CD78CA">
              <w:rPr>
                <w:rFonts w:eastAsia="Calibri"/>
                <w:b/>
                <w:bCs/>
                <w:sz w:val="20"/>
                <w:szCs w:val="22"/>
              </w:rPr>
              <w:t>Egységpont idegen nyelvű munka esetén</w:t>
            </w:r>
          </w:p>
        </w:tc>
        <w:tc>
          <w:tcPr>
            <w:tcW w:w="1588" w:type="dxa"/>
            <w:tcBorders>
              <w:top w:val="single" w:sz="4" w:space="0" w:color="FFFFFF"/>
              <w:left w:val="nil"/>
              <w:right w:val="nil"/>
            </w:tcBorders>
            <w:shd w:val="clear" w:color="auto" w:fill="A5A5A5"/>
          </w:tcPr>
          <w:p w14:paraId="5DFDD092" w14:textId="77777777" w:rsidR="00FD0545" w:rsidRPr="00CD78CA" w:rsidRDefault="00FD0545" w:rsidP="00026782">
            <w:pPr>
              <w:jc w:val="center"/>
              <w:rPr>
                <w:rFonts w:eastAsia="Calibri"/>
                <w:b/>
                <w:bCs/>
                <w:sz w:val="20"/>
                <w:szCs w:val="22"/>
              </w:rPr>
            </w:pPr>
            <w:r w:rsidRPr="00CD78CA">
              <w:rPr>
                <w:rFonts w:eastAsia="Calibri"/>
                <w:b/>
                <w:bCs/>
                <w:sz w:val="20"/>
                <w:szCs w:val="22"/>
              </w:rPr>
              <w:t>Maximum pont</w:t>
            </w:r>
          </w:p>
        </w:tc>
        <w:tc>
          <w:tcPr>
            <w:tcW w:w="1148" w:type="dxa"/>
            <w:tcBorders>
              <w:top w:val="single" w:sz="4" w:space="0" w:color="FFFFFF"/>
              <w:left w:val="nil"/>
              <w:right w:val="single" w:sz="4" w:space="0" w:color="FFFFFF"/>
            </w:tcBorders>
            <w:shd w:val="clear" w:color="auto" w:fill="A5A5A5"/>
          </w:tcPr>
          <w:p w14:paraId="6D375807" w14:textId="77777777" w:rsidR="00FD0545" w:rsidRPr="00CD78CA" w:rsidRDefault="00FD0545" w:rsidP="00026782">
            <w:pPr>
              <w:jc w:val="center"/>
              <w:rPr>
                <w:rFonts w:eastAsia="Calibri"/>
                <w:b/>
                <w:bCs/>
                <w:sz w:val="20"/>
                <w:szCs w:val="22"/>
              </w:rPr>
            </w:pPr>
            <w:r w:rsidRPr="00CD78CA">
              <w:rPr>
                <w:rFonts w:eastAsia="Calibri"/>
                <w:b/>
                <w:bCs/>
                <w:sz w:val="20"/>
                <w:szCs w:val="22"/>
              </w:rPr>
              <w:t>Maximum pont idegen nyelvű munka esetén</w:t>
            </w:r>
          </w:p>
        </w:tc>
      </w:tr>
      <w:tr w:rsidR="00FD0545" w:rsidRPr="00CD78CA" w14:paraId="6DD556E3" w14:textId="77777777" w:rsidTr="00026782">
        <w:trPr>
          <w:jc w:val="center"/>
        </w:trPr>
        <w:tc>
          <w:tcPr>
            <w:tcW w:w="2822" w:type="dxa"/>
            <w:shd w:val="clear" w:color="auto" w:fill="DBDBDB"/>
          </w:tcPr>
          <w:p w14:paraId="44AC7C48" w14:textId="77777777" w:rsidR="00FD0545" w:rsidRPr="00CD78CA" w:rsidRDefault="00FD0545" w:rsidP="00026782">
            <w:pPr>
              <w:rPr>
                <w:rFonts w:eastAsia="Calibri"/>
                <w:sz w:val="20"/>
                <w:szCs w:val="22"/>
              </w:rPr>
            </w:pPr>
            <w:r w:rsidRPr="00CD78CA">
              <w:rPr>
                <w:rFonts w:eastAsia="Calibri"/>
                <w:sz w:val="20"/>
                <w:szCs w:val="22"/>
              </w:rPr>
              <w:t xml:space="preserve">Témavezetett hallgató, kutatási terv fázisában (amennyiben legalább 3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DBDBDB"/>
          </w:tcPr>
          <w:p w14:paraId="2828AA9A"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DBDBDB"/>
          </w:tcPr>
          <w:p w14:paraId="3B25A49F" w14:textId="77777777" w:rsidR="00FD0545" w:rsidRPr="00CD78CA" w:rsidRDefault="00FD0545" w:rsidP="00026782">
            <w:pPr>
              <w:jc w:val="center"/>
              <w:rPr>
                <w:rFonts w:eastAsia="Calibri"/>
                <w:sz w:val="20"/>
                <w:szCs w:val="22"/>
              </w:rPr>
            </w:pPr>
            <w:r w:rsidRPr="00CD78CA">
              <w:rPr>
                <w:rFonts w:eastAsia="Calibri"/>
                <w:sz w:val="20"/>
                <w:szCs w:val="22"/>
              </w:rPr>
              <w:t>1 pont</w:t>
            </w:r>
          </w:p>
        </w:tc>
        <w:tc>
          <w:tcPr>
            <w:tcW w:w="1266" w:type="dxa"/>
            <w:shd w:val="clear" w:color="auto" w:fill="DBDBDB"/>
          </w:tcPr>
          <w:p w14:paraId="2E2936F6" w14:textId="77777777" w:rsidR="00FD0545" w:rsidRPr="00CD78CA" w:rsidRDefault="00FD0545" w:rsidP="00026782">
            <w:pPr>
              <w:jc w:val="center"/>
              <w:rPr>
                <w:rFonts w:eastAsia="Calibri"/>
                <w:sz w:val="20"/>
                <w:szCs w:val="22"/>
              </w:rPr>
            </w:pPr>
            <w:r w:rsidRPr="00CD78CA">
              <w:rPr>
                <w:rFonts w:eastAsia="Calibri"/>
                <w:sz w:val="20"/>
                <w:szCs w:val="22"/>
              </w:rPr>
              <w:t>1,5 pont</w:t>
            </w:r>
          </w:p>
        </w:tc>
        <w:tc>
          <w:tcPr>
            <w:tcW w:w="1588" w:type="dxa"/>
            <w:shd w:val="clear" w:color="auto" w:fill="DBDBDB"/>
          </w:tcPr>
          <w:p w14:paraId="7E2E54FA" w14:textId="77777777" w:rsidR="00FD0545" w:rsidRPr="00CD78CA" w:rsidRDefault="00FD0545" w:rsidP="00026782">
            <w:pPr>
              <w:jc w:val="center"/>
              <w:rPr>
                <w:rFonts w:eastAsia="Calibri"/>
                <w:sz w:val="20"/>
                <w:szCs w:val="22"/>
              </w:rPr>
            </w:pPr>
            <w:r w:rsidRPr="00CD78CA">
              <w:rPr>
                <w:rFonts w:eastAsia="Calibri"/>
                <w:sz w:val="20"/>
                <w:szCs w:val="22"/>
              </w:rPr>
              <w:t>10 pont</w:t>
            </w:r>
          </w:p>
        </w:tc>
        <w:tc>
          <w:tcPr>
            <w:tcW w:w="1148" w:type="dxa"/>
            <w:shd w:val="clear" w:color="auto" w:fill="DBDBDB"/>
          </w:tcPr>
          <w:p w14:paraId="527F0450" w14:textId="77777777" w:rsidR="00FD0545" w:rsidRPr="00CD78CA" w:rsidRDefault="00FD0545" w:rsidP="00026782">
            <w:pPr>
              <w:jc w:val="center"/>
              <w:rPr>
                <w:rFonts w:eastAsia="Calibri"/>
                <w:sz w:val="20"/>
                <w:szCs w:val="22"/>
              </w:rPr>
            </w:pPr>
            <w:r w:rsidRPr="00CD78CA">
              <w:rPr>
                <w:rFonts w:eastAsia="Calibri"/>
                <w:sz w:val="20"/>
                <w:szCs w:val="22"/>
              </w:rPr>
              <w:t>15 pont</w:t>
            </w:r>
          </w:p>
        </w:tc>
      </w:tr>
      <w:tr w:rsidR="00FD0545" w:rsidRPr="00CD78CA" w14:paraId="1BA534DE" w14:textId="77777777" w:rsidTr="00026782">
        <w:trPr>
          <w:jc w:val="center"/>
        </w:trPr>
        <w:tc>
          <w:tcPr>
            <w:tcW w:w="2822" w:type="dxa"/>
            <w:shd w:val="clear" w:color="auto" w:fill="EDEDED"/>
          </w:tcPr>
          <w:p w14:paraId="2C733CE6" w14:textId="77777777" w:rsidR="00FD0545" w:rsidRPr="00CD78CA" w:rsidRDefault="00FD0545" w:rsidP="00026782">
            <w:pPr>
              <w:rPr>
                <w:rFonts w:eastAsia="Calibri"/>
                <w:sz w:val="20"/>
                <w:szCs w:val="22"/>
              </w:rPr>
            </w:pPr>
            <w:r w:rsidRPr="00CD78CA">
              <w:rPr>
                <w:rFonts w:eastAsia="Calibri"/>
                <w:sz w:val="20"/>
                <w:szCs w:val="22"/>
              </w:rPr>
              <w:t xml:space="preserve">Témavezetett hallgató, laboratóriumi kísérletes kutatás kutatási terv fázisában (amennyiben legalább 3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EDEDED"/>
          </w:tcPr>
          <w:p w14:paraId="5BF415E6"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EDEDED"/>
          </w:tcPr>
          <w:p w14:paraId="3DF90A4C" w14:textId="77777777" w:rsidR="00FD0545" w:rsidRPr="00CD78CA" w:rsidRDefault="00FD0545" w:rsidP="00026782">
            <w:pPr>
              <w:jc w:val="center"/>
              <w:rPr>
                <w:rFonts w:eastAsia="Calibri"/>
                <w:sz w:val="20"/>
                <w:szCs w:val="22"/>
              </w:rPr>
            </w:pPr>
            <w:r w:rsidRPr="00CD78CA">
              <w:rPr>
                <w:rFonts w:eastAsia="Calibri"/>
                <w:sz w:val="20"/>
                <w:szCs w:val="22"/>
              </w:rPr>
              <w:t>1,3 pont</w:t>
            </w:r>
          </w:p>
        </w:tc>
        <w:tc>
          <w:tcPr>
            <w:tcW w:w="1266" w:type="dxa"/>
            <w:shd w:val="clear" w:color="auto" w:fill="EDEDED"/>
          </w:tcPr>
          <w:p w14:paraId="160CD51C" w14:textId="77777777" w:rsidR="00FD0545" w:rsidRPr="00CD78CA" w:rsidRDefault="00FD0545" w:rsidP="00026782">
            <w:pPr>
              <w:jc w:val="center"/>
              <w:rPr>
                <w:rFonts w:eastAsia="Calibri"/>
                <w:sz w:val="20"/>
                <w:szCs w:val="22"/>
              </w:rPr>
            </w:pPr>
            <w:r w:rsidRPr="00CD78CA">
              <w:rPr>
                <w:rFonts w:eastAsia="Calibri"/>
                <w:sz w:val="20"/>
                <w:szCs w:val="22"/>
              </w:rPr>
              <w:t>2 pont</w:t>
            </w:r>
          </w:p>
        </w:tc>
        <w:tc>
          <w:tcPr>
            <w:tcW w:w="1588" w:type="dxa"/>
            <w:shd w:val="clear" w:color="auto" w:fill="EDEDED"/>
          </w:tcPr>
          <w:p w14:paraId="0558624D" w14:textId="77777777" w:rsidR="00FD0545" w:rsidRPr="00CD78CA" w:rsidRDefault="00FD0545" w:rsidP="00026782">
            <w:pPr>
              <w:jc w:val="center"/>
              <w:rPr>
                <w:rFonts w:eastAsia="Calibri"/>
                <w:sz w:val="20"/>
                <w:szCs w:val="22"/>
              </w:rPr>
            </w:pPr>
            <w:r w:rsidRPr="00CD78CA">
              <w:rPr>
                <w:rFonts w:eastAsia="Calibri"/>
                <w:sz w:val="20"/>
                <w:szCs w:val="22"/>
              </w:rPr>
              <w:t>13 pont</w:t>
            </w:r>
          </w:p>
        </w:tc>
        <w:tc>
          <w:tcPr>
            <w:tcW w:w="1148" w:type="dxa"/>
            <w:shd w:val="clear" w:color="auto" w:fill="EDEDED"/>
          </w:tcPr>
          <w:p w14:paraId="2ABFD042" w14:textId="77777777" w:rsidR="00FD0545" w:rsidRPr="00CD78CA" w:rsidRDefault="00FD0545" w:rsidP="00026782">
            <w:pPr>
              <w:jc w:val="center"/>
              <w:rPr>
                <w:rFonts w:eastAsia="Calibri"/>
                <w:sz w:val="20"/>
                <w:szCs w:val="22"/>
              </w:rPr>
            </w:pPr>
            <w:r w:rsidRPr="00CD78CA">
              <w:rPr>
                <w:rFonts w:eastAsia="Calibri"/>
                <w:sz w:val="20"/>
                <w:szCs w:val="22"/>
              </w:rPr>
              <w:t>20 pont</w:t>
            </w:r>
          </w:p>
        </w:tc>
      </w:tr>
      <w:tr w:rsidR="00FD0545" w:rsidRPr="00CD78CA" w14:paraId="5F9F1F28" w14:textId="77777777" w:rsidTr="00026782">
        <w:trPr>
          <w:jc w:val="center"/>
        </w:trPr>
        <w:tc>
          <w:tcPr>
            <w:tcW w:w="2822" w:type="dxa"/>
            <w:shd w:val="clear" w:color="auto" w:fill="DBDBDB"/>
          </w:tcPr>
          <w:p w14:paraId="2BE9E7AA" w14:textId="77777777" w:rsidR="00FD0545" w:rsidRPr="00CD78CA" w:rsidRDefault="00FD0545" w:rsidP="00026782">
            <w:pPr>
              <w:rPr>
                <w:rFonts w:eastAsia="Calibri"/>
                <w:sz w:val="20"/>
                <w:szCs w:val="22"/>
              </w:rPr>
            </w:pPr>
            <w:r w:rsidRPr="00CD78CA">
              <w:rPr>
                <w:rFonts w:eastAsia="Calibri"/>
                <w:sz w:val="20"/>
                <w:szCs w:val="22"/>
              </w:rPr>
              <w:t>Témavezetett hallgató, kutatási terv fázisában 10 FŐ FELETT MINDEN TOVÁBBI FŐ*</w:t>
            </w:r>
          </w:p>
        </w:tc>
        <w:tc>
          <w:tcPr>
            <w:tcW w:w="864" w:type="dxa"/>
            <w:shd w:val="clear" w:color="auto" w:fill="DBDBDB"/>
          </w:tcPr>
          <w:p w14:paraId="47693561"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DBDBDB"/>
          </w:tcPr>
          <w:p w14:paraId="2A31B52A" w14:textId="77777777" w:rsidR="00FD0545" w:rsidRPr="00CD78CA" w:rsidRDefault="00FD0545" w:rsidP="00026782">
            <w:pPr>
              <w:jc w:val="center"/>
              <w:rPr>
                <w:rFonts w:eastAsia="Calibri"/>
                <w:sz w:val="20"/>
                <w:szCs w:val="22"/>
              </w:rPr>
            </w:pPr>
            <w:r w:rsidRPr="00CD78CA">
              <w:rPr>
                <w:rFonts w:eastAsia="Calibri"/>
                <w:sz w:val="20"/>
                <w:szCs w:val="22"/>
              </w:rPr>
              <w:t>-0,5 pont</w:t>
            </w:r>
          </w:p>
        </w:tc>
        <w:tc>
          <w:tcPr>
            <w:tcW w:w="1266" w:type="dxa"/>
            <w:shd w:val="clear" w:color="auto" w:fill="DBDBDB"/>
          </w:tcPr>
          <w:p w14:paraId="4FFFC773" w14:textId="77777777" w:rsidR="00FD0545" w:rsidRPr="00CD78CA" w:rsidRDefault="00FD0545" w:rsidP="00026782">
            <w:pPr>
              <w:jc w:val="center"/>
              <w:rPr>
                <w:rFonts w:eastAsia="Calibri"/>
                <w:sz w:val="20"/>
                <w:szCs w:val="22"/>
              </w:rPr>
            </w:pPr>
            <w:r w:rsidRPr="00CD78CA">
              <w:rPr>
                <w:rFonts w:eastAsia="Calibri"/>
                <w:sz w:val="20"/>
                <w:szCs w:val="22"/>
              </w:rPr>
              <w:t>nincs</w:t>
            </w:r>
          </w:p>
        </w:tc>
        <w:tc>
          <w:tcPr>
            <w:tcW w:w="1588" w:type="dxa"/>
            <w:shd w:val="clear" w:color="auto" w:fill="DBDBDB"/>
          </w:tcPr>
          <w:p w14:paraId="229373A6" w14:textId="77777777" w:rsidR="00FD0545" w:rsidRPr="00CD78CA" w:rsidRDefault="00FD0545" w:rsidP="00026782">
            <w:pPr>
              <w:jc w:val="center"/>
              <w:rPr>
                <w:rFonts w:eastAsia="Calibri"/>
                <w:sz w:val="20"/>
                <w:szCs w:val="22"/>
              </w:rPr>
            </w:pPr>
            <w:r w:rsidRPr="00CD78CA">
              <w:rPr>
                <w:rFonts w:eastAsia="Calibri"/>
                <w:sz w:val="20"/>
                <w:szCs w:val="22"/>
              </w:rPr>
              <w:t>-10 pont</w:t>
            </w:r>
          </w:p>
        </w:tc>
        <w:tc>
          <w:tcPr>
            <w:tcW w:w="1148" w:type="dxa"/>
            <w:shd w:val="clear" w:color="auto" w:fill="DBDBDB"/>
          </w:tcPr>
          <w:p w14:paraId="0DC87E3A" w14:textId="77777777" w:rsidR="00FD0545" w:rsidRPr="00CD78CA" w:rsidRDefault="00FD0545" w:rsidP="00026782">
            <w:pPr>
              <w:jc w:val="center"/>
              <w:rPr>
                <w:rFonts w:eastAsia="Calibri"/>
                <w:sz w:val="20"/>
                <w:szCs w:val="22"/>
              </w:rPr>
            </w:pPr>
            <w:r w:rsidRPr="00CD78CA">
              <w:rPr>
                <w:rFonts w:eastAsia="Calibri"/>
                <w:sz w:val="20"/>
                <w:szCs w:val="22"/>
              </w:rPr>
              <w:t>nincs</w:t>
            </w:r>
          </w:p>
        </w:tc>
      </w:tr>
      <w:tr w:rsidR="00FD0545" w:rsidRPr="00CD78CA" w14:paraId="7ABE5A26" w14:textId="77777777" w:rsidTr="00026782">
        <w:trPr>
          <w:jc w:val="center"/>
        </w:trPr>
        <w:tc>
          <w:tcPr>
            <w:tcW w:w="2822" w:type="dxa"/>
            <w:shd w:val="clear" w:color="auto" w:fill="EDEDED"/>
          </w:tcPr>
          <w:p w14:paraId="767B2230" w14:textId="77777777" w:rsidR="00FD0545" w:rsidRPr="00CD78CA" w:rsidRDefault="00FD0545" w:rsidP="00026782">
            <w:pPr>
              <w:rPr>
                <w:rFonts w:eastAsia="Calibri"/>
                <w:sz w:val="20"/>
                <w:szCs w:val="22"/>
              </w:rPr>
            </w:pPr>
            <w:r w:rsidRPr="00CD78CA">
              <w:rPr>
                <w:rFonts w:eastAsia="Calibri"/>
                <w:sz w:val="20"/>
                <w:szCs w:val="22"/>
              </w:rPr>
              <w:t xml:space="preserve">Konzulensi feladatok ellátása kutatási terv fázisában (amennyiben legalább 3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EDEDED"/>
          </w:tcPr>
          <w:p w14:paraId="6CDB716A"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EDEDED"/>
          </w:tcPr>
          <w:p w14:paraId="399AD197" w14:textId="77777777" w:rsidR="00FD0545" w:rsidRPr="00CD78CA" w:rsidRDefault="00FD0545" w:rsidP="00026782">
            <w:pPr>
              <w:jc w:val="center"/>
              <w:rPr>
                <w:rFonts w:eastAsia="Calibri"/>
                <w:sz w:val="20"/>
                <w:szCs w:val="22"/>
              </w:rPr>
            </w:pPr>
            <w:r w:rsidRPr="00CD78CA">
              <w:rPr>
                <w:rFonts w:eastAsia="Calibri"/>
                <w:sz w:val="20"/>
                <w:szCs w:val="22"/>
              </w:rPr>
              <w:t>0,5 pont</w:t>
            </w:r>
          </w:p>
        </w:tc>
        <w:tc>
          <w:tcPr>
            <w:tcW w:w="1266" w:type="dxa"/>
            <w:shd w:val="clear" w:color="auto" w:fill="EDEDED"/>
          </w:tcPr>
          <w:p w14:paraId="03675EDB" w14:textId="77777777" w:rsidR="00FD0545" w:rsidRPr="00CD78CA" w:rsidRDefault="00FD0545" w:rsidP="00026782">
            <w:pPr>
              <w:jc w:val="center"/>
              <w:rPr>
                <w:rFonts w:eastAsia="Calibri"/>
                <w:sz w:val="20"/>
                <w:szCs w:val="22"/>
              </w:rPr>
            </w:pPr>
            <w:r w:rsidRPr="00CD78CA">
              <w:rPr>
                <w:rFonts w:eastAsia="Calibri"/>
                <w:sz w:val="20"/>
                <w:szCs w:val="22"/>
              </w:rPr>
              <w:t>0,75 pont</w:t>
            </w:r>
          </w:p>
        </w:tc>
        <w:tc>
          <w:tcPr>
            <w:tcW w:w="1588" w:type="dxa"/>
            <w:shd w:val="clear" w:color="auto" w:fill="EDEDED"/>
          </w:tcPr>
          <w:p w14:paraId="2FAEB899" w14:textId="77777777" w:rsidR="00FD0545" w:rsidRPr="00CD78CA" w:rsidRDefault="00FD0545" w:rsidP="00026782">
            <w:pPr>
              <w:jc w:val="center"/>
              <w:rPr>
                <w:rFonts w:eastAsia="Calibri"/>
                <w:sz w:val="20"/>
                <w:szCs w:val="22"/>
              </w:rPr>
            </w:pPr>
            <w:r w:rsidRPr="00CD78CA">
              <w:rPr>
                <w:rFonts w:eastAsia="Calibri"/>
                <w:sz w:val="20"/>
                <w:szCs w:val="22"/>
              </w:rPr>
              <w:t>10 pont</w:t>
            </w:r>
          </w:p>
        </w:tc>
        <w:tc>
          <w:tcPr>
            <w:tcW w:w="1148" w:type="dxa"/>
            <w:shd w:val="clear" w:color="auto" w:fill="EDEDED"/>
          </w:tcPr>
          <w:p w14:paraId="5CEC9288" w14:textId="77777777" w:rsidR="00FD0545" w:rsidRPr="00CD78CA" w:rsidRDefault="00FD0545" w:rsidP="00026782">
            <w:pPr>
              <w:jc w:val="center"/>
              <w:rPr>
                <w:rFonts w:eastAsia="Calibri"/>
                <w:sz w:val="20"/>
                <w:szCs w:val="22"/>
              </w:rPr>
            </w:pPr>
            <w:r w:rsidRPr="00CD78CA">
              <w:rPr>
                <w:rFonts w:eastAsia="Calibri"/>
                <w:sz w:val="20"/>
                <w:szCs w:val="22"/>
              </w:rPr>
              <w:t>15 pont</w:t>
            </w:r>
          </w:p>
        </w:tc>
      </w:tr>
      <w:tr w:rsidR="00FD0545" w:rsidRPr="00CD78CA" w14:paraId="783EA89B" w14:textId="77777777" w:rsidTr="00026782">
        <w:trPr>
          <w:jc w:val="center"/>
        </w:trPr>
        <w:tc>
          <w:tcPr>
            <w:tcW w:w="2822" w:type="dxa"/>
            <w:shd w:val="clear" w:color="auto" w:fill="DBDBDB"/>
          </w:tcPr>
          <w:p w14:paraId="73954F79" w14:textId="77777777" w:rsidR="00FD0545" w:rsidRPr="00CD78CA" w:rsidRDefault="00FD0545" w:rsidP="00026782">
            <w:pPr>
              <w:rPr>
                <w:rFonts w:eastAsia="Calibri"/>
                <w:sz w:val="20"/>
                <w:szCs w:val="22"/>
              </w:rPr>
            </w:pPr>
            <w:r w:rsidRPr="00CD78CA">
              <w:rPr>
                <w:rFonts w:eastAsia="Calibri"/>
                <w:sz w:val="20"/>
                <w:szCs w:val="22"/>
              </w:rPr>
              <w:t xml:space="preserve">Témavezetett hallgató, szakdolgozatkészítés fázisában (amennyiben legalább 5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DBDBDB"/>
          </w:tcPr>
          <w:p w14:paraId="4216D5E9"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DBDBDB"/>
          </w:tcPr>
          <w:p w14:paraId="0119165A" w14:textId="77777777" w:rsidR="00FD0545" w:rsidRPr="00CD78CA" w:rsidRDefault="00FD0545" w:rsidP="00026782">
            <w:pPr>
              <w:jc w:val="center"/>
              <w:rPr>
                <w:rFonts w:eastAsia="Calibri"/>
                <w:sz w:val="20"/>
                <w:szCs w:val="22"/>
              </w:rPr>
            </w:pPr>
            <w:r w:rsidRPr="00CD78CA">
              <w:rPr>
                <w:rFonts w:eastAsia="Calibri"/>
                <w:sz w:val="20"/>
                <w:szCs w:val="22"/>
              </w:rPr>
              <w:t>1,5 pont</w:t>
            </w:r>
          </w:p>
        </w:tc>
        <w:tc>
          <w:tcPr>
            <w:tcW w:w="1266" w:type="dxa"/>
            <w:shd w:val="clear" w:color="auto" w:fill="DBDBDB"/>
          </w:tcPr>
          <w:p w14:paraId="3A7B31D8" w14:textId="77777777" w:rsidR="00FD0545" w:rsidRPr="00CD78CA" w:rsidRDefault="00FD0545" w:rsidP="00026782">
            <w:pPr>
              <w:jc w:val="center"/>
              <w:rPr>
                <w:rFonts w:eastAsia="Calibri"/>
                <w:sz w:val="20"/>
                <w:szCs w:val="22"/>
              </w:rPr>
            </w:pPr>
            <w:r w:rsidRPr="00CD78CA">
              <w:rPr>
                <w:rFonts w:eastAsia="Calibri"/>
                <w:sz w:val="20"/>
                <w:szCs w:val="22"/>
              </w:rPr>
              <w:t>2,25 pont</w:t>
            </w:r>
          </w:p>
        </w:tc>
        <w:tc>
          <w:tcPr>
            <w:tcW w:w="1588" w:type="dxa"/>
            <w:shd w:val="clear" w:color="auto" w:fill="DBDBDB"/>
          </w:tcPr>
          <w:p w14:paraId="2333F953" w14:textId="77777777" w:rsidR="00FD0545" w:rsidRPr="00CD78CA" w:rsidRDefault="00FD0545" w:rsidP="00026782">
            <w:pPr>
              <w:jc w:val="center"/>
              <w:rPr>
                <w:rFonts w:eastAsia="Calibri"/>
                <w:sz w:val="20"/>
                <w:szCs w:val="22"/>
              </w:rPr>
            </w:pPr>
            <w:r w:rsidRPr="00CD78CA">
              <w:rPr>
                <w:rFonts w:eastAsia="Calibri"/>
                <w:sz w:val="20"/>
                <w:szCs w:val="22"/>
              </w:rPr>
              <w:t>15 pont</w:t>
            </w:r>
          </w:p>
        </w:tc>
        <w:tc>
          <w:tcPr>
            <w:tcW w:w="1148" w:type="dxa"/>
            <w:shd w:val="clear" w:color="auto" w:fill="DBDBDB"/>
          </w:tcPr>
          <w:p w14:paraId="1BF09988" w14:textId="77777777" w:rsidR="00FD0545" w:rsidRPr="00CD78CA" w:rsidRDefault="00FD0545" w:rsidP="00026782">
            <w:pPr>
              <w:jc w:val="center"/>
              <w:rPr>
                <w:rFonts w:eastAsia="Calibri"/>
                <w:sz w:val="20"/>
                <w:szCs w:val="22"/>
              </w:rPr>
            </w:pPr>
            <w:r w:rsidRPr="00CD78CA">
              <w:rPr>
                <w:rFonts w:eastAsia="Calibri"/>
                <w:sz w:val="20"/>
                <w:szCs w:val="22"/>
              </w:rPr>
              <w:t>22,5 pont</w:t>
            </w:r>
          </w:p>
        </w:tc>
      </w:tr>
      <w:tr w:rsidR="00FD0545" w:rsidRPr="00CD78CA" w14:paraId="7CDCA228" w14:textId="77777777" w:rsidTr="00026782">
        <w:trPr>
          <w:jc w:val="center"/>
        </w:trPr>
        <w:tc>
          <w:tcPr>
            <w:tcW w:w="2822" w:type="dxa"/>
            <w:shd w:val="clear" w:color="auto" w:fill="EDEDED"/>
          </w:tcPr>
          <w:p w14:paraId="16D736FA" w14:textId="77777777" w:rsidR="00FD0545" w:rsidRPr="00CD78CA" w:rsidRDefault="00FD0545" w:rsidP="00026782">
            <w:pPr>
              <w:rPr>
                <w:rFonts w:eastAsia="Calibri"/>
                <w:sz w:val="20"/>
                <w:szCs w:val="22"/>
              </w:rPr>
            </w:pPr>
            <w:r w:rsidRPr="00CD78CA">
              <w:rPr>
                <w:rFonts w:eastAsia="Calibri"/>
                <w:sz w:val="20"/>
                <w:szCs w:val="22"/>
              </w:rPr>
              <w:t xml:space="preserve">Témavezetett hallgató, kísérletes kutatás esetén, szakdolgozatkészítés fázisában (amennyiben legalább 5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EDEDED"/>
          </w:tcPr>
          <w:p w14:paraId="5964C140"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EDEDED"/>
          </w:tcPr>
          <w:p w14:paraId="0956A971" w14:textId="77777777" w:rsidR="00FD0545" w:rsidRPr="00CD78CA" w:rsidRDefault="00FD0545" w:rsidP="00026782">
            <w:pPr>
              <w:jc w:val="center"/>
              <w:rPr>
                <w:rFonts w:eastAsia="Calibri"/>
                <w:sz w:val="20"/>
                <w:szCs w:val="22"/>
              </w:rPr>
            </w:pPr>
            <w:r w:rsidRPr="00CD78CA">
              <w:rPr>
                <w:rFonts w:eastAsia="Calibri"/>
                <w:sz w:val="20"/>
                <w:szCs w:val="22"/>
              </w:rPr>
              <w:t>2 pont</w:t>
            </w:r>
          </w:p>
        </w:tc>
        <w:tc>
          <w:tcPr>
            <w:tcW w:w="1266" w:type="dxa"/>
            <w:shd w:val="clear" w:color="auto" w:fill="EDEDED"/>
          </w:tcPr>
          <w:p w14:paraId="5CAF0AD2" w14:textId="77777777" w:rsidR="00FD0545" w:rsidRPr="00CD78CA" w:rsidRDefault="00FD0545" w:rsidP="00026782">
            <w:pPr>
              <w:jc w:val="center"/>
              <w:rPr>
                <w:rFonts w:eastAsia="Calibri"/>
                <w:sz w:val="20"/>
                <w:szCs w:val="22"/>
              </w:rPr>
            </w:pPr>
            <w:r w:rsidRPr="00CD78CA">
              <w:rPr>
                <w:rFonts w:eastAsia="Calibri"/>
                <w:sz w:val="20"/>
                <w:szCs w:val="22"/>
              </w:rPr>
              <w:t>3 pont</w:t>
            </w:r>
          </w:p>
        </w:tc>
        <w:tc>
          <w:tcPr>
            <w:tcW w:w="1588" w:type="dxa"/>
            <w:shd w:val="clear" w:color="auto" w:fill="EDEDED"/>
          </w:tcPr>
          <w:p w14:paraId="423F1206" w14:textId="77777777" w:rsidR="00FD0545" w:rsidRPr="00CD78CA" w:rsidRDefault="00FD0545" w:rsidP="00026782">
            <w:pPr>
              <w:jc w:val="center"/>
              <w:rPr>
                <w:rFonts w:eastAsia="Calibri"/>
                <w:sz w:val="20"/>
                <w:szCs w:val="22"/>
              </w:rPr>
            </w:pPr>
            <w:r w:rsidRPr="00CD78CA">
              <w:rPr>
                <w:rFonts w:eastAsia="Calibri"/>
                <w:sz w:val="20"/>
                <w:szCs w:val="22"/>
              </w:rPr>
              <w:t>20 pont</w:t>
            </w:r>
          </w:p>
        </w:tc>
        <w:tc>
          <w:tcPr>
            <w:tcW w:w="1148" w:type="dxa"/>
            <w:shd w:val="clear" w:color="auto" w:fill="EDEDED"/>
          </w:tcPr>
          <w:p w14:paraId="08A35410" w14:textId="77777777" w:rsidR="00FD0545" w:rsidRPr="00CD78CA" w:rsidRDefault="00FD0545" w:rsidP="00026782">
            <w:pPr>
              <w:jc w:val="center"/>
              <w:rPr>
                <w:rFonts w:eastAsia="Calibri"/>
                <w:sz w:val="20"/>
                <w:szCs w:val="22"/>
              </w:rPr>
            </w:pPr>
            <w:r w:rsidRPr="00CD78CA">
              <w:rPr>
                <w:rFonts w:eastAsia="Calibri"/>
                <w:sz w:val="20"/>
                <w:szCs w:val="22"/>
              </w:rPr>
              <w:t>30 pont</w:t>
            </w:r>
          </w:p>
        </w:tc>
      </w:tr>
      <w:tr w:rsidR="00FD0545" w:rsidRPr="00CD78CA" w14:paraId="02F41563" w14:textId="77777777" w:rsidTr="00026782">
        <w:trPr>
          <w:jc w:val="center"/>
        </w:trPr>
        <w:tc>
          <w:tcPr>
            <w:tcW w:w="2822" w:type="dxa"/>
            <w:shd w:val="clear" w:color="auto" w:fill="DBDBDB"/>
          </w:tcPr>
          <w:p w14:paraId="3745C926" w14:textId="77777777" w:rsidR="00FD0545" w:rsidRPr="00CD78CA" w:rsidRDefault="00FD0545" w:rsidP="00026782">
            <w:pPr>
              <w:rPr>
                <w:rFonts w:eastAsia="Calibri"/>
                <w:sz w:val="20"/>
                <w:szCs w:val="22"/>
              </w:rPr>
            </w:pPr>
            <w:r w:rsidRPr="00CD78CA">
              <w:rPr>
                <w:rFonts w:eastAsia="Calibri"/>
                <w:sz w:val="20"/>
                <w:szCs w:val="22"/>
              </w:rPr>
              <w:t xml:space="preserve">Konzulensi feladatok ellátása, szakdolgozat-készítés fázisában (amennyiben legalább 3 </w:t>
            </w:r>
            <w:proofErr w:type="gramStart"/>
            <w:r w:rsidRPr="00CD78CA">
              <w:rPr>
                <w:rFonts w:eastAsia="Calibri"/>
                <w:sz w:val="20"/>
                <w:szCs w:val="22"/>
              </w:rPr>
              <w:t>konzultációra</w:t>
            </w:r>
            <w:proofErr w:type="gramEnd"/>
            <w:r w:rsidRPr="00CD78CA">
              <w:rPr>
                <w:rFonts w:eastAsia="Calibri"/>
                <w:sz w:val="20"/>
                <w:szCs w:val="22"/>
              </w:rPr>
              <w:t xml:space="preserve"> sor kerül)</w:t>
            </w:r>
          </w:p>
        </w:tc>
        <w:tc>
          <w:tcPr>
            <w:tcW w:w="864" w:type="dxa"/>
            <w:shd w:val="clear" w:color="auto" w:fill="DBDBDB"/>
          </w:tcPr>
          <w:p w14:paraId="0B4290F2" w14:textId="77777777" w:rsidR="00FD0545" w:rsidRPr="00CD78CA" w:rsidRDefault="00FD0545" w:rsidP="00026782">
            <w:pPr>
              <w:rPr>
                <w:rFonts w:eastAsia="Calibri"/>
                <w:sz w:val="20"/>
                <w:szCs w:val="22"/>
              </w:rPr>
            </w:pPr>
            <w:r w:rsidRPr="00CD78CA">
              <w:rPr>
                <w:rFonts w:eastAsia="Calibri"/>
                <w:sz w:val="20"/>
                <w:szCs w:val="22"/>
              </w:rPr>
              <w:t>fő</w:t>
            </w:r>
          </w:p>
        </w:tc>
        <w:tc>
          <w:tcPr>
            <w:tcW w:w="1374" w:type="dxa"/>
            <w:shd w:val="clear" w:color="auto" w:fill="DBDBDB"/>
          </w:tcPr>
          <w:p w14:paraId="13BF5B19" w14:textId="77777777" w:rsidR="00FD0545" w:rsidRPr="00CD78CA" w:rsidRDefault="00FD0545" w:rsidP="00026782">
            <w:pPr>
              <w:jc w:val="center"/>
              <w:rPr>
                <w:rFonts w:eastAsia="Calibri"/>
                <w:sz w:val="20"/>
                <w:szCs w:val="22"/>
              </w:rPr>
            </w:pPr>
            <w:r w:rsidRPr="00CD78CA">
              <w:rPr>
                <w:rFonts w:eastAsia="Calibri"/>
                <w:sz w:val="20"/>
                <w:szCs w:val="22"/>
              </w:rPr>
              <w:t>0,75 pont</w:t>
            </w:r>
          </w:p>
        </w:tc>
        <w:tc>
          <w:tcPr>
            <w:tcW w:w="1266" w:type="dxa"/>
            <w:shd w:val="clear" w:color="auto" w:fill="DBDBDB"/>
          </w:tcPr>
          <w:p w14:paraId="2F1696FD" w14:textId="77777777" w:rsidR="00FD0545" w:rsidRPr="00CD78CA" w:rsidRDefault="00FD0545" w:rsidP="00026782">
            <w:pPr>
              <w:jc w:val="center"/>
              <w:rPr>
                <w:rFonts w:eastAsia="Calibri"/>
                <w:sz w:val="20"/>
                <w:szCs w:val="22"/>
              </w:rPr>
            </w:pPr>
            <w:r w:rsidRPr="00CD78CA">
              <w:rPr>
                <w:rFonts w:eastAsia="Calibri"/>
                <w:sz w:val="20"/>
                <w:szCs w:val="22"/>
              </w:rPr>
              <w:t>1,15 pont</w:t>
            </w:r>
          </w:p>
        </w:tc>
        <w:tc>
          <w:tcPr>
            <w:tcW w:w="1588" w:type="dxa"/>
            <w:shd w:val="clear" w:color="auto" w:fill="DBDBDB"/>
          </w:tcPr>
          <w:p w14:paraId="10AB37A3" w14:textId="77777777" w:rsidR="00FD0545" w:rsidRPr="00CD78CA" w:rsidRDefault="00FD0545" w:rsidP="00026782">
            <w:pPr>
              <w:jc w:val="center"/>
              <w:rPr>
                <w:rFonts w:eastAsia="Calibri"/>
                <w:sz w:val="20"/>
                <w:szCs w:val="22"/>
              </w:rPr>
            </w:pPr>
            <w:r w:rsidRPr="00CD78CA">
              <w:rPr>
                <w:rFonts w:eastAsia="Calibri"/>
                <w:sz w:val="20"/>
                <w:szCs w:val="22"/>
              </w:rPr>
              <w:t>15 pont</w:t>
            </w:r>
          </w:p>
        </w:tc>
        <w:tc>
          <w:tcPr>
            <w:tcW w:w="1148" w:type="dxa"/>
            <w:shd w:val="clear" w:color="auto" w:fill="DBDBDB"/>
          </w:tcPr>
          <w:p w14:paraId="138225E2" w14:textId="77777777" w:rsidR="00FD0545" w:rsidRPr="00CD78CA" w:rsidRDefault="00FD0545" w:rsidP="00026782">
            <w:pPr>
              <w:jc w:val="center"/>
              <w:rPr>
                <w:rFonts w:eastAsia="Calibri"/>
                <w:sz w:val="20"/>
                <w:szCs w:val="22"/>
              </w:rPr>
            </w:pPr>
            <w:r w:rsidRPr="00CD78CA">
              <w:rPr>
                <w:rFonts w:eastAsia="Calibri"/>
                <w:sz w:val="20"/>
                <w:szCs w:val="22"/>
              </w:rPr>
              <w:t>22,5 pont</w:t>
            </w:r>
          </w:p>
        </w:tc>
      </w:tr>
    </w:tbl>
    <w:p w14:paraId="68E538F9" w14:textId="77777777" w:rsidR="00FD0545" w:rsidRDefault="00FD0545" w:rsidP="00FD0545">
      <w:pPr>
        <w:spacing w:before="160"/>
        <w:jc w:val="both"/>
        <w:rPr>
          <w:rFonts w:eastAsia="Calibri"/>
          <w:sz w:val="22"/>
          <w:szCs w:val="22"/>
        </w:rPr>
      </w:pPr>
      <w:r w:rsidRPr="00E13CE5">
        <w:rPr>
          <w:rFonts w:eastAsia="Calibri"/>
          <w:sz w:val="22"/>
          <w:szCs w:val="22"/>
        </w:rPr>
        <w:t>* A pontlevonás alól a kari Szakdolgozat Módszertani Bizottság elnöke adhat felmentést az érintett hallgatói és témavezetői létszám ismeretében, egy tanévre vonatkozóan. Az eljárást nem kell kezdeményezni, azt indokolt esetben a Szakdolgozat Módszertani Bizottság minden tanév elején határozatba iktatja.</w:t>
      </w:r>
    </w:p>
    <w:p w14:paraId="3CC7A9A3" w14:textId="77777777" w:rsidR="00FD0545" w:rsidRPr="00E13CE5" w:rsidRDefault="00FD0545" w:rsidP="00FD0545">
      <w:pPr>
        <w:spacing w:before="160"/>
        <w:jc w:val="both"/>
        <w:rPr>
          <w:rFonts w:eastAsia="Calibri"/>
          <w:sz w:val="22"/>
          <w:szCs w:val="22"/>
        </w:rPr>
      </w:pPr>
    </w:p>
    <w:p w14:paraId="52C3A263"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20801DB8" w14:textId="77777777" w:rsidTr="00026782">
        <w:tc>
          <w:tcPr>
            <w:tcW w:w="1980" w:type="dxa"/>
            <w:shd w:val="clear" w:color="auto" w:fill="F2F2F2"/>
          </w:tcPr>
          <w:p w14:paraId="36399771"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5A739DF8" w14:textId="77777777" w:rsidR="00FD0545" w:rsidRPr="00C376DE" w:rsidRDefault="00FD0545" w:rsidP="00026782">
            <w:pPr>
              <w:rPr>
                <w:rFonts w:eastAsia="Calibri"/>
                <w:b/>
                <w:bCs/>
                <w:sz w:val="22"/>
                <w:szCs w:val="22"/>
              </w:rPr>
            </w:pPr>
            <w:r w:rsidRPr="00C376DE">
              <w:rPr>
                <w:rFonts w:eastAsia="Calibri"/>
                <w:b/>
                <w:bCs/>
                <w:sz w:val="22"/>
                <w:szCs w:val="22"/>
              </w:rPr>
              <w:t xml:space="preserve">Szakdolgozat nyilvántartó rendszerből lekérdezéssel </w:t>
            </w:r>
          </w:p>
        </w:tc>
      </w:tr>
      <w:tr w:rsidR="00FD0545" w:rsidRPr="00C376DE" w14:paraId="428B61C3" w14:textId="77777777" w:rsidTr="00026782">
        <w:tc>
          <w:tcPr>
            <w:tcW w:w="1980" w:type="dxa"/>
            <w:shd w:val="clear" w:color="auto" w:fill="F2F2F2"/>
          </w:tcPr>
          <w:p w14:paraId="6E00E186"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32D8CF09"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4475EE76" w14:textId="77777777" w:rsidTr="00026782">
        <w:tc>
          <w:tcPr>
            <w:tcW w:w="1980" w:type="dxa"/>
            <w:shd w:val="clear" w:color="auto" w:fill="F2F2F2"/>
          </w:tcPr>
          <w:p w14:paraId="78325957"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3E9A6733"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7B4A0406"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156"/>
        <w:gridCol w:w="1418"/>
        <w:gridCol w:w="1537"/>
        <w:gridCol w:w="1686"/>
      </w:tblGrid>
      <w:tr w:rsidR="00FD0545" w:rsidRPr="00CD78CA" w14:paraId="03988D23" w14:textId="77777777" w:rsidTr="00026782">
        <w:trPr>
          <w:jc w:val="center"/>
        </w:trPr>
        <w:tc>
          <w:tcPr>
            <w:tcW w:w="3156" w:type="dxa"/>
            <w:tcBorders>
              <w:top w:val="single" w:sz="4" w:space="0" w:color="FFFFFF"/>
              <w:left w:val="single" w:sz="4" w:space="0" w:color="FFFFFF"/>
              <w:right w:val="nil"/>
            </w:tcBorders>
            <w:shd w:val="clear" w:color="auto" w:fill="EDEDED"/>
          </w:tcPr>
          <w:p w14:paraId="61894E3E" w14:textId="77777777" w:rsidR="00FD0545" w:rsidRPr="00CD78CA" w:rsidRDefault="00FD0545" w:rsidP="00026782">
            <w:pPr>
              <w:jc w:val="center"/>
              <w:rPr>
                <w:rFonts w:eastAsia="Calibri"/>
                <w:b/>
                <w:bCs/>
                <w:sz w:val="22"/>
                <w:szCs w:val="22"/>
              </w:rPr>
            </w:pPr>
            <w:r w:rsidRPr="00CD78CA">
              <w:rPr>
                <w:rFonts w:eastAsia="Calibri"/>
                <w:b/>
                <w:bCs/>
                <w:sz w:val="22"/>
                <w:szCs w:val="22"/>
              </w:rPr>
              <w:lastRenderedPageBreak/>
              <w:t>Elismert teljesítmény</w:t>
            </w:r>
          </w:p>
        </w:tc>
        <w:tc>
          <w:tcPr>
            <w:tcW w:w="1418" w:type="dxa"/>
            <w:tcBorders>
              <w:top w:val="single" w:sz="4" w:space="0" w:color="FFFFFF"/>
              <w:left w:val="nil"/>
              <w:right w:val="nil"/>
            </w:tcBorders>
            <w:shd w:val="clear" w:color="auto" w:fill="EDEDED"/>
          </w:tcPr>
          <w:p w14:paraId="6B8B884C" w14:textId="77777777" w:rsidR="00FD0545" w:rsidRPr="00CD78CA" w:rsidRDefault="00FD0545" w:rsidP="00026782">
            <w:pPr>
              <w:jc w:val="center"/>
              <w:rPr>
                <w:rFonts w:eastAsia="Calibri"/>
                <w:b/>
                <w:bCs/>
                <w:sz w:val="22"/>
                <w:szCs w:val="22"/>
              </w:rPr>
            </w:pPr>
            <w:r w:rsidRPr="00CD78CA">
              <w:rPr>
                <w:rFonts w:eastAsia="Calibri"/>
                <w:b/>
                <w:bCs/>
                <w:sz w:val="22"/>
                <w:szCs w:val="22"/>
              </w:rPr>
              <w:t>Mérésegység</w:t>
            </w:r>
          </w:p>
        </w:tc>
        <w:tc>
          <w:tcPr>
            <w:tcW w:w="1537" w:type="dxa"/>
            <w:tcBorders>
              <w:top w:val="single" w:sz="4" w:space="0" w:color="FFFFFF"/>
              <w:left w:val="nil"/>
              <w:right w:val="nil"/>
            </w:tcBorders>
            <w:shd w:val="clear" w:color="auto" w:fill="EDEDED"/>
          </w:tcPr>
          <w:p w14:paraId="62F8BB67" w14:textId="77777777" w:rsidR="00FD0545" w:rsidRPr="00CD78CA" w:rsidRDefault="00FD0545" w:rsidP="00026782">
            <w:pPr>
              <w:jc w:val="center"/>
              <w:rPr>
                <w:rFonts w:eastAsia="Calibri"/>
                <w:b/>
                <w:bCs/>
                <w:sz w:val="22"/>
                <w:szCs w:val="22"/>
              </w:rPr>
            </w:pPr>
            <w:r w:rsidRPr="00CD78CA">
              <w:rPr>
                <w:rFonts w:eastAsia="Calibri"/>
                <w:b/>
                <w:bCs/>
                <w:sz w:val="22"/>
                <w:szCs w:val="22"/>
              </w:rPr>
              <w:t>Egységpont</w:t>
            </w:r>
          </w:p>
        </w:tc>
        <w:tc>
          <w:tcPr>
            <w:tcW w:w="1686" w:type="dxa"/>
            <w:tcBorders>
              <w:top w:val="single" w:sz="4" w:space="0" w:color="FFFFFF"/>
              <w:left w:val="nil"/>
              <w:right w:val="single" w:sz="4" w:space="0" w:color="FFFFFF"/>
            </w:tcBorders>
            <w:shd w:val="clear" w:color="auto" w:fill="EDEDED"/>
          </w:tcPr>
          <w:p w14:paraId="7B3A388E" w14:textId="77777777" w:rsidR="00FD0545" w:rsidRPr="00CD78CA" w:rsidRDefault="00FD0545" w:rsidP="00026782">
            <w:pPr>
              <w:jc w:val="center"/>
              <w:rPr>
                <w:rFonts w:eastAsia="Calibri"/>
                <w:b/>
                <w:bCs/>
                <w:sz w:val="22"/>
                <w:szCs w:val="22"/>
              </w:rPr>
            </w:pPr>
            <w:r w:rsidRPr="00CD78CA">
              <w:rPr>
                <w:rFonts w:eastAsia="Calibri"/>
                <w:b/>
                <w:bCs/>
                <w:sz w:val="22"/>
                <w:szCs w:val="22"/>
              </w:rPr>
              <w:t>Maximum pont</w:t>
            </w:r>
          </w:p>
        </w:tc>
      </w:tr>
      <w:tr w:rsidR="00FD0545" w:rsidRPr="00C376DE" w14:paraId="4E16D60C" w14:textId="77777777" w:rsidTr="00026782">
        <w:trPr>
          <w:jc w:val="center"/>
        </w:trPr>
        <w:tc>
          <w:tcPr>
            <w:tcW w:w="3156" w:type="dxa"/>
            <w:shd w:val="clear" w:color="auto" w:fill="EDEDED"/>
          </w:tcPr>
          <w:p w14:paraId="0E6B1A69" w14:textId="77777777" w:rsidR="00FD0545" w:rsidRPr="00C376DE" w:rsidRDefault="00FD0545" w:rsidP="00026782">
            <w:pPr>
              <w:rPr>
                <w:rFonts w:eastAsia="Calibri"/>
                <w:sz w:val="22"/>
                <w:szCs w:val="22"/>
              </w:rPr>
            </w:pPr>
            <w:r w:rsidRPr="00C376DE">
              <w:rPr>
                <w:rFonts w:eastAsia="Calibri"/>
                <w:sz w:val="22"/>
                <w:szCs w:val="22"/>
              </w:rPr>
              <w:t>Szakdolgozat opponensi tevékenység</w:t>
            </w:r>
          </w:p>
        </w:tc>
        <w:tc>
          <w:tcPr>
            <w:tcW w:w="1418" w:type="dxa"/>
            <w:shd w:val="clear" w:color="auto" w:fill="EDEDED"/>
          </w:tcPr>
          <w:p w14:paraId="3DE0E571" w14:textId="77777777" w:rsidR="00FD0545" w:rsidRPr="00C376DE" w:rsidRDefault="00FD0545" w:rsidP="00026782">
            <w:pPr>
              <w:jc w:val="center"/>
              <w:rPr>
                <w:rFonts w:eastAsia="Calibri"/>
                <w:sz w:val="22"/>
                <w:szCs w:val="22"/>
              </w:rPr>
            </w:pPr>
            <w:r w:rsidRPr="00C376DE">
              <w:rPr>
                <w:rFonts w:eastAsia="Calibri"/>
                <w:sz w:val="22"/>
                <w:szCs w:val="22"/>
              </w:rPr>
              <w:t>darab</w:t>
            </w:r>
          </w:p>
        </w:tc>
        <w:tc>
          <w:tcPr>
            <w:tcW w:w="1537" w:type="dxa"/>
            <w:shd w:val="clear" w:color="auto" w:fill="EDEDED"/>
          </w:tcPr>
          <w:p w14:paraId="77CEFBD6" w14:textId="77777777" w:rsidR="00FD0545" w:rsidRPr="00C376DE" w:rsidRDefault="00FD0545" w:rsidP="00026782">
            <w:pPr>
              <w:jc w:val="center"/>
              <w:rPr>
                <w:rFonts w:eastAsia="Calibri"/>
                <w:sz w:val="22"/>
                <w:szCs w:val="22"/>
              </w:rPr>
            </w:pPr>
            <w:r w:rsidRPr="00C376DE">
              <w:rPr>
                <w:rFonts w:eastAsia="Calibri"/>
                <w:sz w:val="22"/>
                <w:szCs w:val="22"/>
              </w:rPr>
              <w:t>2 pont</w:t>
            </w:r>
          </w:p>
        </w:tc>
        <w:tc>
          <w:tcPr>
            <w:tcW w:w="1686" w:type="dxa"/>
            <w:shd w:val="clear" w:color="auto" w:fill="EDEDED"/>
          </w:tcPr>
          <w:p w14:paraId="5AA02E23"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229F991D" w14:textId="77777777" w:rsidTr="00026782">
        <w:trPr>
          <w:jc w:val="center"/>
        </w:trPr>
        <w:tc>
          <w:tcPr>
            <w:tcW w:w="3156" w:type="dxa"/>
            <w:shd w:val="clear" w:color="auto" w:fill="EDEDED"/>
          </w:tcPr>
          <w:p w14:paraId="5D1E6253" w14:textId="77777777" w:rsidR="00FD0545" w:rsidRPr="00C376DE" w:rsidRDefault="00FD0545" w:rsidP="00026782">
            <w:pPr>
              <w:rPr>
                <w:rFonts w:eastAsia="Calibri"/>
                <w:sz w:val="22"/>
                <w:szCs w:val="22"/>
              </w:rPr>
            </w:pPr>
            <w:r w:rsidRPr="00C376DE">
              <w:rPr>
                <w:rFonts w:eastAsia="Calibri"/>
                <w:color w:val="000000"/>
                <w:sz w:val="22"/>
                <w:szCs w:val="22"/>
              </w:rPr>
              <w:t xml:space="preserve">Írásbeli záróvizsgadolgozat összeállítására </w:t>
            </w:r>
          </w:p>
        </w:tc>
        <w:tc>
          <w:tcPr>
            <w:tcW w:w="1418" w:type="dxa"/>
            <w:shd w:val="clear" w:color="auto" w:fill="EDEDED"/>
          </w:tcPr>
          <w:p w14:paraId="71AEED6E" w14:textId="77777777" w:rsidR="00FD0545" w:rsidRPr="00C376DE" w:rsidRDefault="00FD0545" w:rsidP="00026782">
            <w:pPr>
              <w:jc w:val="center"/>
              <w:rPr>
                <w:rFonts w:eastAsia="Calibri"/>
                <w:sz w:val="22"/>
                <w:szCs w:val="22"/>
              </w:rPr>
            </w:pPr>
            <w:r w:rsidRPr="00C376DE">
              <w:rPr>
                <w:rFonts w:eastAsia="Calibri"/>
                <w:sz w:val="22"/>
                <w:szCs w:val="22"/>
              </w:rPr>
              <w:t>darab</w:t>
            </w:r>
          </w:p>
        </w:tc>
        <w:tc>
          <w:tcPr>
            <w:tcW w:w="1537" w:type="dxa"/>
            <w:shd w:val="clear" w:color="auto" w:fill="EDEDED"/>
          </w:tcPr>
          <w:p w14:paraId="5ED788A6" w14:textId="77777777" w:rsidR="00FD0545" w:rsidRPr="00C376DE" w:rsidRDefault="00FD0545" w:rsidP="00026782">
            <w:pPr>
              <w:jc w:val="center"/>
              <w:rPr>
                <w:rFonts w:eastAsia="Calibri"/>
                <w:sz w:val="22"/>
                <w:szCs w:val="22"/>
              </w:rPr>
            </w:pPr>
            <w:r w:rsidRPr="00C376DE">
              <w:rPr>
                <w:rFonts w:eastAsia="Calibri"/>
                <w:sz w:val="22"/>
                <w:szCs w:val="22"/>
              </w:rPr>
              <w:t>3 pont</w:t>
            </w:r>
          </w:p>
        </w:tc>
        <w:tc>
          <w:tcPr>
            <w:tcW w:w="1686" w:type="dxa"/>
            <w:shd w:val="clear" w:color="auto" w:fill="EDEDED"/>
          </w:tcPr>
          <w:p w14:paraId="0DA23388" w14:textId="77777777" w:rsidR="00FD0545" w:rsidRPr="00C376DE" w:rsidRDefault="00FD0545" w:rsidP="00026782">
            <w:pPr>
              <w:jc w:val="center"/>
              <w:rPr>
                <w:rFonts w:eastAsia="Calibri"/>
                <w:sz w:val="22"/>
                <w:szCs w:val="22"/>
              </w:rPr>
            </w:pPr>
            <w:r w:rsidRPr="00C376DE">
              <w:rPr>
                <w:rFonts w:eastAsia="Calibri"/>
                <w:sz w:val="22"/>
                <w:szCs w:val="22"/>
              </w:rPr>
              <w:t>6 pont</w:t>
            </w:r>
          </w:p>
        </w:tc>
      </w:tr>
      <w:tr w:rsidR="00FD0545" w:rsidRPr="00C376DE" w14:paraId="006D91B2" w14:textId="77777777" w:rsidTr="00026782">
        <w:trPr>
          <w:jc w:val="center"/>
        </w:trPr>
        <w:tc>
          <w:tcPr>
            <w:tcW w:w="3156" w:type="dxa"/>
            <w:shd w:val="clear" w:color="auto" w:fill="EDEDED"/>
          </w:tcPr>
          <w:p w14:paraId="5FC1A38F" w14:textId="77777777" w:rsidR="00FD0545" w:rsidRPr="00C376DE" w:rsidRDefault="00FD0545" w:rsidP="00026782">
            <w:pPr>
              <w:rPr>
                <w:rFonts w:eastAsia="Calibri"/>
                <w:sz w:val="22"/>
                <w:szCs w:val="22"/>
              </w:rPr>
            </w:pPr>
            <w:r w:rsidRPr="00C376DE">
              <w:rPr>
                <w:rFonts w:eastAsia="Calibri"/>
                <w:color w:val="000000"/>
                <w:sz w:val="22"/>
                <w:szCs w:val="22"/>
              </w:rPr>
              <w:t>Teremfelügyelői feladat ellátása</w:t>
            </w:r>
          </w:p>
        </w:tc>
        <w:tc>
          <w:tcPr>
            <w:tcW w:w="1418" w:type="dxa"/>
            <w:shd w:val="clear" w:color="auto" w:fill="EDEDED"/>
          </w:tcPr>
          <w:p w14:paraId="22AC7D5E"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4E523F83"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686" w:type="dxa"/>
            <w:shd w:val="clear" w:color="auto" w:fill="EDEDED"/>
          </w:tcPr>
          <w:p w14:paraId="445B5F8E" w14:textId="77777777" w:rsidR="00FD0545" w:rsidRPr="00C376DE" w:rsidRDefault="00FD0545" w:rsidP="00026782">
            <w:pPr>
              <w:jc w:val="center"/>
              <w:rPr>
                <w:rFonts w:eastAsia="Calibri"/>
                <w:sz w:val="22"/>
                <w:szCs w:val="22"/>
              </w:rPr>
            </w:pPr>
            <w:r w:rsidRPr="00C376DE">
              <w:rPr>
                <w:rFonts w:eastAsia="Calibri"/>
                <w:sz w:val="22"/>
                <w:szCs w:val="22"/>
              </w:rPr>
              <w:t>3 pont</w:t>
            </w:r>
          </w:p>
        </w:tc>
      </w:tr>
      <w:tr w:rsidR="00FD0545" w:rsidRPr="00C376DE" w14:paraId="1B2AE0DE" w14:textId="77777777" w:rsidTr="00026782">
        <w:trPr>
          <w:jc w:val="center"/>
        </w:trPr>
        <w:tc>
          <w:tcPr>
            <w:tcW w:w="3156" w:type="dxa"/>
            <w:shd w:val="clear" w:color="auto" w:fill="EDEDED"/>
          </w:tcPr>
          <w:p w14:paraId="067B1B9B" w14:textId="77777777" w:rsidR="00FD0545" w:rsidRPr="00C376DE" w:rsidRDefault="00FD0545" w:rsidP="00026782">
            <w:pPr>
              <w:rPr>
                <w:rFonts w:eastAsia="Calibri"/>
                <w:sz w:val="22"/>
                <w:szCs w:val="22"/>
              </w:rPr>
            </w:pPr>
            <w:r w:rsidRPr="00C376DE">
              <w:rPr>
                <w:rFonts w:eastAsia="Calibri"/>
                <w:sz w:val="22"/>
                <w:szCs w:val="22"/>
              </w:rPr>
              <w:t xml:space="preserve">Dolgozat </w:t>
            </w:r>
            <w:proofErr w:type="gramStart"/>
            <w:r w:rsidRPr="00C376DE">
              <w:rPr>
                <w:rFonts w:eastAsia="Calibri"/>
                <w:sz w:val="22"/>
                <w:szCs w:val="22"/>
              </w:rPr>
              <w:t>manuális</w:t>
            </w:r>
            <w:proofErr w:type="gramEnd"/>
            <w:r w:rsidRPr="00C376DE">
              <w:rPr>
                <w:rFonts w:eastAsia="Calibri"/>
                <w:sz w:val="22"/>
                <w:szCs w:val="22"/>
              </w:rPr>
              <w:t xml:space="preserve"> javítása</w:t>
            </w:r>
          </w:p>
        </w:tc>
        <w:tc>
          <w:tcPr>
            <w:tcW w:w="1418" w:type="dxa"/>
            <w:shd w:val="clear" w:color="auto" w:fill="EDEDED"/>
          </w:tcPr>
          <w:p w14:paraId="3BDEB6CB" w14:textId="77777777" w:rsidR="00FD0545" w:rsidRPr="00C376DE" w:rsidRDefault="00FD0545" w:rsidP="00026782">
            <w:pPr>
              <w:jc w:val="center"/>
              <w:rPr>
                <w:rFonts w:eastAsia="Calibri"/>
                <w:sz w:val="22"/>
                <w:szCs w:val="22"/>
              </w:rPr>
            </w:pPr>
            <w:r w:rsidRPr="00C376DE">
              <w:rPr>
                <w:rFonts w:eastAsia="Calibri"/>
                <w:sz w:val="22"/>
                <w:szCs w:val="22"/>
              </w:rPr>
              <w:t>darab</w:t>
            </w:r>
          </w:p>
        </w:tc>
        <w:tc>
          <w:tcPr>
            <w:tcW w:w="1537" w:type="dxa"/>
            <w:shd w:val="clear" w:color="auto" w:fill="EDEDED"/>
          </w:tcPr>
          <w:p w14:paraId="6A175288" w14:textId="77777777" w:rsidR="00FD0545" w:rsidRPr="00C376DE" w:rsidRDefault="00FD0545" w:rsidP="00026782">
            <w:pPr>
              <w:jc w:val="center"/>
              <w:rPr>
                <w:rFonts w:eastAsia="Calibri"/>
                <w:sz w:val="22"/>
                <w:szCs w:val="22"/>
              </w:rPr>
            </w:pPr>
            <w:r w:rsidRPr="00C376DE">
              <w:rPr>
                <w:rFonts w:eastAsia="Calibri"/>
                <w:sz w:val="22"/>
                <w:szCs w:val="22"/>
              </w:rPr>
              <w:t>0,1 pont</w:t>
            </w:r>
          </w:p>
        </w:tc>
        <w:tc>
          <w:tcPr>
            <w:tcW w:w="1686" w:type="dxa"/>
            <w:shd w:val="clear" w:color="auto" w:fill="EDEDED"/>
          </w:tcPr>
          <w:p w14:paraId="1BC6229F"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2BEDF7F2" w14:textId="77777777" w:rsidTr="00026782">
        <w:trPr>
          <w:jc w:val="center"/>
        </w:trPr>
        <w:tc>
          <w:tcPr>
            <w:tcW w:w="3156" w:type="dxa"/>
            <w:shd w:val="clear" w:color="auto" w:fill="EDEDED"/>
          </w:tcPr>
          <w:p w14:paraId="5701537A" w14:textId="77777777" w:rsidR="00FD0545" w:rsidRPr="00C376DE" w:rsidRDefault="00FD0545" w:rsidP="00026782">
            <w:pPr>
              <w:rPr>
                <w:rFonts w:eastAsia="Calibri"/>
                <w:sz w:val="22"/>
                <w:szCs w:val="22"/>
              </w:rPr>
            </w:pPr>
            <w:r w:rsidRPr="00C376DE">
              <w:rPr>
                <w:rFonts w:eastAsia="Calibri"/>
                <w:sz w:val="22"/>
                <w:szCs w:val="22"/>
              </w:rPr>
              <w:t xml:space="preserve">Dolgozathoz kötött </w:t>
            </w:r>
            <w:proofErr w:type="gramStart"/>
            <w:r w:rsidRPr="00C376DE">
              <w:rPr>
                <w:rFonts w:eastAsia="Calibri"/>
                <w:sz w:val="22"/>
                <w:szCs w:val="22"/>
              </w:rPr>
              <w:t>konzultáció</w:t>
            </w:r>
            <w:proofErr w:type="gramEnd"/>
            <w:r w:rsidRPr="00C376DE">
              <w:rPr>
                <w:rFonts w:eastAsia="Calibri"/>
                <w:sz w:val="22"/>
                <w:szCs w:val="22"/>
              </w:rPr>
              <w:t xml:space="preserve"> (betekintés) biztosítása</w:t>
            </w:r>
          </w:p>
        </w:tc>
        <w:tc>
          <w:tcPr>
            <w:tcW w:w="1418" w:type="dxa"/>
            <w:shd w:val="clear" w:color="auto" w:fill="EDEDED"/>
          </w:tcPr>
          <w:p w14:paraId="68EC5D50"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4EC4B8C7"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686" w:type="dxa"/>
            <w:shd w:val="clear" w:color="auto" w:fill="EDEDED"/>
          </w:tcPr>
          <w:p w14:paraId="6BF187A7" w14:textId="77777777" w:rsidR="00FD0545" w:rsidRPr="00C376DE" w:rsidRDefault="00FD0545" w:rsidP="00026782">
            <w:pPr>
              <w:jc w:val="center"/>
              <w:rPr>
                <w:rFonts w:eastAsia="Calibri"/>
                <w:sz w:val="22"/>
                <w:szCs w:val="22"/>
              </w:rPr>
            </w:pPr>
            <w:r w:rsidRPr="00C376DE">
              <w:rPr>
                <w:rFonts w:eastAsia="Calibri"/>
                <w:sz w:val="22"/>
                <w:szCs w:val="22"/>
              </w:rPr>
              <w:t>3 pont</w:t>
            </w:r>
          </w:p>
        </w:tc>
      </w:tr>
      <w:tr w:rsidR="00FD0545" w:rsidRPr="00C376DE" w14:paraId="4EDEAE32" w14:textId="77777777" w:rsidTr="00026782">
        <w:trPr>
          <w:jc w:val="center"/>
        </w:trPr>
        <w:tc>
          <w:tcPr>
            <w:tcW w:w="3156" w:type="dxa"/>
            <w:shd w:val="clear" w:color="auto" w:fill="EDEDED"/>
          </w:tcPr>
          <w:p w14:paraId="634DD681" w14:textId="77777777" w:rsidR="00FD0545" w:rsidRPr="00C376DE" w:rsidRDefault="00FD0545" w:rsidP="00026782">
            <w:pPr>
              <w:rPr>
                <w:rFonts w:eastAsia="Calibri"/>
                <w:sz w:val="22"/>
                <w:szCs w:val="22"/>
              </w:rPr>
            </w:pPr>
            <w:proofErr w:type="gramStart"/>
            <w:r w:rsidRPr="00C376DE">
              <w:rPr>
                <w:rFonts w:eastAsia="Calibri"/>
                <w:sz w:val="22"/>
                <w:szCs w:val="22"/>
              </w:rPr>
              <w:t>Demonstrációs</w:t>
            </w:r>
            <w:proofErr w:type="gramEnd"/>
            <w:r w:rsidRPr="00C376DE">
              <w:rPr>
                <w:rFonts w:eastAsia="Calibri"/>
                <w:sz w:val="22"/>
                <w:szCs w:val="22"/>
              </w:rPr>
              <w:t xml:space="preserve"> </w:t>
            </w:r>
            <w:proofErr w:type="spellStart"/>
            <w:r w:rsidRPr="00C376DE">
              <w:rPr>
                <w:rFonts w:eastAsia="Calibri"/>
                <w:sz w:val="22"/>
                <w:szCs w:val="22"/>
              </w:rPr>
              <w:t>termi</w:t>
            </w:r>
            <w:proofErr w:type="spellEnd"/>
            <w:r w:rsidRPr="00C376DE">
              <w:rPr>
                <w:rFonts w:eastAsia="Calibri"/>
                <w:sz w:val="22"/>
                <w:szCs w:val="22"/>
              </w:rPr>
              <w:t xml:space="preserve"> záróvizsga esetében a tételek összeállítása</w:t>
            </w:r>
          </w:p>
        </w:tc>
        <w:tc>
          <w:tcPr>
            <w:tcW w:w="1418" w:type="dxa"/>
            <w:shd w:val="clear" w:color="auto" w:fill="EDEDED"/>
          </w:tcPr>
          <w:p w14:paraId="3C2AF9AA" w14:textId="77777777" w:rsidR="00FD0545" w:rsidRPr="00C376DE" w:rsidRDefault="00FD0545" w:rsidP="00026782">
            <w:pPr>
              <w:jc w:val="center"/>
              <w:rPr>
                <w:rFonts w:eastAsia="Calibri"/>
                <w:sz w:val="22"/>
                <w:szCs w:val="22"/>
              </w:rPr>
            </w:pPr>
            <w:r w:rsidRPr="00C376DE">
              <w:rPr>
                <w:rFonts w:eastAsia="Calibri"/>
                <w:sz w:val="22"/>
                <w:szCs w:val="22"/>
              </w:rPr>
              <w:t>vizsgatétel</w:t>
            </w:r>
          </w:p>
        </w:tc>
        <w:tc>
          <w:tcPr>
            <w:tcW w:w="1537" w:type="dxa"/>
            <w:shd w:val="clear" w:color="auto" w:fill="EDEDED"/>
          </w:tcPr>
          <w:p w14:paraId="57B8D0B0" w14:textId="77777777" w:rsidR="00FD0545" w:rsidRPr="00C376DE" w:rsidRDefault="00FD0545" w:rsidP="00026782">
            <w:pPr>
              <w:jc w:val="center"/>
              <w:rPr>
                <w:rFonts w:eastAsia="Calibri"/>
                <w:sz w:val="22"/>
                <w:szCs w:val="22"/>
              </w:rPr>
            </w:pPr>
            <w:r w:rsidRPr="00C376DE">
              <w:rPr>
                <w:rFonts w:eastAsia="Calibri"/>
                <w:sz w:val="22"/>
                <w:szCs w:val="22"/>
              </w:rPr>
              <w:t>0,3 pont</w:t>
            </w:r>
          </w:p>
        </w:tc>
        <w:tc>
          <w:tcPr>
            <w:tcW w:w="1686" w:type="dxa"/>
            <w:shd w:val="clear" w:color="auto" w:fill="EDEDED"/>
          </w:tcPr>
          <w:p w14:paraId="682AD949" w14:textId="77777777" w:rsidR="00FD0545" w:rsidRPr="00C376DE" w:rsidRDefault="00FD0545" w:rsidP="00026782">
            <w:pPr>
              <w:jc w:val="center"/>
              <w:rPr>
                <w:rFonts w:eastAsia="Calibri"/>
                <w:sz w:val="22"/>
                <w:szCs w:val="22"/>
              </w:rPr>
            </w:pPr>
            <w:r w:rsidRPr="00C376DE">
              <w:rPr>
                <w:rFonts w:eastAsia="Calibri"/>
                <w:sz w:val="22"/>
                <w:szCs w:val="22"/>
              </w:rPr>
              <w:t>10 pont</w:t>
            </w:r>
          </w:p>
        </w:tc>
      </w:tr>
    </w:tbl>
    <w:p w14:paraId="4FCD847D"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7018FFDE" w14:textId="77777777" w:rsidTr="00026782">
        <w:tc>
          <w:tcPr>
            <w:tcW w:w="1980" w:type="dxa"/>
            <w:shd w:val="clear" w:color="auto" w:fill="F2F2F2"/>
          </w:tcPr>
          <w:p w14:paraId="1A607E76"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02E0408C" w14:textId="77777777" w:rsidR="00FD0545" w:rsidRPr="00C376DE" w:rsidRDefault="00FD0545" w:rsidP="00026782">
            <w:pPr>
              <w:rPr>
                <w:rFonts w:eastAsia="Calibri"/>
                <w:b/>
                <w:bCs/>
                <w:sz w:val="22"/>
                <w:szCs w:val="22"/>
              </w:rPr>
            </w:pPr>
            <w:r w:rsidRPr="00C376DE">
              <w:rPr>
                <w:rFonts w:eastAsia="Calibri"/>
                <w:b/>
                <w:bCs/>
                <w:sz w:val="22"/>
                <w:szCs w:val="22"/>
              </w:rPr>
              <w:t xml:space="preserve">Szakdolgozat nyilvántartó rendszerből lekérdezéssel </w:t>
            </w:r>
          </w:p>
        </w:tc>
      </w:tr>
      <w:tr w:rsidR="00FD0545" w:rsidRPr="00C376DE" w14:paraId="00F5BAE6" w14:textId="77777777" w:rsidTr="00026782">
        <w:tc>
          <w:tcPr>
            <w:tcW w:w="1980" w:type="dxa"/>
            <w:shd w:val="clear" w:color="auto" w:fill="F2F2F2"/>
          </w:tcPr>
          <w:p w14:paraId="0A1CCCA8"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DE40DE5"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3510FBFA" w14:textId="77777777" w:rsidTr="00026782">
        <w:tc>
          <w:tcPr>
            <w:tcW w:w="1980" w:type="dxa"/>
            <w:shd w:val="clear" w:color="auto" w:fill="F2F2F2"/>
          </w:tcPr>
          <w:p w14:paraId="6E0FBF93"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D35692E"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679F7FCF"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09"/>
        <w:gridCol w:w="1418"/>
        <w:gridCol w:w="1537"/>
        <w:gridCol w:w="1686"/>
      </w:tblGrid>
      <w:tr w:rsidR="00FD0545" w:rsidRPr="00C376DE" w14:paraId="1AB6302B" w14:textId="77777777" w:rsidTr="00026782">
        <w:trPr>
          <w:tblHeader/>
          <w:jc w:val="center"/>
        </w:trPr>
        <w:tc>
          <w:tcPr>
            <w:tcW w:w="3009" w:type="dxa"/>
            <w:tcBorders>
              <w:top w:val="single" w:sz="4" w:space="0" w:color="FFFFFF"/>
              <w:left w:val="single" w:sz="4" w:space="0" w:color="FFFFFF"/>
              <w:right w:val="nil"/>
            </w:tcBorders>
            <w:shd w:val="clear" w:color="auto" w:fill="EDEDED"/>
          </w:tcPr>
          <w:p w14:paraId="6CF707CE" w14:textId="77777777" w:rsidR="00FD0545" w:rsidRPr="00C376DE" w:rsidRDefault="00FD0545" w:rsidP="00026782">
            <w:pPr>
              <w:jc w:val="center"/>
              <w:rPr>
                <w:rFonts w:eastAsia="Calibri"/>
                <w:b/>
                <w:bCs/>
                <w:sz w:val="22"/>
                <w:szCs w:val="22"/>
              </w:rPr>
            </w:pPr>
            <w:r w:rsidRPr="00C376DE">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5BF36158" w14:textId="77777777" w:rsidR="00FD0545" w:rsidRPr="00C376DE" w:rsidRDefault="00FD0545" w:rsidP="00026782">
            <w:pPr>
              <w:jc w:val="center"/>
              <w:rPr>
                <w:rFonts w:eastAsia="Calibri"/>
                <w:b/>
                <w:bCs/>
                <w:sz w:val="22"/>
                <w:szCs w:val="22"/>
              </w:rPr>
            </w:pPr>
            <w:r w:rsidRPr="00C376DE">
              <w:rPr>
                <w:rFonts w:eastAsia="Calibri"/>
                <w:b/>
                <w:bCs/>
                <w:sz w:val="22"/>
                <w:szCs w:val="22"/>
              </w:rPr>
              <w:t>Mérésegység</w:t>
            </w:r>
          </w:p>
        </w:tc>
        <w:tc>
          <w:tcPr>
            <w:tcW w:w="1537" w:type="dxa"/>
            <w:tcBorders>
              <w:top w:val="single" w:sz="4" w:space="0" w:color="FFFFFF"/>
              <w:left w:val="nil"/>
              <w:right w:val="nil"/>
            </w:tcBorders>
            <w:shd w:val="clear" w:color="auto" w:fill="EDEDED"/>
          </w:tcPr>
          <w:p w14:paraId="22EA6262" w14:textId="77777777" w:rsidR="00FD0545" w:rsidRPr="00C376DE" w:rsidRDefault="00FD0545" w:rsidP="00026782">
            <w:pPr>
              <w:jc w:val="center"/>
              <w:rPr>
                <w:rFonts w:eastAsia="Calibri"/>
                <w:b/>
                <w:bCs/>
                <w:sz w:val="22"/>
                <w:szCs w:val="22"/>
              </w:rPr>
            </w:pPr>
            <w:r w:rsidRPr="00C376DE">
              <w:rPr>
                <w:rFonts w:eastAsia="Calibri"/>
                <w:b/>
                <w:bCs/>
                <w:sz w:val="22"/>
                <w:szCs w:val="22"/>
              </w:rPr>
              <w:t>Egységpont</w:t>
            </w:r>
          </w:p>
        </w:tc>
        <w:tc>
          <w:tcPr>
            <w:tcW w:w="1686" w:type="dxa"/>
            <w:tcBorders>
              <w:top w:val="single" w:sz="4" w:space="0" w:color="FFFFFF"/>
              <w:left w:val="nil"/>
              <w:right w:val="single" w:sz="4" w:space="0" w:color="FFFFFF"/>
            </w:tcBorders>
            <w:shd w:val="clear" w:color="auto" w:fill="EDEDED"/>
          </w:tcPr>
          <w:p w14:paraId="14CD1548" w14:textId="77777777" w:rsidR="00FD0545" w:rsidRPr="00C376DE" w:rsidRDefault="00FD0545" w:rsidP="00026782">
            <w:pPr>
              <w:jc w:val="center"/>
              <w:rPr>
                <w:rFonts w:eastAsia="Calibri"/>
                <w:b/>
                <w:bCs/>
                <w:sz w:val="22"/>
                <w:szCs w:val="22"/>
              </w:rPr>
            </w:pPr>
            <w:r w:rsidRPr="00C376DE">
              <w:rPr>
                <w:rFonts w:eastAsia="Calibri"/>
                <w:b/>
                <w:bCs/>
                <w:sz w:val="22"/>
                <w:szCs w:val="22"/>
              </w:rPr>
              <w:t>Maximum pont</w:t>
            </w:r>
          </w:p>
        </w:tc>
      </w:tr>
      <w:tr w:rsidR="00FD0545" w:rsidRPr="00C376DE" w14:paraId="780A7129" w14:textId="77777777" w:rsidTr="00026782">
        <w:trPr>
          <w:jc w:val="center"/>
        </w:trPr>
        <w:tc>
          <w:tcPr>
            <w:tcW w:w="3009" w:type="dxa"/>
            <w:shd w:val="clear" w:color="auto" w:fill="EDEDED"/>
          </w:tcPr>
          <w:p w14:paraId="5A62A043" w14:textId="77777777" w:rsidR="00FD0545" w:rsidRPr="00C376DE" w:rsidRDefault="00FD0545" w:rsidP="00026782">
            <w:pPr>
              <w:rPr>
                <w:rFonts w:eastAsia="Calibri"/>
                <w:sz w:val="22"/>
                <w:szCs w:val="22"/>
              </w:rPr>
            </w:pPr>
            <w:proofErr w:type="gramStart"/>
            <w:r w:rsidRPr="00C376DE">
              <w:rPr>
                <w:rFonts w:eastAsia="Calibri"/>
                <w:sz w:val="22"/>
                <w:szCs w:val="22"/>
              </w:rPr>
              <w:t>Demonstrációs</w:t>
            </w:r>
            <w:proofErr w:type="gramEnd"/>
            <w:r w:rsidRPr="00C376DE">
              <w:rPr>
                <w:rFonts w:eastAsia="Calibri"/>
                <w:sz w:val="22"/>
                <w:szCs w:val="22"/>
              </w:rPr>
              <w:t xml:space="preserve"> </w:t>
            </w:r>
            <w:proofErr w:type="spellStart"/>
            <w:r w:rsidRPr="00C376DE">
              <w:rPr>
                <w:rFonts w:eastAsia="Calibri"/>
                <w:sz w:val="22"/>
                <w:szCs w:val="22"/>
              </w:rPr>
              <w:t>termi</w:t>
            </w:r>
            <w:proofErr w:type="spellEnd"/>
            <w:r w:rsidRPr="00C376DE">
              <w:rPr>
                <w:rFonts w:eastAsia="Calibri"/>
                <w:sz w:val="22"/>
                <w:szCs w:val="22"/>
              </w:rPr>
              <w:t xml:space="preserve"> záróvizsga esetében bizottsági tagi feladat ellátása</w:t>
            </w:r>
          </w:p>
        </w:tc>
        <w:tc>
          <w:tcPr>
            <w:tcW w:w="1418" w:type="dxa"/>
            <w:shd w:val="clear" w:color="auto" w:fill="EDEDED"/>
          </w:tcPr>
          <w:p w14:paraId="14AAFE7D"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7EF1B435" w14:textId="77777777" w:rsidR="00FD0545" w:rsidRPr="00C376DE" w:rsidRDefault="00FD0545" w:rsidP="00026782">
            <w:pPr>
              <w:jc w:val="center"/>
              <w:rPr>
                <w:rFonts w:eastAsia="Calibri"/>
                <w:sz w:val="22"/>
                <w:szCs w:val="22"/>
              </w:rPr>
            </w:pPr>
            <w:r w:rsidRPr="00C376DE">
              <w:rPr>
                <w:rFonts w:eastAsia="Calibri"/>
                <w:sz w:val="22"/>
                <w:szCs w:val="22"/>
              </w:rPr>
              <w:t>2 pont</w:t>
            </w:r>
          </w:p>
        </w:tc>
        <w:tc>
          <w:tcPr>
            <w:tcW w:w="1686" w:type="dxa"/>
            <w:shd w:val="clear" w:color="auto" w:fill="EDEDED"/>
          </w:tcPr>
          <w:p w14:paraId="199B5B4E" w14:textId="77777777" w:rsidR="00FD0545" w:rsidRPr="00C376DE" w:rsidRDefault="00FD0545" w:rsidP="00026782">
            <w:pPr>
              <w:jc w:val="center"/>
              <w:rPr>
                <w:rFonts w:eastAsia="Calibri"/>
                <w:sz w:val="22"/>
                <w:szCs w:val="22"/>
              </w:rPr>
            </w:pPr>
            <w:r w:rsidRPr="00C376DE">
              <w:rPr>
                <w:rFonts w:eastAsia="Calibri"/>
                <w:sz w:val="22"/>
                <w:szCs w:val="22"/>
              </w:rPr>
              <w:t>8 pont</w:t>
            </w:r>
          </w:p>
        </w:tc>
      </w:tr>
      <w:tr w:rsidR="00FD0545" w:rsidRPr="00C376DE" w14:paraId="4BEF3FB3" w14:textId="77777777" w:rsidTr="00026782">
        <w:trPr>
          <w:jc w:val="center"/>
        </w:trPr>
        <w:tc>
          <w:tcPr>
            <w:tcW w:w="3009" w:type="dxa"/>
            <w:shd w:val="clear" w:color="auto" w:fill="EDEDED"/>
          </w:tcPr>
          <w:p w14:paraId="43A42A14" w14:textId="77777777" w:rsidR="00FD0545" w:rsidRPr="00C376DE" w:rsidRDefault="00FD0545" w:rsidP="00026782">
            <w:pPr>
              <w:rPr>
                <w:rFonts w:eastAsia="Calibri"/>
                <w:sz w:val="22"/>
                <w:szCs w:val="22"/>
              </w:rPr>
            </w:pPr>
            <w:r w:rsidRPr="00C376DE">
              <w:rPr>
                <w:rFonts w:eastAsia="Calibri"/>
                <w:sz w:val="22"/>
                <w:szCs w:val="22"/>
              </w:rPr>
              <w:t xml:space="preserve">Elnöki feladatok ellátása </w:t>
            </w:r>
            <w:proofErr w:type="gramStart"/>
            <w:r w:rsidRPr="00C376DE">
              <w:rPr>
                <w:rFonts w:eastAsia="Calibri"/>
                <w:sz w:val="22"/>
                <w:szCs w:val="22"/>
              </w:rPr>
              <w:t>demonstrációs</w:t>
            </w:r>
            <w:proofErr w:type="gramEnd"/>
            <w:r w:rsidRPr="00C376DE">
              <w:rPr>
                <w:rFonts w:eastAsia="Calibri"/>
                <w:sz w:val="22"/>
                <w:szCs w:val="22"/>
              </w:rPr>
              <w:t xml:space="preserve"> </w:t>
            </w:r>
            <w:proofErr w:type="spellStart"/>
            <w:r w:rsidRPr="00C376DE">
              <w:rPr>
                <w:rFonts w:eastAsia="Calibri"/>
                <w:sz w:val="22"/>
                <w:szCs w:val="22"/>
              </w:rPr>
              <w:t>termi</w:t>
            </w:r>
            <w:proofErr w:type="spellEnd"/>
            <w:r w:rsidRPr="00C376DE">
              <w:rPr>
                <w:rFonts w:eastAsia="Calibri"/>
                <w:sz w:val="22"/>
                <w:szCs w:val="22"/>
              </w:rPr>
              <w:t xml:space="preserve"> záróvizsga esetében </w:t>
            </w:r>
          </w:p>
        </w:tc>
        <w:tc>
          <w:tcPr>
            <w:tcW w:w="1418" w:type="dxa"/>
            <w:shd w:val="clear" w:color="auto" w:fill="EDEDED"/>
          </w:tcPr>
          <w:p w14:paraId="0BEF2898"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70F51533" w14:textId="77777777" w:rsidR="00FD0545" w:rsidRPr="00C376DE" w:rsidRDefault="00FD0545" w:rsidP="00026782">
            <w:pPr>
              <w:jc w:val="center"/>
              <w:rPr>
                <w:rFonts w:eastAsia="Calibri"/>
                <w:sz w:val="22"/>
                <w:szCs w:val="22"/>
              </w:rPr>
            </w:pPr>
            <w:r w:rsidRPr="00C376DE">
              <w:rPr>
                <w:rFonts w:eastAsia="Calibri"/>
                <w:sz w:val="22"/>
                <w:szCs w:val="22"/>
              </w:rPr>
              <w:t>3 pont</w:t>
            </w:r>
          </w:p>
        </w:tc>
        <w:tc>
          <w:tcPr>
            <w:tcW w:w="1686" w:type="dxa"/>
            <w:shd w:val="clear" w:color="auto" w:fill="EDEDED"/>
          </w:tcPr>
          <w:p w14:paraId="053B3865" w14:textId="77777777" w:rsidR="00FD0545" w:rsidRPr="00C376DE" w:rsidRDefault="00FD0545" w:rsidP="00026782">
            <w:pPr>
              <w:jc w:val="center"/>
              <w:rPr>
                <w:rFonts w:eastAsia="Calibri"/>
                <w:sz w:val="22"/>
                <w:szCs w:val="22"/>
              </w:rPr>
            </w:pPr>
            <w:r w:rsidRPr="00C376DE">
              <w:rPr>
                <w:rFonts w:eastAsia="Calibri"/>
                <w:sz w:val="22"/>
                <w:szCs w:val="22"/>
              </w:rPr>
              <w:t>12 pont</w:t>
            </w:r>
          </w:p>
        </w:tc>
      </w:tr>
      <w:tr w:rsidR="00FD0545" w:rsidRPr="00C376DE" w14:paraId="49646EEC" w14:textId="77777777" w:rsidTr="00026782">
        <w:trPr>
          <w:jc w:val="center"/>
        </w:trPr>
        <w:tc>
          <w:tcPr>
            <w:tcW w:w="3009" w:type="dxa"/>
            <w:shd w:val="clear" w:color="auto" w:fill="EDEDED"/>
          </w:tcPr>
          <w:p w14:paraId="346B9B08" w14:textId="77777777" w:rsidR="00FD0545" w:rsidRPr="00C376DE" w:rsidRDefault="00FD0545" w:rsidP="00026782">
            <w:pPr>
              <w:rPr>
                <w:rFonts w:eastAsia="Calibri"/>
                <w:sz w:val="22"/>
                <w:szCs w:val="22"/>
              </w:rPr>
            </w:pPr>
            <w:r w:rsidRPr="00C376DE">
              <w:rPr>
                <w:rFonts w:eastAsia="Calibri"/>
                <w:sz w:val="22"/>
                <w:szCs w:val="22"/>
              </w:rPr>
              <w:t>Klinikai gyakorlati záróvizsga esetében bizottsági tagi feladat ellátása</w:t>
            </w:r>
          </w:p>
        </w:tc>
        <w:tc>
          <w:tcPr>
            <w:tcW w:w="1418" w:type="dxa"/>
            <w:shd w:val="clear" w:color="auto" w:fill="EDEDED"/>
          </w:tcPr>
          <w:p w14:paraId="1F27560E"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431D09E3" w14:textId="77777777" w:rsidR="00FD0545" w:rsidRPr="00C376DE" w:rsidRDefault="00FD0545" w:rsidP="00026782">
            <w:pPr>
              <w:jc w:val="center"/>
              <w:rPr>
                <w:rFonts w:eastAsia="Calibri"/>
                <w:sz w:val="22"/>
                <w:szCs w:val="22"/>
              </w:rPr>
            </w:pPr>
            <w:r w:rsidRPr="00C376DE">
              <w:rPr>
                <w:rFonts w:eastAsia="Calibri"/>
                <w:sz w:val="22"/>
                <w:szCs w:val="22"/>
              </w:rPr>
              <w:t>2 pont</w:t>
            </w:r>
          </w:p>
        </w:tc>
        <w:tc>
          <w:tcPr>
            <w:tcW w:w="1686" w:type="dxa"/>
            <w:shd w:val="clear" w:color="auto" w:fill="EDEDED"/>
          </w:tcPr>
          <w:p w14:paraId="4C112926" w14:textId="77777777" w:rsidR="00FD0545" w:rsidRPr="00C376DE" w:rsidRDefault="00FD0545" w:rsidP="00026782">
            <w:pPr>
              <w:jc w:val="center"/>
              <w:rPr>
                <w:rFonts w:eastAsia="Calibri"/>
                <w:sz w:val="22"/>
                <w:szCs w:val="22"/>
              </w:rPr>
            </w:pPr>
            <w:r w:rsidRPr="00C376DE">
              <w:rPr>
                <w:rFonts w:eastAsia="Calibri"/>
                <w:sz w:val="22"/>
                <w:szCs w:val="22"/>
              </w:rPr>
              <w:t>8 pont</w:t>
            </w:r>
          </w:p>
        </w:tc>
      </w:tr>
      <w:tr w:rsidR="00FD0545" w:rsidRPr="00C376DE" w14:paraId="060A46C9" w14:textId="77777777" w:rsidTr="00026782">
        <w:trPr>
          <w:jc w:val="center"/>
        </w:trPr>
        <w:tc>
          <w:tcPr>
            <w:tcW w:w="3009" w:type="dxa"/>
            <w:shd w:val="clear" w:color="auto" w:fill="EDEDED"/>
          </w:tcPr>
          <w:p w14:paraId="2D001E97" w14:textId="77777777" w:rsidR="00FD0545" w:rsidRPr="00C376DE" w:rsidRDefault="00FD0545" w:rsidP="00026782">
            <w:pPr>
              <w:rPr>
                <w:rFonts w:eastAsia="Calibri"/>
                <w:sz w:val="22"/>
                <w:szCs w:val="22"/>
              </w:rPr>
            </w:pPr>
            <w:r w:rsidRPr="00C376DE">
              <w:rPr>
                <w:rFonts w:eastAsia="Calibri"/>
                <w:sz w:val="22"/>
                <w:szCs w:val="22"/>
              </w:rPr>
              <w:t xml:space="preserve">Elnöki feladatok ellátása klinikai gyakorlati záróvizsga esetében </w:t>
            </w:r>
          </w:p>
        </w:tc>
        <w:tc>
          <w:tcPr>
            <w:tcW w:w="1418" w:type="dxa"/>
            <w:shd w:val="clear" w:color="auto" w:fill="EDEDED"/>
          </w:tcPr>
          <w:p w14:paraId="78A24BF0"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0548222A" w14:textId="77777777" w:rsidR="00FD0545" w:rsidRPr="00C376DE" w:rsidRDefault="00FD0545" w:rsidP="00026782">
            <w:pPr>
              <w:jc w:val="center"/>
              <w:rPr>
                <w:rFonts w:eastAsia="Calibri"/>
                <w:sz w:val="22"/>
                <w:szCs w:val="22"/>
              </w:rPr>
            </w:pPr>
            <w:r w:rsidRPr="00C376DE">
              <w:rPr>
                <w:rFonts w:eastAsia="Calibri"/>
                <w:sz w:val="22"/>
                <w:szCs w:val="22"/>
              </w:rPr>
              <w:t>3 pont</w:t>
            </w:r>
          </w:p>
        </w:tc>
        <w:tc>
          <w:tcPr>
            <w:tcW w:w="1686" w:type="dxa"/>
            <w:shd w:val="clear" w:color="auto" w:fill="EDEDED"/>
          </w:tcPr>
          <w:p w14:paraId="3B534EFE" w14:textId="77777777" w:rsidR="00FD0545" w:rsidRPr="00C376DE" w:rsidRDefault="00FD0545" w:rsidP="00026782">
            <w:pPr>
              <w:jc w:val="center"/>
              <w:rPr>
                <w:rFonts w:eastAsia="Calibri"/>
                <w:sz w:val="22"/>
                <w:szCs w:val="22"/>
              </w:rPr>
            </w:pPr>
            <w:r w:rsidRPr="00C376DE">
              <w:rPr>
                <w:rFonts w:eastAsia="Calibri"/>
                <w:sz w:val="22"/>
                <w:szCs w:val="22"/>
              </w:rPr>
              <w:t>12 pont</w:t>
            </w:r>
          </w:p>
        </w:tc>
      </w:tr>
      <w:tr w:rsidR="00FD0545" w:rsidRPr="00C376DE" w14:paraId="1831DE87" w14:textId="77777777" w:rsidTr="00026782">
        <w:trPr>
          <w:jc w:val="center"/>
        </w:trPr>
        <w:tc>
          <w:tcPr>
            <w:tcW w:w="3009" w:type="dxa"/>
            <w:shd w:val="clear" w:color="auto" w:fill="EDEDED"/>
          </w:tcPr>
          <w:p w14:paraId="534A3EB2" w14:textId="77777777" w:rsidR="00FD0545" w:rsidRPr="00C376DE" w:rsidRDefault="00FD0545" w:rsidP="00026782">
            <w:pPr>
              <w:rPr>
                <w:rFonts w:eastAsia="Calibri"/>
                <w:sz w:val="22"/>
                <w:szCs w:val="22"/>
              </w:rPr>
            </w:pPr>
            <w:r w:rsidRPr="00C376DE">
              <w:rPr>
                <w:rFonts w:eastAsia="Calibri"/>
                <w:sz w:val="22"/>
                <w:szCs w:val="22"/>
              </w:rPr>
              <w:t>Elméleti záróvizsga esetében bizottsági tagi feladat ellátása</w:t>
            </w:r>
          </w:p>
        </w:tc>
        <w:tc>
          <w:tcPr>
            <w:tcW w:w="1418" w:type="dxa"/>
            <w:shd w:val="clear" w:color="auto" w:fill="EDEDED"/>
          </w:tcPr>
          <w:p w14:paraId="62541CE9"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4FE60636" w14:textId="77777777" w:rsidR="00FD0545" w:rsidRPr="00C376DE" w:rsidRDefault="00FD0545" w:rsidP="00026782">
            <w:pPr>
              <w:jc w:val="center"/>
              <w:rPr>
                <w:rFonts w:eastAsia="Calibri"/>
                <w:sz w:val="22"/>
                <w:szCs w:val="22"/>
              </w:rPr>
            </w:pPr>
            <w:r w:rsidRPr="00C376DE">
              <w:rPr>
                <w:rFonts w:eastAsia="Calibri"/>
                <w:sz w:val="22"/>
                <w:szCs w:val="22"/>
              </w:rPr>
              <w:t>5 pont</w:t>
            </w:r>
          </w:p>
        </w:tc>
        <w:tc>
          <w:tcPr>
            <w:tcW w:w="1686" w:type="dxa"/>
            <w:shd w:val="clear" w:color="auto" w:fill="EDEDED"/>
          </w:tcPr>
          <w:p w14:paraId="46893137" w14:textId="77777777" w:rsidR="00FD0545" w:rsidRPr="00C376DE" w:rsidRDefault="00FD0545" w:rsidP="00026782">
            <w:pPr>
              <w:jc w:val="center"/>
              <w:rPr>
                <w:rFonts w:eastAsia="Calibri"/>
                <w:sz w:val="22"/>
                <w:szCs w:val="22"/>
              </w:rPr>
            </w:pPr>
            <w:r w:rsidRPr="00C376DE">
              <w:rPr>
                <w:rFonts w:eastAsia="Calibri"/>
                <w:sz w:val="22"/>
                <w:szCs w:val="22"/>
              </w:rPr>
              <w:t>20 pont</w:t>
            </w:r>
          </w:p>
        </w:tc>
      </w:tr>
      <w:tr w:rsidR="00FD0545" w:rsidRPr="00C376DE" w14:paraId="7EC50F46" w14:textId="77777777" w:rsidTr="00026782">
        <w:trPr>
          <w:jc w:val="center"/>
        </w:trPr>
        <w:tc>
          <w:tcPr>
            <w:tcW w:w="3009" w:type="dxa"/>
            <w:shd w:val="clear" w:color="auto" w:fill="EDEDED"/>
          </w:tcPr>
          <w:p w14:paraId="4C32A8D3" w14:textId="77777777" w:rsidR="00FD0545" w:rsidRPr="00C376DE" w:rsidRDefault="00FD0545" w:rsidP="00026782">
            <w:pPr>
              <w:rPr>
                <w:rFonts w:eastAsia="Calibri"/>
                <w:sz w:val="22"/>
                <w:szCs w:val="22"/>
              </w:rPr>
            </w:pPr>
            <w:r w:rsidRPr="00C376DE">
              <w:rPr>
                <w:rFonts w:eastAsia="Calibri"/>
                <w:sz w:val="22"/>
                <w:szCs w:val="22"/>
              </w:rPr>
              <w:t xml:space="preserve">Elnöki feladatok ellátása elméleti záróvizsga esetében </w:t>
            </w:r>
          </w:p>
        </w:tc>
        <w:tc>
          <w:tcPr>
            <w:tcW w:w="1418" w:type="dxa"/>
            <w:shd w:val="clear" w:color="auto" w:fill="EDEDED"/>
          </w:tcPr>
          <w:p w14:paraId="4E8380F1"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25F672AC" w14:textId="77777777" w:rsidR="00FD0545" w:rsidRPr="00C376DE" w:rsidRDefault="00FD0545" w:rsidP="00026782">
            <w:pPr>
              <w:jc w:val="center"/>
              <w:rPr>
                <w:rFonts w:eastAsia="Calibri"/>
                <w:sz w:val="22"/>
                <w:szCs w:val="22"/>
              </w:rPr>
            </w:pPr>
            <w:r w:rsidRPr="00C376DE">
              <w:rPr>
                <w:rFonts w:eastAsia="Calibri"/>
                <w:sz w:val="22"/>
                <w:szCs w:val="22"/>
              </w:rPr>
              <w:t>7,5 pont</w:t>
            </w:r>
          </w:p>
        </w:tc>
        <w:tc>
          <w:tcPr>
            <w:tcW w:w="1686" w:type="dxa"/>
            <w:shd w:val="clear" w:color="auto" w:fill="EDEDED"/>
          </w:tcPr>
          <w:p w14:paraId="7A99F125" w14:textId="77777777" w:rsidR="00FD0545" w:rsidRPr="00C376DE" w:rsidRDefault="00FD0545" w:rsidP="00026782">
            <w:pPr>
              <w:jc w:val="center"/>
              <w:rPr>
                <w:rFonts w:eastAsia="Calibri"/>
                <w:sz w:val="22"/>
                <w:szCs w:val="22"/>
              </w:rPr>
            </w:pPr>
            <w:r w:rsidRPr="00C376DE">
              <w:rPr>
                <w:rFonts w:eastAsia="Calibri"/>
                <w:sz w:val="22"/>
                <w:szCs w:val="22"/>
              </w:rPr>
              <w:t>30 pont</w:t>
            </w:r>
          </w:p>
        </w:tc>
      </w:tr>
      <w:tr w:rsidR="00FD0545" w:rsidRPr="00C376DE" w14:paraId="53B24565" w14:textId="77777777" w:rsidTr="00026782">
        <w:trPr>
          <w:jc w:val="center"/>
        </w:trPr>
        <w:tc>
          <w:tcPr>
            <w:tcW w:w="3009" w:type="dxa"/>
            <w:shd w:val="clear" w:color="auto" w:fill="EDEDED"/>
          </w:tcPr>
          <w:p w14:paraId="68E7F3ED" w14:textId="77777777" w:rsidR="00FD0545" w:rsidRPr="00C376DE" w:rsidRDefault="00FD0545" w:rsidP="00026782">
            <w:pPr>
              <w:rPr>
                <w:rFonts w:eastAsia="Calibri"/>
                <w:sz w:val="22"/>
                <w:szCs w:val="22"/>
              </w:rPr>
            </w:pPr>
            <w:r w:rsidRPr="00C376DE">
              <w:rPr>
                <w:rFonts w:eastAsia="Calibri"/>
                <w:sz w:val="22"/>
                <w:szCs w:val="22"/>
              </w:rPr>
              <w:t>Szakdolgozat védés esetében bizottsági tagi feladat ellátása</w:t>
            </w:r>
          </w:p>
        </w:tc>
        <w:tc>
          <w:tcPr>
            <w:tcW w:w="1418" w:type="dxa"/>
            <w:shd w:val="clear" w:color="auto" w:fill="EDEDED"/>
          </w:tcPr>
          <w:p w14:paraId="2585C2E9"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17932922" w14:textId="77777777" w:rsidR="00FD0545" w:rsidRPr="00C376DE" w:rsidRDefault="00FD0545" w:rsidP="00026782">
            <w:pPr>
              <w:jc w:val="center"/>
              <w:rPr>
                <w:rFonts w:eastAsia="Calibri"/>
                <w:sz w:val="22"/>
                <w:szCs w:val="22"/>
              </w:rPr>
            </w:pPr>
            <w:r w:rsidRPr="00C376DE">
              <w:rPr>
                <w:rFonts w:eastAsia="Calibri"/>
                <w:sz w:val="22"/>
                <w:szCs w:val="22"/>
              </w:rPr>
              <w:t>2 pont</w:t>
            </w:r>
          </w:p>
        </w:tc>
        <w:tc>
          <w:tcPr>
            <w:tcW w:w="1686" w:type="dxa"/>
            <w:shd w:val="clear" w:color="auto" w:fill="EDEDED"/>
          </w:tcPr>
          <w:p w14:paraId="039DB195" w14:textId="77777777" w:rsidR="00FD0545" w:rsidRPr="00C376DE" w:rsidRDefault="00FD0545" w:rsidP="00026782">
            <w:pPr>
              <w:jc w:val="center"/>
              <w:rPr>
                <w:rFonts w:eastAsia="Calibri"/>
                <w:sz w:val="22"/>
                <w:szCs w:val="22"/>
              </w:rPr>
            </w:pPr>
            <w:r w:rsidRPr="00C376DE">
              <w:rPr>
                <w:rFonts w:eastAsia="Calibri"/>
                <w:sz w:val="22"/>
                <w:szCs w:val="22"/>
              </w:rPr>
              <w:t>6 pont</w:t>
            </w:r>
          </w:p>
        </w:tc>
      </w:tr>
      <w:tr w:rsidR="00FD0545" w:rsidRPr="00C376DE" w14:paraId="1F65E247" w14:textId="77777777" w:rsidTr="00026782">
        <w:trPr>
          <w:jc w:val="center"/>
        </w:trPr>
        <w:tc>
          <w:tcPr>
            <w:tcW w:w="3009" w:type="dxa"/>
            <w:shd w:val="clear" w:color="auto" w:fill="EDEDED"/>
          </w:tcPr>
          <w:p w14:paraId="791D0A3B" w14:textId="77777777" w:rsidR="00FD0545" w:rsidRPr="00C376DE" w:rsidRDefault="00FD0545" w:rsidP="00026782">
            <w:pPr>
              <w:rPr>
                <w:rFonts w:eastAsia="Calibri"/>
                <w:sz w:val="22"/>
                <w:szCs w:val="22"/>
              </w:rPr>
            </w:pPr>
            <w:r w:rsidRPr="00C376DE">
              <w:rPr>
                <w:rFonts w:eastAsia="Calibri"/>
                <w:sz w:val="22"/>
                <w:szCs w:val="22"/>
              </w:rPr>
              <w:t>Elnöki feladatok ellátása szakdolgozat védés esetében</w:t>
            </w:r>
          </w:p>
        </w:tc>
        <w:tc>
          <w:tcPr>
            <w:tcW w:w="1418" w:type="dxa"/>
            <w:shd w:val="clear" w:color="auto" w:fill="EDEDED"/>
          </w:tcPr>
          <w:p w14:paraId="6A1E71C4"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537" w:type="dxa"/>
            <w:shd w:val="clear" w:color="auto" w:fill="EDEDED"/>
          </w:tcPr>
          <w:p w14:paraId="2CFF619E" w14:textId="77777777" w:rsidR="00FD0545" w:rsidRPr="00C376DE" w:rsidRDefault="00FD0545" w:rsidP="00026782">
            <w:pPr>
              <w:jc w:val="center"/>
              <w:rPr>
                <w:rFonts w:eastAsia="Calibri"/>
                <w:sz w:val="22"/>
                <w:szCs w:val="22"/>
              </w:rPr>
            </w:pPr>
            <w:r w:rsidRPr="00C376DE">
              <w:rPr>
                <w:rFonts w:eastAsia="Calibri"/>
                <w:sz w:val="22"/>
                <w:szCs w:val="22"/>
              </w:rPr>
              <w:t>3 pont</w:t>
            </w:r>
          </w:p>
        </w:tc>
        <w:tc>
          <w:tcPr>
            <w:tcW w:w="1686" w:type="dxa"/>
            <w:shd w:val="clear" w:color="auto" w:fill="EDEDED"/>
          </w:tcPr>
          <w:p w14:paraId="5C50B613" w14:textId="77777777" w:rsidR="00FD0545" w:rsidRPr="00C376DE" w:rsidRDefault="00FD0545" w:rsidP="00026782">
            <w:pPr>
              <w:jc w:val="center"/>
              <w:rPr>
                <w:rFonts w:eastAsia="Calibri"/>
                <w:sz w:val="22"/>
                <w:szCs w:val="22"/>
              </w:rPr>
            </w:pPr>
            <w:r w:rsidRPr="00C376DE">
              <w:rPr>
                <w:rFonts w:eastAsia="Calibri"/>
                <w:sz w:val="22"/>
                <w:szCs w:val="22"/>
              </w:rPr>
              <w:t>9 pont</w:t>
            </w:r>
          </w:p>
        </w:tc>
      </w:tr>
    </w:tbl>
    <w:p w14:paraId="22A67C6F"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0F35082A" w14:textId="77777777" w:rsidTr="00026782">
        <w:tc>
          <w:tcPr>
            <w:tcW w:w="1980" w:type="dxa"/>
            <w:shd w:val="clear" w:color="auto" w:fill="F2F2F2"/>
          </w:tcPr>
          <w:p w14:paraId="68008277"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69A0EC1" w14:textId="77777777" w:rsidR="00FD0545" w:rsidRPr="00C376DE" w:rsidRDefault="00FD0545" w:rsidP="00026782">
            <w:pPr>
              <w:rPr>
                <w:rFonts w:eastAsia="Calibri"/>
                <w:b/>
                <w:bCs/>
                <w:sz w:val="22"/>
                <w:szCs w:val="22"/>
              </w:rPr>
            </w:pPr>
            <w:r w:rsidRPr="00C376DE">
              <w:rPr>
                <w:rFonts w:eastAsia="Calibri"/>
                <w:b/>
                <w:bCs/>
                <w:sz w:val="22"/>
                <w:szCs w:val="22"/>
              </w:rPr>
              <w:t xml:space="preserve">Záróvizsga jegyzőkönyvek alapján készített intézeti kimutatás </w:t>
            </w:r>
          </w:p>
        </w:tc>
      </w:tr>
      <w:tr w:rsidR="00FD0545" w:rsidRPr="00C376DE" w14:paraId="304F68E4" w14:textId="77777777" w:rsidTr="00026782">
        <w:tc>
          <w:tcPr>
            <w:tcW w:w="1980" w:type="dxa"/>
            <w:shd w:val="clear" w:color="auto" w:fill="F2F2F2"/>
          </w:tcPr>
          <w:p w14:paraId="0086E517"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520F4ED0"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2AC52A88" w14:textId="77777777" w:rsidTr="00026782">
        <w:tc>
          <w:tcPr>
            <w:tcW w:w="1980" w:type="dxa"/>
            <w:shd w:val="clear" w:color="auto" w:fill="F2F2F2"/>
          </w:tcPr>
          <w:p w14:paraId="7177C44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AB19C48"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68FD7BF8" w14:textId="77777777" w:rsidR="00FD0545" w:rsidRPr="00E13CE5" w:rsidRDefault="00FD0545" w:rsidP="00FD0545">
      <w:pPr>
        <w:rPr>
          <w:rFonts w:eastAsia="Calibri"/>
          <w:sz w:val="22"/>
          <w:szCs w:val="22"/>
        </w:rPr>
      </w:pPr>
    </w:p>
    <w:p w14:paraId="5F89CDC1"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ZV TÉR= </m:t>
          </m:r>
          <m:nary>
            <m:naryPr>
              <m:chr m:val="∑"/>
              <m:limLoc m:val="undOvr"/>
              <m:subHide m:val="1"/>
              <m:supHide m:val="1"/>
              <m:ctrlPr>
                <w:rPr>
                  <w:rFonts w:ascii="Cambria Math" w:eastAsia="Calibri" w:hAnsi="Cambria Math"/>
                  <w:i/>
                  <w:sz w:val="22"/>
                  <w:szCs w:val="22"/>
                </w:rPr>
              </m:ctrlPr>
            </m:naryPr>
            <m:sub/>
            <m:sup/>
            <m:e>
              <m:r>
                <w:rPr>
                  <w:rFonts w:ascii="Cambria Math" w:eastAsia="Calibri" w:hAnsi="Cambria Math"/>
                  <w:sz w:val="22"/>
                  <w:szCs w:val="22"/>
                </w:rPr>
                <m:t>MÉRÉSEGYSÉG ×EGYSÉGPONT</m:t>
              </m:r>
            </m:e>
          </m:nary>
        </m:oMath>
      </m:oMathPara>
    </w:p>
    <w:p w14:paraId="44A75E33" w14:textId="77777777" w:rsidR="00FD0545" w:rsidRPr="00E13CE5" w:rsidRDefault="00FD0545" w:rsidP="00FD0545">
      <w:pPr>
        <w:rPr>
          <w:rFonts w:eastAsia="Calibri"/>
          <w:sz w:val="22"/>
          <w:szCs w:val="22"/>
        </w:rPr>
      </w:pPr>
    </w:p>
    <w:p w14:paraId="63D59262" w14:textId="77777777" w:rsidR="00FD0545" w:rsidRPr="00E13CE5" w:rsidRDefault="00FD0545" w:rsidP="00FD0545">
      <w:pPr>
        <w:jc w:val="both"/>
        <w:rPr>
          <w:rFonts w:eastAsia="Calibri"/>
          <w:b/>
          <w:bCs/>
          <w:sz w:val="22"/>
          <w:szCs w:val="22"/>
        </w:rPr>
      </w:pPr>
      <w:r w:rsidRPr="00E13CE5">
        <w:rPr>
          <w:b/>
          <w:bCs/>
          <w:sz w:val="22"/>
          <w:szCs w:val="22"/>
        </w:rPr>
        <w:t>Záróvizsgával összefüggő tevékenység után járó többletpont legfeljebb 60 pont mértékig vehető figyelembe, de a pontlevonást (amennyiben releváns) ezt követően kötelezően érvényesíteni kell!</w:t>
      </w:r>
      <w:r w:rsidRPr="00E13CE5">
        <w:rPr>
          <w:rFonts w:eastAsia="Calibri"/>
          <w:b/>
          <w:bCs/>
          <w:sz w:val="22"/>
          <w:szCs w:val="22"/>
        </w:rPr>
        <w:t xml:space="preserve"> </w:t>
      </w:r>
    </w:p>
    <w:p w14:paraId="135D9ADD" w14:textId="77777777" w:rsidR="00FD0545" w:rsidRDefault="00FD0545" w:rsidP="00FD0545"/>
    <w:p w14:paraId="090ABAEC" w14:textId="77777777" w:rsidR="00FD0545" w:rsidRDefault="00FD0545" w:rsidP="00FD0545"/>
    <w:p w14:paraId="7BB1B0C5" w14:textId="77777777" w:rsidR="00FD0545" w:rsidRPr="00CD78CA" w:rsidRDefault="00FD0545" w:rsidP="00FD0545"/>
    <w:p w14:paraId="6AD768E1" w14:textId="77777777" w:rsidR="00FD0545" w:rsidRPr="00CD78CA" w:rsidRDefault="00FD0545" w:rsidP="00FD0545">
      <w:pPr>
        <w:ind w:left="708"/>
        <w:rPr>
          <w:b/>
          <w:sz w:val="22"/>
        </w:rPr>
      </w:pPr>
      <w:r w:rsidRPr="00CD78CA">
        <w:rPr>
          <w:b/>
          <w:sz w:val="22"/>
        </w:rPr>
        <w:lastRenderedPageBreak/>
        <w:t>B) Módosító szorzók</w:t>
      </w:r>
    </w:p>
    <w:p w14:paraId="64DF6E8E" w14:textId="77777777" w:rsidR="00FD0545" w:rsidRPr="00CD78CA" w:rsidRDefault="00FD0545" w:rsidP="00FD0545">
      <w:pPr>
        <w:ind w:left="1416"/>
        <w:rPr>
          <w:b/>
          <w:sz w:val="22"/>
        </w:rPr>
      </w:pPr>
    </w:p>
    <w:p w14:paraId="6AA1304D" w14:textId="77777777" w:rsidR="00FD0545" w:rsidRPr="00CD78CA" w:rsidRDefault="00FD0545" w:rsidP="00FD0545">
      <w:pPr>
        <w:ind w:left="1416"/>
        <w:rPr>
          <w:b/>
          <w:sz w:val="22"/>
        </w:rPr>
      </w:pPr>
      <w:r w:rsidRPr="00CD78CA">
        <w:rPr>
          <w:b/>
          <w:sz w:val="22"/>
        </w:rPr>
        <w:t xml:space="preserve">1. OMHV </w:t>
      </w:r>
      <w:proofErr w:type="gramStart"/>
      <w:r w:rsidRPr="00CD78CA">
        <w:rPr>
          <w:b/>
          <w:sz w:val="22"/>
        </w:rPr>
        <w:t>korrekció</w:t>
      </w:r>
      <w:proofErr w:type="gramEnd"/>
    </w:p>
    <w:p w14:paraId="44C6D755" w14:textId="77777777" w:rsidR="00FD0545" w:rsidRPr="00CD78CA" w:rsidRDefault="00FD0545" w:rsidP="00FD0545">
      <w:pPr>
        <w:ind w:left="1416"/>
        <w:rPr>
          <w:b/>
          <w:sz w:val="22"/>
        </w:rPr>
      </w:pPr>
    </w:p>
    <w:p w14:paraId="1B3FBE29" w14:textId="77777777" w:rsidR="00FD0545" w:rsidRPr="00E13CE5" w:rsidRDefault="00FD0545" w:rsidP="00FD0545">
      <w:pPr>
        <w:jc w:val="both"/>
        <w:rPr>
          <w:rFonts w:eastAsia="Calibri"/>
          <w:sz w:val="22"/>
          <w:szCs w:val="22"/>
        </w:rPr>
      </w:pPr>
      <w:r w:rsidRPr="00E13CE5">
        <w:rPr>
          <w:rFonts w:eastAsia="Calibri"/>
          <w:sz w:val="22"/>
          <w:szCs w:val="22"/>
        </w:rPr>
        <w:t xml:space="preserve">Az Egészségtudományi Kar az Oktatói Munka Hallgatói Véleményezésének eredményeit minőségi szorzóként érvényesíti TÉR rendszerében a reprezentativitás mértékének függvényében. Az OMHV értékelésénél a kérdésenként, </w:t>
      </w:r>
      <w:proofErr w:type="spellStart"/>
      <w:r w:rsidRPr="00E13CE5">
        <w:rPr>
          <w:rFonts w:eastAsia="Calibri"/>
          <w:sz w:val="22"/>
          <w:szCs w:val="22"/>
        </w:rPr>
        <w:t>Likert</w:t>
      </w:r>
      <w:proofErr w:type="spellEnd"/>
      <w:r w:rsidRPr="00E13CE5">
        <w:rPr>
          <w:rFonts w:eastAsia="Calibri"/>
          <w:sz w:val="22"/>
          <w:szCs w:val="22"/>
        </w:rPr>
        <w:t xml:space="preserve"> skálán adott válaszok átlagpontszámai kerülnek felhasználásra két fejezetre bontva. </w:t>
      </w:r>
    </w:p>
    <w:p w14:paraId="776EDC0B" w14:textId="77777777" w:rsidR="00FD0545" w:rsidRPr="00E13CE5" w:rsidRDefault="00FD0545" w:rsidP="00FD0545">
      <w:pPr>
        <w:jc w:val="both"/>
        <w:rPr>
          <w:rFonts w:eastAsia="Calibri"/>
          <w:sz w:val="22"/>
          <w:szCs w:val="22"/>
        </w:rPr>
      </w:pPr>
      <w:r w:rsidRPr="00E13CE5">
        <w:rPr>
          <w:rFonts w:eastAsia="Calibri"/>
          <w:sz w:val="22"/>
          <w:szCs w:val="22"/>
        </w:rPr>
        <w:t>Az alábbi táblázat alkalmazandó az OMHV I. (kurzusértékelés) és II. (oktatóértékelés) fejezete esetében is, így két szorzó (OMHV</w:t>
      </w:r>
      <w:r w:rsidRPr="00E13CE5">
        <w:rPr>
          <w:rFonts w:eastAsia="Calibri"/>
          <w:sz w:val="22"/>
          <w:szCs w:val="22"/>
          <w:vertAlign w:val="subscript"/>
        </w:rPr>
        <w:t>I</w:t>
      </w:r>
      <w:r w:rsidRPr="00E13CE5">
        <w:rPr>
          <w:rFonts w:eastAsia="Calibri"/>
          <w:sz w:val="22"/>
          <w:szCs w:val="22"/>
        </w:rPr>
        <w:t xml:space="preserve"> és OMHV</w:t>
      </w:r>
      <w:r w:rsidRPr="00E13CE5">
        <w:rPr>
          <w:rFonts w:eastAsia="Calibri"/>
          <w:sz w:val="22"/>
          <w:szCs w:val="22"/>
          <w:vertAlign w:val="subscript"/>
        </w:rPr>
        <w:t>II</w:t>
      </w:r>
      <w:r w:rsidRPr="00E13CE5">
        <w:rPr>
          <w:rFonts w:eastAsia="Calibri"/>
          <w:sz w:val="22"/>
          <w:szCs w:val="22"/>
        </w:rPr>
        <w:t>) értéke olvasható ki a táblázatból.</w:t>
      </w:r>
    </w:p>
    <w:p w14:paraId="72FC9831" w14:textId="77777777" w:rsidR="00FD0545" w:rsidRPr="00E13CE5" w:rsidRDefault="00FD0545" w:rsidP="00FD0545">
      <w:pPr>
        <w:jc w:val="both"/>
        <w:rPr>
          <w:rFonts w:eastAsia="Calibri"/>
          <w:sz w:val="22"/>
          <w:szCs w:val="22"/>
        </w:rPr>
      </w:pPr>
      <w:r w:rsidRPr="00E13CE5">
        <w:rPr>
          <w:rFonts w:eastAsia="Calibri"/>
          <w:sz w:val="22"/>
          <w:szCs w:val="22"/>
        </w:rPr>
        <w:t>Az OMHV</w:t>
      </w:r>
      <w:r w:rsidRPr="00E13CE5">
        <w:rPr>
          <w:rFonts w:eastAsia="Calibri"/>
          <w:sz w:val="22"/>
          <w:szCs w:val="22"/>
          <w:vertAlign w:val="subscript"/>
        </w:rPr>
        <w:t>I</w:t>
      </w:r>
      <w:r w:rsidRPr="00E13CE5">
        <w:rPr>
          <w:rFonts w:eastAsia="Calibri"/>
          <w:sz w:val="22"/>
          <w:szCs w:val="22"/>
        </w:rPr>
        <w:t xml:space="preserve"> (kurzusértékelés) szorzó a TÉR I.1 pontot módosítja úgy, hogy kizárólag az értékelt </w:t>
      </w:r>
      <w:proofErr w:type="gramStart"/>
      <w:r w:rsidRPr="00E13CE5">
        <w:rPr>
          <w:rFonts w:eastAsia="Calibri"/>
          <w:sz w:val="22"/>
          <w:szCs w:val="22"/>
        </w:rPr>
        <w:t>kurzus</w:t>
      </w:r>
      <w:proofErr w:type="gramEnd"/>
      <w:r w:rsidRPr="00E13CE5">
        <w:rPr>
          <w:rFonts w:eastAsia="Calibri"/>
          <w:sz w:val="22"/>
          <w:szCs w:val="22"/>
        </w:rPr>
        <w:t xml:space="preserve"> keretében tartott kontaktórákra bír hatással.</w:t>
      </w:r>
    </w:p>
    <w:p w14:paraId="5F6775ED" w14:textId="77777777" w:rsidR="00FD0545" w:rsidRPr="00E13CE5" w:rsidRDefault="00FD0545" w:rsidP="00FD0545">
      <w:pPr>
        <w:jc w:val="both"/>
        <w:rPr>
          <w:rFonts w:eastAsia="Calibri"/>
          <w:sz w:val="22"/>
          <w:szCs w:val="22"/>
        </w:rPr>
      </w:pPr>
      <w:r w:rsidRPr="00E13CE5">
        <w:rPr>
          <w:rFonts w:eastAsia="Calibri"/>
          <w:sz w:val="22"/>
          <w:szCs w:val="22"/>
        </w:rPr>
        <w:t xml:space="preserve">Az OMHVII (oktatóértékelés) szorzó a teljes TÉRI.1. </w:t>
      </w:r>
      <w:proofErr w:type="gramStart"/>
      <w:r w:rsidRPr="00E13CE5">
        <w:rPr>
          <w:rFonts w:eastAsia="Calibri"/>
          <w:sz w:val="22"/>
          <w:szCs w:val="22"/>
        </w:rPr>
        <w:t>pontot</w:t>
      </w:r>
      <w:proofErr w:type="gramEnd"/>
      <w:r w:rsidRPr="00E13CE5">
        <w:rPr>
          <w:rFonts w:eastAsia="Calibri"/>
          <w:sz w:val="22"/>
          <w:szCs w:val="22"/>
        </w:rPr>
        <w:t xml:space="preserve"> módosítja.</w:t>
      </w:r>
    </w:p>
    <w:p w14:paraId="1F23F51E" w14:textId="77777777" w:rsidR="00FD0545" w:rsidRPr="00E13CE5" w:rsidRDefault="00FD0545" w:rsidP="00FD0545">
      <w:pPr>
        <w:jc w:val="both"/>
        <w:rPr>
          <w:rFonts w:eastAsia="Calibri"/>
          <w:sz w:val="22"/>
          <w:szCs w:val="22"/>
        </w:rPr>
      </w:pPr>
      <w:r w:rsidRPr="00E13CE5">
        <w:rPr>
          <w:rFonts w:eastAsia="Calibri"/>
          <w:sz w:val="22"/>
          <w:szCs w:val="22"/>
        </w:rPr>
        <w:t>A kitöltési hajlandóság a következő képlettel számolandó:</w:t>
      </w:r>
    </w:p>
    <w:p w14:paraId="417F4894" w14:textId="77777777" w:rsidR="00FD0545" w:rsidRPr="00FD0545" w:rsidRDefault="00C54B98" w:rsidP="00FD0545">
      <w:pPr>
        <w:pBdr>
          <w:top w:val="single" w:sz="4" w:space="1" w:color="auto"/>
          <w:left w:val="single" w:sz="4" w:space="4" w:color="auto"/>
          <w:bottom w:val="single" w:sz="4" w:space="1" w:color="auto"/>
          <w:right w:val="single" w:sz="4" w:space="4" w:color="auto"/>
        </w:pBdr>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Kitötési hajlandóság</m:t>
              </m:r>
            </m:e>
            <m:sub>
              <m:r>
                <w:rPr>
                  <w:rFonts w:ascii="Cambria Math" w:eastAsia="Calibri" w:hAnsi="Cambria Math"/>
                  <w:sz w:val="22"/>
                  <w:szCs w:val="22"/>
                </w:rPr>
                <m:t>OMHVI</m:t>
              </m:r>
            </m:sub>
          </m:sSub>
          <m:r>
            <w:rPr>
              <w:rFonts w:ascii="Cambria Math" w:eastAsia="Calibri" w:hAnsi="Cambria Math"/>
              <w:sz w:val="22"/>
              <w:szCs w:val="22"/>
            </w:rPr>
            <m:t xml:space="preserve"> (%) = </m:t>
          </m:r>
          <m:f>
            <m:fPr>
              <m:ctrlPr>
                <w:rPr>
                  <w:rFonts w:ascii="Cambria Math" w:eastAsia="Calibri" w:hAnsi="Cambria Math"/>
                  <w:i/>
                  <w:sz w:val="22"/>
                  <w:szCs w:val="22"/>
                </w:rPr>
              </m:ctrlPr>
            </m:fPr>
            <m:num>
              <m:r>
                <w:rPr>
                  <w:rFonts w:ascii="Cambria Math" w:eastAsia="Calibri" w:hAnsi="Cambria Math"/>
                  <w:sz w:val="22"/>
                  <w:szCs w:val="22"/>
                </w:rPr>
                <m:t>kurzust értékelő hallgatók száma</m:t>
              </m:r>
            </m:num>
            <m:den>
              <m:r>
                <w:rPr>
                  <w:rFonts w:ascii="Cambria Math" w:eastAsia="Calibri" w:hAnsi="Cambria Math"/>
                  <w:sz w:val="22"/>
                  <w:szCs w:val="22"/>
                </w:rPr>
                <m:t>kurzus hallgatói létszáma</m:t>
              </m:r>
            </m:den>
          </m:f>
          <m:r>
            <w:rPr>
              <w:rFonts w:ascii="Cambria Math" w:eastAsia="Calibri" w:hAnsi="Cambria Math"/>
              <w:sz w:val="22"/>
              <w:szCs w:val="22"/>
            </w:rPr>
            <m:t xml:space="preserve"> ×100</m:t>
          </m:r>
        </m:oMath>
      </m:oMathPara>
    </w:p>
    <w:p w14:paraId="4B1036F3" w14:textId="77777777" w:rsidR="00FD0545" w:rsidRPr="00E13CE5" w:rsidRDefault="00FD0545" w:rsidP="00FD0545">
      <w:pPr>
        <w:rPr>
          <w:rFonts w:eastAsia="Calibri"/>
          <w:sz w:val="22"/>
          <w:szCs w:val="22"/>
        </w:rPr>
      </w:pPr>
    </w:p>
    <w:p w14:paraId="4818D24E" w14:textId="77777777" w:rsidR="00FD0545" w:rsidRPr="00FD0545" w:rsidRDefault="00C54B98" w:rsidP="00FD0545">
      <w:pPr>
        <w:pBdr>
          <w:top w:val="single" w:sz="4" w:space="1" w:color="auto"/>
          <w:left w:val="single" w:sz="4" w:space="4" w:color="auto"/>
          <w:bottom w:val="single" w:sz="4" w:space="1" w:color="auto"/>
          <w:right w:val="single" w:sz="4" w:space="4" w:color="auto"/>
        </w:pBdr>
        <w:rPr>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Kitöltési hajlandóság</m:t>
              </m:r>
            </m:e>
            <m:sub>
              <m:r>
                <w:rPr>
                  <w:rFonts w:ascii="Cambria Math" w:eastAsia="Calibri" w:hAnsi="Cambria Math"/>
                  <w:sz w:val="22"/>
                  <w:szCs w:val="22"/>
                </w:rPr>
                <m:t>OMHVII</m:t>
              </m:r>
            </m:sub>
          </m:sSub>
          <m:r>
            <w:rPr>
              <w:rFonts w:ascii="Cambria Math" w:eastAsia="Calibri" w:hAnsi="Cambria Math"/>
              <w:sz w:val="22"/>
              <w:szCs w:val="22"/>
            </w:rPr>
            <m:t xml:space="preserve">  </m:t>
          </m:r>
          <m:d>
            <m:dPr>
              <m:ctrlPr>
                <w:rPr>
                  <w:rFonts w:ascii="Cambria Math" w:eastAsia="Calibri" w:hAnsi="Cambria Math"/>
                  <w:i/>
                  <w:sz w:val="22"/>
                  <w:szCs w:val="22"/>
                </w:rPr>
              </m:ctrlPr>
            </m:dPr>
            <m:e>
              <m:r>
                <w:rPr>
                  <w:rFonts w:ascii="Cambria Math" w:eastAsia="Calibri" w:hAnsi="Cambria Math"/>
                  <w:sz w:val="22"/>
                  <w:szCs w:val="22"/>
                </w:rPr>
                <m:t>%</m:t>
              </m:r>
            </m:e>
          </m:d>
          <m:r>
            <w:rPr>
              <w:rFonts w:ascii="Cambria Math" w:eastAsia="Calibri" w:hAnsi="Cambria Math"/>
              <w:sz w:val="22"/>
              <w:szCs w:val="22"/>
            </w:rPr>
            <m:t xml:space="preserve"> = </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Kitöltési hajlandóság</m:t>
                      </m:r>
                    </m:e>
                    <m:sub>
                      <m:r>
                        <w:rPr>
                          <w:rFonts w:ascii="Cambria Math" w:hAnsi="Cambria Math"/>
                          <w:sz w:val="22"/>
                          <w:szCs w:val="22"/>
                        </w:rPr>
                        <m:t>OMHVIi</m:t>
                      </m:r>
                    </m:sub>
                  </m:sSub>
                </m:e>
              </m:nary>
            </m:num>
            <m:den>
              <m:r>
                <w:rPr>
                  <w:rFonts w:ascii="Cambria Math" w:hAnsi="Cambria Math"/>
                  <w:sz w:val="22"/>
                  <w:szCs w:val="22"/>
                </w:rPr>
                <m:t>n</m:t>
              </m:r>
            </m:den>
          </m:f>
          <m:r>
            <w:rPr>
              <w:rFonts w:ascii="Cambria Math" w:hAnsi="Cambria Math"/>
              <w:sz w:val="22"/>
              <w:szCs w:val="22"/>
            </w:rPr>
            <m:t xml:space="preserve"> ×100</m:t>
          </m:r>
        </m:oMath>
      </m:oMathPara>
    </w:p>
    <w:p w14:paraId="7B48E5DB" w14:textId="77777777" w:rsidR="00FD0545" w:rsidRPr="00E13CE5" w:rsidRDefault="00FD0545" w:rsidP="00FD0545">
      <w:pPr>
        <w:jc w:val="both"/>
        <w:rPr>
          <w:rFonts w:eastAsia="Calibri"/>
          <w:sz w:val="22"/>
          <w:szCs w:val="22"/>
        </w:rPr>
      </w:pPr>
      <w:r w:rsidRPr="00E13CE5">
        <w:rPr>
          <w:sz w:val="22"/>
          <w:szCs w:val="22"/>
        </w:rPr>
        <w:t xml:space="preserve">ahol n az oktató által érintett </w:t>
      </w:r>
      <w:proofErr w:type="gramStart"/>
      <w:r w:rsidRPr="00E13CE5">
        <w:rPr>
          <w:sz w:val="22"/>
          <w:szCs w:val="22"/>
        </w:rPr>
        <w:t>kurzusok</w:t>
      </w:r>
      <w:proofErr w:type="gramEnd"/>
      <w:r w:rsidRPr="00E13CE5">
        <w:rPr>
          <w:sz w:val="22"/>
          <w:szCs w:val="22"/>
        </w:rPr>
        <w:t xml:space="preserve"> száma. A Kitöltési </w:t>
      </w:r>
      <w:proofErr w:type="spellStart"/>
      <w:r w:rsidRPr="00E13CE5">
        <w:rPr>
          <w:sz w:val="22"/>
          <w:szCs w:val="22"/>
        </w:rPr>
        <w:t>hajlandóság</w:t>
      </w:r>
      <w:r w:rsidRPr="00E13CE5">
        <w:rPr>
          <w:sz w:val="22"/>
          <w:szCs w:val="22"/>
          <w:vertAlign w:val="subscript"/>
        </w:rPr>
        <w:t>OMHVI</w:t>
      </w:r>
      <w:proofErr w:type="spellEnd"/>
      <w:r w:rsidRPr="00E13CE5">
        <w:rPr>
          <w:sz w:val="22"/>
          <w:szCs w:val="22"/>
        </w:rPr>
        <w:t xml:space="preserve"> ez utóbbi esetben természetes alakban értelmezendő.</w:t>
      </w:r>
    </w:p>
    <w:p w14:paraId="36A6F580" w14:textId="77777777" w:rsidR="00FD0545" w:rsidRPr="00E13CE5" w:rsidRDefault="00FD0545" w:rsidP="00FD0545">
      <w:pPr>
        <w:jc w:val="both"/>
        <w:rPr>
          <w:rFonts w:eastAsia="Calibri"/>
          <w:sz w:val="22"/>
          <w:szCs w:val="22"/>
        </w:rPr>
      </w:pPr>
      <w:r w:rsidRPr="00E13CE5">
        <w:rPr>
          <w:rFonts w:eastAsia="Calibri"/>
          <w:sz w:val="22"/>
          <w:szCs w:val="22"/>
        </w:rPr>
        <w:t xml:space="preserve">Pontátlag számítása során valamennyi kitöltés </w:t>
      </w:r>
      <w:proofErr w:type="spellStart"/>
      <w:r w:rsidRPr="00E13CE5">
        <w:rPr>
          <w:rFonts w:eastAsia="Calibri"/>
          <w:sz w:val="22"/>
          <w:szCs w:val="22"/>
        </w:rPr>
        <w:t>Likert</w:t>
      </w:r>
      <w:proofErr w:type="spellEnd"/>
      <w:r w:rsidRPr="00E13CE5">
        <w:rPr>
          <w:rFonts w:eastAsia="Calibri"/>
          <w:sz w:val="22"/>
          <w:szCs w:val="22"/>
        </w:rPr>
        <w:t xml:space="preserve"> skálán jelzett adatának (1-5) fejezetek (I. és II.) szerinti számtani átlagát képezzük</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10"/>
        <w:gridCol w:w="852"/>
        <w:gridCol w:w="852"/>
        <w:gridCol w:w="852"/>
        <w:gridCol w:w="853"/>
        <w:gridCol w:w="852"/>
        <w:gridCol w:w="852"/>
        <w:gridCol w:w="853"/>
        <w:gridCol w:w="853"/>
      </w:tblGrid>
      <w:tr w:rsidR="00FD0545" w:rsidRPr="00C376DE" w14:paraId="611B014C" w14:textId="77777777" w:rsidTr="00026782">
        <w:tc>
          <w:tcPr>
            <w:tcW w:w="1818" w:type="dxa"/>
            <w:gridSpan w:val="2"/>
            <w:vMerge w:val="restart"/>
            <w:tcBorders>
              <w:top w:val="nil"/>
              <w:left w:val="nil"/>
            </w:tcBorders>
            <w:shd w:val="clear" w:color="auto" w:fill="auto"/>
            <w:vAlign w:val="center"/>
          </w:tcPr>
          <w:p w14:paraId="3E24FB8D" w14:textId="77777777" w:rsidR="00FD0545" w:rsidRPr="00C376DE" w:rsidRDefault="00FD0545" w:rsidP="00026782">
            <w:pPr>
              <w:jc w:val="center"/>
              <w:rPr>
                <w:rFonts w:eastAsia="Calibri"/>
                <w:b/>
                <w:bCs/>
                <w:sz w:val="22"/>
                <w:szCs w:val="22"/>
              </w:rPr>
            </w:pPr>
            <w:r w:rsidRPr="00C376DE">
              <w:rPr>
                <w:rFonts w:eastAsia="Calibri"/>
                <w:b/>
                <w:bCs/>
                <w:sz w:val="22"/>
                <w:szCs w:val="22"/>
              </w:rPr>
              <w:t>OMHV szorzó</w:t>
            </w:r>
          </w:p>
        </w:tc>
        <w:tc>
          <w:tcPr>
            <w:tcW w:w="6819" w:type="dxa"/>
            <w:gridSpan w:val="8"/>
            <w:shd w:val="clear" w:color="auto" w:fill="D9D9D9"/>
          </w:tcPr>
          <w:p w14:paraId="2BD33813" w14:textId="77777777" w:rsidR="00FD0545" w:rsidRPr="00C376DE" w:rsidRDefault="00FD0545" w:rsidP="00026782">
            <w:pPr>
              <w:jc w:val="center"/>
              <w:rPr>
                <w:rFonts w:eastAsia="Calibri"/>
                <w:b/>
                <w:bCs/>
                <w:sz w:val="22"/>
                <w:szCs w:val="22"/>
              </w:rPr>
            </w:pPr>
            <w:r w:rsidRPr="00C376DE">
              <w:rPr>
                <w:rFonts w:eastAsia="Calibri"/>
                <w:b/>
                <w:bCs/>
                <w:sz w:val="22"/>
                <w:szCs w:val="22"/>
              </w:rPr>
              <w:t>Pontátlag</w:t>
            </w:r>
          </w:p>
        </w:tc>
      </w:tr>
      <w:tr w:rsidR="00FD0545" w:rsidRPr="00C376DE" w14:paraId="02070136" w14:textId="77777777" w:rsidTr="00026782">
        <w:tc>
          <w:tcPr>
            <w:tcW w:w="1818" w:type="dxa"/>
            <w:gridSpan w:val="2"/>
            <w:vMerge/>
            <w:tcBorders>
              <w:left w:val="nil"/>
            </w:tcBorders>
            <w:shd w:val="clear" w:color="auto" w:fill="auto"/>
          </w:tcPr>
          <w:p w14:paraId="640DBCFD" w14:textId="77777777" w:rsidR="00FD0545" w:rsidRPr="00C376DE" w:rsidRDefault="00FD0545" w:rsidP="00026782">
            <w:pPr>
              <w:rPr>
                <w:rFonts w:eastAsia="Calibri"/>
                <w:sz w:val="22"/>
                <w:szCs w:val="22"/>
              </w:rPr>
            </w:pPr>
          </w:p>
        </w:tc>
        <w:tc>
          <w:tcPr>
            <w:tcW w:w="852" w:type="dxa"/>
            <w:shd w:val="clear" w:color="auto" w:fill="D9D9D9"/>
          </w:tcPr>
          <w:p w14:paraId="7E1823D4" w14:textId="77777777" w:rsidR="00FD0545" w:rsidRPr="00C376DE" w:rsidRDefault="00FD0545" w:rsidP="00026782">
            <w:pPr>
              <w:jc w:val="center"/>
              <w:rPr>
                <w:rFonts w:eastAsia="Calibri"/>
                <w:b/>
                <w:bCs/>
                <w:sz w:val="22"/>
                <w:szCs w:val="22"/>
              </w:rPr>
            </w:pPr>
            <w:r w:rsidRPr="00C376DE">
              <w:rPr>
                <w:rFonts w:eastAsia="Calibri"/>
                <w:b/>
                <w:bCs/>
                <w:sz w:val="22"/>
                <w:szCs w:val="22"/>
              </w:rPr>
              <w:t>1-1,5</w:t>
            </w:r>
          </w:p>
        </w:tc>
        <w:tc>
          <w:tcPr>
            <w:tcW w:w="852" w:type="dxa"/>
            <w:shd w:val="clear" w:color="auto" w:fill="D9D9D9"/>
          </w:tcPr>
          <w:p w14:paraId="7F2367C2" w14:textId="77777777" w:rsidR="00FD0545" w:rsidRPr="00C376DE" w:rsidRDefault="00FD0545" w:rsidP="00026782">
            <w:pPr>
              <w:jc w:val="center"/>
              <w:rPr>
                <w:rFonts w:eastAsia="Calibri"/>
                <w:b/>
                <w:bCs/>
                <w:sz w:val="22"/>
                <w:szCs w:val="22"/>
              </w:rPr>
            </w:pPr>
            <w:r w:rsidRPr="00C376DE">
              <w:rPr>
                <w:rFonts w:eastAsia="Calibri"/>
                <w:b/>
                <w:bCs/>
                <w:sz w:val="22"/>
                <w:szCs w:val="22"/>
              </w:rPr>
              <w:t>1,51-2</w:t>
            </w:r>
          </w:p>
        </w:tc>
        <w:tc>
          <w:tcPr>
            <w:tcW w:w="852" w:type="dxa"/>
            <w:shd w:val="clear" w:color="auto" w:fill="D9D9D9"/>
          </w:tcPr>
          <w:p w14:paraId="0C50857A" w14:textId="77777777" w:rsidR="00FD0545" w:rsidRPr="00C376DE" w:rsidRDefault="00FD0545" w:rsidP="00026782">
            <w:pPr>
              <w:jc w:val="center"/>
              <w:rPr>
                <w:rFonts w:eastAsia="Calibri"/>
                <w:b/>
                <w:bCs/>
                <w:sz w:val="22"/>
                <w:szCs w:val="22"/>
              </w:rPr>
            </w:pPr>
            <w:r w:rsidRPr="00C376DE">
              <w:rPr>
                <w:rFonts w:eastAsia="Calibri"/>
                <w:b/>
                <w:bCs/>
                <w:sz w:val="22"/>
                <w:szCs w:val="22"/>
              </w:rPr>
              <w:t>2,1-2,5</w:t>
            </w:r>
          </w:p>
        </w:tc>
        <w:tc>
          <w:tcPr>
            <w:tcW w:w="853" w:type="dxa"/>
            <w:shd w:val="clear" w:color="auto" w:fill="D9D9D9"/>
          </w:tcPr>
          <w:p w14:paraId="081D4083" w14:textId="77777777" w:rsidR="00FD0545" w:rsidRPr="00C376DE" w:rsidRDefault="00FD0545" w:rsidP="00026782">
            <w:pPr>
              <w:jc w:val="center"/>
              <w:rPr>
                <w:rFonts w:eastAsia="Calibri"/>
                <w:b/>
                <w:bCs/>
                <w:sz w:val="22"/>
                <w:szCs w:val="22"/>
              </w:rPr>
            </w:pPr>
            <w:r w:rsidRPr="00C376DE">
              <w:rPr>
                <w:rFonts w:eastAsia="Calibri"/>
                <w:b/>
                <w:bCs/>
                <w:sz w:val="22"/>
                <w:szCs w:val="22"/>
              </w:rPr>
              <w:t>2,51-3</w:t>
            </w:r>
          </w:p>
        </w:tc>
        <w:tc>
          <w:tcPr>
            <w:tcW w:w="852" w:type="dxa"/>
            <w:shd w:val="clear" w:color="auto" w:fill="D9D9D9"/>
          </w:tcPr>
          <w:p w14:paraId="654094FD" w14:textId="77777777" w:rsidR="00FD0545" w:rsidRPr="00C376DE" w:rsidRDefault="00FD0545" w:rsidP="00026782">
            <w:pPr>
              <w:jc w:val="center"/>
              <w:rPr>
                <w:rFonts w:eastAsia="Calibri"/>
                <w:b/>
                <w:bCs/>
                <w:sz w:val="22"/>
                <w:szCs w:val="22"/>
              </w:rPr>
            </w:pPr>
            <w:r w:rsidRPr="00C376DE">
              <w:rPr>
                <w:rFonts w:eastAsia="Calibri"/>
                <w:b/>
                <w:bCs/>
                <w:sz w:val="22"/>
                <w:szCs w:val="22"/>
              </w:rPr>
              <w:t>3,1-3,5</w:t>
            </w:r>
          </w:p>
        </w:tc>
        <w:tc>
          <w:tcPr>
            <w:tcW w:w="852" w:type="dxa"/>
            <w:shd w:val="clear" w:color="auto" w:fill="D9D9D9"/>
          </w:tcPr>
          <w:p w14:paraId="79A09EF9" w14:textId="77777777" w:rsidR="00FD0545" w:rsidRPr="00C376DE" w:rsidRDefault="00FD0545" w:rsidP="00026782">
            <w:pPr>
              <w:jc w:val="center"/>
              <w:rPr>
                <w:rFonts w:eastAsia="Calibri"/>
                <w:b/>
                <w:bCs/>
                <w:sz w:val="22"/>
                <w:szCs w:val="22"/>
              </w:rPr>
            </w:pPr>
            <w:r w:rsidRPr="00C376DE">
              <w:rPr>
                <w:rFonts w:eastAsia="Calibri"/>
                <w:b/>
                <w:bCs/>
                <w:sz w:val="22"/>
                <w:szCs w:val="22"/>
              </w:rPr>
              <w:t>3,51-4</w:t>
            </w:r>
          </w:p>
        </w:tc>
        <w:tc>
          <w:tcPr>
            <w:tcW w:w="853" w:type="dxa"/>
            <w:shd w:val="clear" w:color="auto" w:fill="D9D9D9"/>
          </w:tcPr>
          <w:p w14:paraId="21FFBA55" w14:textId="77777777" w:rsidR="00FD0545" w:rsidRPr="00C376DE" w:rsidRDefault="00FD0545" w:rsidP="00026782">
            <w:pPr>
              <w:jc w:val="center"/>
              <w:rPr>
                <w:rFonts w:eastAsia="Calibri"/>
                <w:b/>
                <w:bCs/>
                <w:sz w:val="22"/>
                <w:szCs w:val="22"/>
              </w:rPr>
            </w:pPr>
            <w:r w:rsidRPr="00C376DE">
              <w:rPr>
                <w:rFonts w:eastAsia="Calibri"/>
                <w:b/>
                <w:bCs/>
                <w:sz w:val="22"/>
                <w:szCs w:val="22"/>
              </w:rPr>
              <w:t>4,1-4,5</w:t>
            </w:r>
          </w:p>
        </w:tc>
        <w:tc>
          <w:tcPr>
            <w:tcW w:w="853" w:type="dxa"/>
            <w:shd w:val="clear" w:color="auto" w:fill="D9D9D9"/>
          </w:tcPr>
          <w:p w14:paraId="6A9C1CBA" w14:textId="77777777" w:rsidR="00FD0545" w:rsidRPr="00C376DE" w:rsidRDefault="00FD0545" w:rsidP="00026782">
            <w:pPr>
              <w:jc w:val="center"/>
              <w:rPr>
                <w:rFonts w:eastAsia="Calibri"/>
                <w:b/>
                <w:bCs/>
                <w:sz w:val="22"/>
                <w:szCs w:val="22"/>
              </w:rPr>
            </w:pPr>
            <w:r w:rsidRPr="00C376DE">
              <w:rPr>
                <w:rFonts w:eastAsia="Calibri"/>
                <w:b/>
                <w:bCs/>
                <w:sz w:val="22"/>
                <w:szCs w:val="22"/>
              </w:rPr>
              <w:t>4,51-5</w:t>
            </w:r>
          </w:p>
        </w:tc>
      </w:tr>
      <w:tr w:rsidR="00FD0545" w:rsidRPr="00C376DE" w14:paraId="04AD632C" w14:textId="77777777" w:rsidTr="00026782">
        <w:tc>
          <w:tcPr>
            <w:tcW w:w="708" w:type="dxa"/>
            <w:vMerge w:val="restart"/>
            <w:shd w:val="clear" w:color="auto" w:fill="D9D9D9"/>
            <w:textDirection w:val="btLr"/>
            <w:vAlign w:val="center"/>
          </w:tcPr>
          <w:p w14:paraId="61C62ED6" w14:textId="77777777" w:rsidR="00FD0545" w:rsidRPr="00C376DE" w:rsidRDefault="00FD0545" w:rsidP="00026782">
            <w:pPr>
              <w:ind w:left="113" w:right="113"/>
              <w:jc w:val="center"/>
              <w:rPr>
                <w:rFonts w:eastAsia="Calibri"/>
                <w:b/>
                <w:bCs/>
                <w:sz w:val="22"/>
                <w:szCs w:val="22"/>
              </w:rPr>
            </w:pPr>
            <w:r w:rsidRPr="00C376DE">
              <w:rPr>
                <w:rFonts w:eastAsia="Calibri"/>
                <w:b/>
                <w:bCs/>
                <w:sz w:val="22"/>
                <w:szCs w:val="22"/>
              </w:rPr>
              <w:t>Kitöltési hajlandóság</w:t>
            </w:r>
          </w:p>
        </w:tc>
        <w:tc>
          <w:tcPr>
            <w:tcW w:w="1110" w:type="dxa"/>
            <w:shd w:val="clear" w:color="auto" w:fill="D9D9D9"/>
          </w:tcPr>
          <w:p w14:paraId="0AFFA6C2" w14:textId="77777777" w:rsidR="00FD0545" w:rsidRPr="00C376DE" w:rsidRDefault="00FD0545" w:rsidP="00026782">
            <w:pPr>
              <w:rPr>
                <w:rFonts w:eastAsia="Calibri"/>
                <w:b/>
                <w:bCs/>
                <w:sz w:val="22"/>
                <w:szCs w:val="22"/>
              </w:rPr>
            </w:pPr>
            <w:r w:rsidRPr="00C376DE">
              <w:rPr>
                <w:rFonts w:eastAsia="Calibri"/>
                <w:b/>
                <w:bCs/>
                <w:sz w:val="22"/>
                <w:szCs w:val="22"/>
              </w:rPr>
              <w:t>&lt;50%</w:t>
            </w:r>
          </w:p>
        </w:tc>
        <w:tc>
          <w:tcPr>
            <w:tcW w:w="852" w:type="dxa"/>
            <w:shd w:val="clear" w:color="auto" w:fill="auto"/>
          </w:tcPr>
          <w:p w14:paraId="0CAD10E2"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666D6E9D"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0F3965F0"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3" w:type="dxa"/>
            <w:shd w:val="clear" w:color="auto" w:fill="auto"/>
          </w:tcPr>
          <w:p w14:paraId="2808670E"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656646C5"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1FB5E6BC"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3" w:type="dxa"/>
            <w:shd w:val="clear" w:color="auto" w:fill="auto"/>
          </w:tcPr>
          <w:p w14:paraId="206174BE"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3" w:type="dxa"/>
            <w:shd w:val="clear" w:color="auto" w:fill="auto"/>
          </w:tcPr>
          <w:p w14:paraId="55C86A93" w14:textId="77777777" w:rsidR="00FD0545" w:rsidRPr="00C376DE" w:rsidRDefault="00FD0545" w:rsidP="00026782">
            <w:pPr>
              <w:jc w:val="center"/>
              <w:rPr>
                <w:rFonts w:eastAsia="Calibri"/>
                <w:sz w:val="22"/>
                <w:szCs w:val="22"/>
              </w:rPr>
            </w:pPr>
            <w:r w:rsidRPr="00C376DE">
              <w:rPr>
                <w:rFonts w:eastAsia="Calibri"/>
                <w:sz w:val="22"/>
                <w:szCs w:val="22"/>
              </w:rPr>
              <w:t>1</w:t>
            </w:r>
          </w:p>
        </w:tc>
      </w:tr>
      <w:tr w:rsidR="00FD0545" w:rsidRPr="00C376DE" w14:paraId="7E850E16" w14:textId="77777777" w:rsidTr="00026782">
        <w:tc>
          <w:tcPr>
            <w:tcW w:w="708" w:type="dxa"/>
            <w:vMerge/>
            <w:shd w:val="clear" w:color="auto" w:fill="D9D9D9"/>
          </w:tcPr>
          <w:p w14:paraId="0AC23354" w14:textId="77777777" w:rsidR="00FD0545" w:rsidRPr="00C376DE" w:rsidRDefault="00FD0545" w:rsidP="00026782">
            <w:pPr>
              <w:rPr>
                <w:rFonts w:eastAsia="Calibri"/>
                <w:b/>
                <w:bCs/>
                <w:sz w:val="22"/>
                <w:szCs w:val="22"/>
              </w:rPr>
            </w:pPr>
          </w:p>
        </w:tc>
        <w:tc>
          <w:tcPr>
            <w:tcW w:w="1110" w:type="dxa"/>
            <w:shd w:val="clear" w:color="auto" w:fill="D9D9D9"/>
          </w:tcPr>
          <w:p w14:paraId="5737D4A9" w14:textId="77777777" w:rsidR="00FD0545" w:rsidRPr="00C376DE" w:rsidRDefault="00FD0545" w:rsidP="00026782">
            <w:pPr>
              <w:rPr>
                <w:rFonts w:eastAsia="Calibri"/>
                <w:b/>
                <w:bCs/>
                <w:sz w:val="22"/>
                <w:szCs w:val="22"/>
              </w:rPr>
            </w:pPr>
            <w:r w:rsidRPr="00C376DE">
              <w:rPr>
                <w:rFonts w:eastAsia="Calibri"/>
                <w:b/>
                <w:bCs/>
                <w:sz w:val="22"/>
                <w:szCs w:val="22"/>
              </w:rPr>
              <w:t>50-60%</w:t>
            </w:r>
          </w:p>
        </w:tc>
        <w:tc>
          <w:tcPr>
            <w:tcW w:w="852" w:type="dxa"/>
            <w:shd w:val="clear" w:color="auto" w:fill="auto"/>
          </w:tcPr>
          <w:p w14:paraId="13E64B9C" w14:textId="77777777" w:rsidR="00FD0545" w:rsidRPr="00C376DE" w:rsidRDefault="00FD0545" w:rsidP="00026782">
            <w:pPr>
              <w:jc w:val="center"/>
              <w:rPr>
                <w:rFonts w:eastAsia="Calibri"/>
                <w:sz w:val="22"/>
                <w:szCs w:val="22"/>
              </w:rPr>
            </w:pPr>
            <w:r w:rsidRPr="00C376DE">
              <w:rPr>
                <w:rFonts w:eastAsia="Calibri"/>
                <w:sz w:val="22"/>
                <w:szCs w:val="22"/>
              </w:rPr>
              <w:t>0,95</w:t>
            </w:r>
          </w:p>
        </w:tc>
        <w:tc>
          <w:tcPr>
            <w:tcW w:w="852" w:type="dxa"/>
            <w:shd w:val="clear" w:color="auto" w:fill="auto"/>
          </w:tcPr>
          <w:p w14:paraId="04EF6EF3" w14:textId="77777777" w:rsidR="00FD0545" w:rsidRPr="00C376DE" w:rsidRDefault="00FD0545" w:rsidP="00026782">
            <w:pPr>
              <w:jc w:val="center"/>
              <w:rPr>
                <w:rFonts w:eastAsia="Calibri"/>
                <w:sz w:val="22"/>
                <w:szCs w:val="22"/>
              </w:rPr>
            </w:pPr>
            <w:r w:rsidRPr="00C376DE">
              <w:rPr>
                <w:rFonts w:eastAsia="Calibri"/>
                <w:sz w:val="22"/>
                <w:szCs w:val="22"/>
              </w:rPr>
              <w:t>0,96</w:t>
            </w:r>
          </w:p>
        </w:tc>
        <w:tc>
          <w:tcPr>
            <w:tcW w:w="852" w:type="dxa"/>
            <w:shd w:val="clear" w:color="auto" w:fill="auto"/>
          </w:tcPr>
          <w:p w14:paraId="70801A7E" w14:textId="77777777" w:rsidR="00FD0545" w:rsidRPr="00C376DE" w:rsidRDefault="00FD0545" w:rsidP="00026782">
            <w:pPr>
              <w:jc w:val="center"/>
              <w:rPr>
                <w:rFonts w:eastAsia="Calibri"/>
                <w:sz w:val="22"/>
                <w:szCs w:val="22"/>
              </w:rPr>
            </w:pPr>
            <w:r w:rsidRPr="00C376DE">
              <w:rPr>
                <w:rFonts w:eastAsia="Calibri"/>
                <w:sz w:val="22"/>
                <w:szCs w:val="22"/>
              </w:rPr>
              <w:t>0,98</w:t>
            </w:r>
          </w:p>
        </w:tc>
        <w:tc>
          <w:tcPr>
            <w:tcW w:w="853" w:type="dxa"/>
            <w:shd w:val="clear" w:color="auto" w:fill="auto"/>
          </w:tcPr>
          <w:p w14:paraId="7D855924" w14:textId="77777777" w:rsidR="00FD0545" w:rsidRPr="00C376DE" w:rsidRDefault="00FD0545" w:rsidP="00026782">
            <w:pPr>
              <w:jc w:val="center"/>
              <w:rPr>
                <w:rFonts w:eastAsia="Calibri"/>
                <w:sz w:val="22"/>
                <w:szCs w:val="22"/>
              </w:rPr>
            </w:pPr>
            <w:r w:rsidRPr="00C376DE">
              <w:rPr>
                <w:rFonts w:eastAsia="Calibri"/>
                <w:sz w:val="22"/>
                <w:szCs w:val="22"/>
              </w:rPr>
              <w:t>0,99</w:t>
            </w:r>
          </w:p>
        </w:tc>
        <w:tc>
          <w:tcPr>
            <w:tcW w:w="852" w:type="dxa"/>
            <w:shd w:val="clear" w:color="auto" w:fill="auto"/>
          </w:tcPr>
          <w:p w14:paraId="7FB9C691"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150398B2" w14:textId="77777777" w:rsidR="00FD0545" w:rsidRPr="00C376DE" w:rsidRDefault="00FD0545" w:rsidP="00026782">
            <w:pPr>
              <w:jc w:val="center"/>
              <w:rPr>
                <w:rFonts w:eastAsia="Calibri"/>
                <w:sz w:val="22"/>
                <w:szCs w:val="22"/>
              </w:rPr>
            </w:pPr>
            <w:r w:rsidRPr="00C376DE">
              <w:rPr>
                <w:rFonts w:eastAsia="Calibri"/>
                <w:sz w:val="22"/>
                <w:szCs w:val="22"/>
              </w:rPr>
              <w:t>1,05</w:t>
            </w:r>
          </w:p>
        </w:tc>
        <w:tc>
          <w:tcPr>
            <w:tcW w:w="853" w:type="dxa"/>
            <w:shd w:val="clear" w:color="auto" w:fill="auto"/>
          </w:tcPr>
          <w:p w14:paraId="4605AD6B" w14:textId="77777777" w:rsidR="00FD0545" w:rsidRPr="00C376DE" w:rsidRDefault="00FD0545" w:rsidP="00026782">
            <w:pPr>
              <w:jc w:val="center"/>
              <w:rPr>
                <w:rFonts w:eastAsia="Calibri"/>
                <w:sz w:val="22"/>
                <w:szCs w:val="22"/>
              </w:rPr>
            </w:pPr>
            <w:r w:rsidRPr="00C376DE">
              <w:rPr>
                <w:rFonts w:eastAsia="Calibri"/>
                <w:sz w:val="22"/>
                <w:szCs w:val="22"/>
              </w:rPr>
              <w:t>1,08</w:t>
            </w:r>
          </w:p>
        </w:tc>
        <w:tc>
          <w:tcPr>
            <w:tcW w:w="853" w:type="dxa"/>
            <w:shd w:val="clear" w:color="auto" w:fill="auto"/>
          </w:tcPr>
          <w:p w14:paraId="62DACA05" w14:textId="77777777" w:rsidR="00FD0545" w:rsidRPr="00C376DE" w:rsidRDefault="00FD0545" w:rsidP="00026782">
            <w:pPr>
              <w:jc w:val="center"/>
              <w:rPr>
                <w:rFonts w:eastAsia="Calibri"/>
                <w:sz w:val="22"/>
                <w:szCs w:val="22"/>
              </w:rPr>
            </w:pPr>
            <w:r w:rsidRPr="00C376DE">
              <w:rPr>
                <w:rFonts w:eastAsia="Calibri"/>
                <w:sz w:val="22"/>
                <w:szCs w:val="22"/>
              </w:rPr>
              <w:t>1,1</w:t>
            </w:r>
          </w:p>
        </w:tc>
      </w:tr>
      <w:tr w:rsidR="00FD0545" w:rsidRPr="00C376DE" w14:paraId="0952B5FF" w14:textId="77777777" w:rsidTr="00026782">
        <w:tc>
          <w:tcPr>
            <w:tcW w:w="708" w:type="dxa"/>
            <w:vMerge/>
            <w:shd w:val="clear" w:color="auto" w:fill="D9D9D9"/>
          </w:tcPr>
          <w:p w14:paraId="517A4DE3" w14:textId="77777777" w:rsidR="00FD0545" w:rsidRPr="00C376DE" w:rsidRDefault="00FD0545" w:rsidP="00026782">
            <w:pPr>
              <w:rPr>
                <w:rFonts w:eastAsia="Calibri"/>
                <w:b/>
                <w:bCs/>
                <w:sz w:val="22"/>
                <w:szCs w:val="22"/>
              </w:rPr>
            </w:pPr>
          </w:p>
        </w:tc>
        <w:tc>
          <w:tcPr>
            <w:tcW w:w="1110" w:type="dxa"/>
            <w:shd w:val="clear" w:color="auto" w:fill="D9D9D9"/>
          </w:tcPr>
          <w:p w14:paraId="5C0AECE2" w14:textId="77777777" w:rsidR="00FD0545" w:rsidRPr="00C376DE" w:rsidRDefault="00FD0545" w:rsidP="00026782">
            <w:pPr>
              <w:rPr>
                <w:rFonts w:eastAsia="Calibri"/>
                <w:b/>
                <w:bCs/>
                <w:sz w:val="22"/>
                <w:szCs w:val="22"/>
              </w:rPr>
            </w:pPr>
            <w:r w:rsidRPr="00C376DE">
              <w:rPr>
                <w:rFonts w:eastAsia="Calibri"/>
                <w:b/>
                <w:bCs/>
                <w:sz w:val="22"/>
                <w:szCs w:val="22"/>
              </w:rPr>
              <w:t>60-70%</w:t>
            </w:r>
          </w:p>
        </w:tc>
        <w:tc>
          <w:tcPr>
            <w:tcW w:w="852" w:type="dxa"/>
            <w:shd w:val="clear" w:color="auto" w:fill="auto"/>
          </w:tcPr>
          <w:p w14:paraId="2A2E77C3" w14:textId="77777777" w:rsidR="00FD0545" w:rsidRPr="00C376DE" w:rsidRDefault="00FD0545" w:rsidP="00026782">
            <w:pPr>
              <w:jc w:val="center"/>
              <w:rPr>
                <w:rFonts w:eastAsia="Calibri"/>
                <w:sz w:val="22"/>
                <w:szCs w:val="22"/>
              </w:rPr>
            </w:pPr>
            <w:r w:rsidRPr="00C376DE">
              <w:rPr>
                <w:rFonts w:eastAsia="Calibri"/>
                <w:sz w:val="22"/>
                <w:szCs w:val="22"/>
              </w:rPr>
              <w:t>0,95</w:t>
            </w:r>
          </w:p>
        </w:tc>
        <w:tc>
          <w:tcPr>
            <w:tcW w:w="852" w:type="dxa"/>
            <w:shd w:val="clear" w:color="auto" w:fill="auto"/>
          </w:tcPr>
          <w:p w14:paraId="53B54FA0" w14:textId="77777777" w:rsidR="00FD0545" w:rsidRPr="00C376DE" w:rsidRDefault="00FD0545" w:rsidP="00026782">
            <w:pPr>
              <w:jc w:val="center"/>
              <w:rPr>
                <w:rFonts w:eastAsia="Calibri"/>
                <w:sz w:val="22"/>
                <w:szCs w:val="22"/>
              </w:rPr>
            </w:pPr>
            <w:r w:rsidRPr="00C376DE">
              <w:rPr>
                <w:rFonts w:eastAsia="Calibri"/>
                <w:sz w:val="22"/>
                <w:szCs w:val="22"/>
              </w:rPr>
              <w:t>0,96</w:t>
            </w:r>
          </w:p>
        </w:tc>
        <w:tc>
          <w:tcPr>
            <w:tcW w:w="852" w:type="dxa"/>
            <w:shd w:val="clear" w:color="auto" w:fill="auto"/>
          </w:tcPr>
          <w:p w14:paraId="6DBC9A85" w14:textId="77777777" w:rsidR="00FD0545" w:rsidRPr="00C376DE" w:rsidRDefault="00FD0545" w:rsidP="00026782">
            <w:pPr>
              <w:jc w:val="center"/>
              <w:rPr>
                <w:rFonts w:eastAsia="Calibri"/>
                <w:sz w:val="22"/>
                <w:szCs w:val="22"/>
              </w:rPr>
            </w:pPr>
            <w:r w:rsidRPr="00C376DE">
              <w:rPr>
                <w:rFonts w:eastAsia="Calibri"/>
                <w:sz w:val="22"/>
                <w:szCs w:val="22"/>
              </w:rPr>
              <w:t>0,98</w:t>
            </w:r>
          </w:p>
        </w:tc>
        <w:tc>
          <w:tcPr>
            <w:tcW w:w="853" w:type="dxa"/>
            <w:shd w:val="clear" w:color="auto" w:fill="auto"/>
          </w:tcPr>
          <w:p w14:paraId="7780C1A5" w14:textId="77777777" w:rsidR="00FD0545" w:rsidRPr="00C376DE" w:rsidRDefault="00FD0545" w:rsidP="00026782">
            <w:pPr>
              <w:jc w:val="center"/>
              <w:rPr>
                <w:rFonts w:eastAsia="Calibri"/>
                <w:sz w:val="22"/>
                <w:szCs w:val="22"/>
              </w:rPr>
            </w:pPr>
            <w:r w:rsidRPr="00C376DE">
              <w:rPr>
                <w:rFonts w:eastAsia="Calibri"/>
                <w:sz w:val="22"/>
                <w:szCs w:val="22"/>
              </w:rPr>
              <w:t>0,99</w:t>
            </w:r>
          </w:p>
        </w:tc>
        <w:tc>
          <w:tcPr>
            <w:tcW w:w="852" w:type="dxa"/>
            <w:shd w:val="clear" w:color="auto" w:fill="auto"/>
          </w:tcPr>
          <w:p w14:paraId="2191D559"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72B27B4A" w14:textId="77777777" w:rsidR="00FD0545" w:rsidRPr="00C376DE" w:rsidRDefault="00FD0545" w:rsidP="00026782">
            <w:pPr>
              <w:jc w:val="center"/>
              <w:rPr>
                <w:rFonts w:eastAsia="Calibri"/>
                <w:sz w:val="22"/>
                <w:szCs w:val="22"/>
              </w:rPr>
            </w:pPr>
            <w:r w:rsidRPr="00C376DE">
              <w:rPr>
                <w:rFonts w:eastAsia="Calibri"/>
                <w:sz w:val="22"/>
                <w:szCs w:val="22"/>
              </w:rPr>
              <w:t>1,05</w:t>
            </w:r>
          </w:p>
        </w:tc>
        <w:tc>
          <w:tcPr>
            <w:tcW w:w="853" w:type="dxa"/>
            <w:shd w:val="clear" w:color="auto" w:fill="auto"/>
          </w:tcPr>
          <w:p w14:paraId="4430BC6B" w14:textId="77777777" w:rsidR="00FD0545" w:rsidRPr="00C376DE" w:rsidRDefault="00FD0545" w:rsidP="00026782">
            <w:pPr>
              <w:jc w:val="center"/>
              <w:rPr>
                <w:rFonts w:eastAsia="Calibri"/>
                <w:sz w:val="22"/>
                <w:szCs w:val="22"/>
              </w:rPr>
            </w:pPr>
            <w:r w:rsidRPr="00C376DE">
              <w:rPr>
                <w:rFonts w:eastAsia="Calibri"/>
                <w:sz w:val="22"/>
                <w:szCs w:val="22"/>
              </w:rPr>
              <w:t>1,08</w:t>
            </w:r>
          </w:p>
        </w:tc>
        <w:tc>
          <w:tcPr>
            <w:tcW w:w="853" w:type="dxa"/>
            <w:shd w:val="clear" w:color="auto" w:fill="auto"/>
          </w:tcPr>
          <w:p w14:paraId="1CB93C80" w14:textId="77777777" w:rsidR="00FD0545" w:rsidRPr="00C376DE" w:rsidRDefault="00FD0545" w:rsidP="00026782">
            <w:pPr>
              <w:jc w:val="center"/>
              <w:rPr>
                <w:rFonts w:eastAsia="Calibri"/>
                <w:sz w:val="22"/>
                <w:szCs w:val="22"/>
              </w:rPr>
            </w:pPr>
            <w:r w:rsidRPr="00C376DE">
              <w:rPr>
                <w:rFonts w:eastAsia="Calibri"/>
                <w:sz w:val="22"/>
                <w:szCs w:val="22"/>
              </w:rPr>
              <w:t>1,1</w:t>
            </w:r>
          </w:p>
        </w:tc>
      </w:tr>
      <w:tr w:rsidR="00FD0545" w:rsidRPr="00C376DE" w14:paraId="10C3D62C" w14:textId="77777777" w:rsidTr="00026782">
        <w:tc>
          <w:tcPr>
            <w:tcW w:w="708" w:type="dxa"/>
            <w:vMerge/>
            <w:shd w:val="clear" w:color="auto" w:fill="D9D9D9"/>
          </w:tcPr>
          <w:p w14:paraId="451CB3A8" w14:textId="77777777" w:rsidR="00FD0545" w:rsidRPr="00C376DE" w:rsidRDefault="00FD0545" w:rsidP="00026782">
            <w:pPr>
              <w:rPr>
                <w:rFonts w:eastAsia="Calibri"/>
                <w:b/>
                <w:bCs/>
                <w:sz w:val="22"/>
                <w:szCs w:val="22"/>
              </w:rPr>
            </w:pPr>
          </w:p>
        </w:tc>
        <w:tc>
          <w:tcPr>
            <w:tcW w:w="1110" w:type="dxa"/>
            <w:shd w:val="clear" w:color="auto" w:fill="D9D9D9"/>
          </w:tcPr>
          <w:p w14:paraId="7924FA76" w14:textId="77777777" w:rsidR="00FD0545" w:rsidRPr="00C376DE" w:rsidRDefault="00FD0545" w:rsidP="00026782">
            <w:pPr>
              <w:rPr>
                <w:rFonts w:eastAsia="Calibri"/>
                <w:b/>
                <w:bCs/>
                <w:sz w:val="22"/>
                <w:szCs w:val="22"/>
              </w:rPr>
            </w:pPr>
            <w:r w:rsidRPr="00C376DE">
              <w:rPr>
                <w:rFonts w:eastAsia="Calibri"/>
                <w:b/>
                <w:bCs/>
                <w:sz w:val="22"/>
                <w:szCs w:val="22"/>
              </w:rPr>
              <w:t>70-80%</w:t>
            </w:r>
          </w:p>
        </w:tc>
        <w:tc>
          <w:tcPr>
            <w:tcW w:w="852" w:type="dxa"/>
            <w:shd w:val="clear" w:color="auto" w:fill="auto"/>
          </w:tcPr>
          <w:p w14:paraId="1AA9772E" w14:textId="77777777" w:rsidR="00FD0545" w:rsidRPr="00C376DE" w:rsidRDefault="00FD0545" w:rsidP="00026782">
            <w:pPr>
              <w:jc w:val="center"/>
              <w:rPr>
                <w:rFonts w:eastAsia="Calibri"/>
                <w:sz w:val="22"/>
                <w:szCs w:val="22"/>
              </w:rPr>
            </w:pPr>
            <w:r w:rsidRPr="00C376DE">
              <w:rPr>
                <w:rFonts w:eastAsia="Calibri"/>
                <w:sz w:val="22"/>
                <w:szCs w:val="22"/>
              </w:rPr>
              <w:t>0,93</w:t>
            </w:r>
          </w:p>
        </w:tc>
        <w:tc>
          <w:tcPr>
            <w:tcW w:w="852" w:type="dxa"/>
            <w:shd w:val="clear" w:color="auto" w:fill="auto"/>
          </w:tcPr>
          <w:p w14:paraId="724DF25B" w14:textId="77777777" w:rsidR="00FD0545" w:rsidRPr="00C376DE" w:rsidRDefault="00FD0545" w:rsidP="00026782">
            <w:pPr>
              <w:jc w:val="center"/>
              <w:rPr>
                <w:rFonts w:eastAsia="Calibri"/>
                <w:sz w:val="22"/>
                <w:szCs w:val="22"/>
              </w:rPr>
            </w:pPr>
            <w:r w:rsidRPr="00C376DE">
              <w:rPr>
                <w:rFonts w:eastAsia="Calibri"/>
                <w:sz w:val="22"/>
                <w:szCs w:val="22"/>
              </w:rPr>
              <w:t>0,95</w:t>
            </w:r>
          </w:p>
        </w:tc>
        <w:tc>
          <w:tcPr>
            <w:tcW w:w="852" w:type="dxa"/>
            <w:shd w:val="clear" w:color="auto" w:fill="auto"/>
          </w:tcPr>
          <w:p w14:paraId="33577450" w14:textId="77777777" w:rsidR="00FD0545" w:rsidRPr="00C376DE" w:rsidRDefault="00FD0545" w:rsidP="00026782">
            <w:pPr>
              <w:jc w:val="center"/>
              <w:rPr>
                <w:rFonts w:eastAsia="Calibri"/>
                <w:sz w:val="22"/>
                <w:szCs w:val="22"/>
              </w:rPr>
            </w:pPr>
            <w:r w:rsidRPr="00C376DE">
              <w:rPr>
                <w:rFonts w:eastAsia="Calibri"/>
                <w:sz w:val="22"/>
                <w:szCs w:val="22"/>
              </w:rPr>
              <w:t>0,96</w:t>
            </w:r>
          </w:p>
        </w:tc>
        <w:tc>
          <w:tcPr>
            <w:tcW w:w="853" w:type="dxa"/>
            <w:shd w:val="clear" w:color="auto" w:fill="auto"/>
          </w:tcPr>
          <w:p w14:paraId="3D15E03A" w14:textId="77777777" w:rsidR="00FD0545" w:rsidRPr="00C376DE" w:rsidRDefault="00FD0545" w:rsidP="00026782">
            <w:pPr>
              <w:jc w:val="center"/>
              <w:rPr>
                <w:rFonts w:eastAsia="Calibri"/>
                <w:sz w:val="22"/>
                <w:szCs w:val="22"/>
              </w:rPr>
            </w:pPr>
            <w:r w:rsidRPr="00C376DE">
              <w:rPr>
                <w:rFonts w:eastAsia="Calibri"/>
                <w:sz w:val="22"/>
                <w:szCs w:val="22"/>
              </w:rPr>
              <w:t>0,97</w:t>
            </w:r>
          </w:p>
        </w:tc>
        <w:tc>
          <w:tcPr>
            <w:tcW w:w="852" w:type="dxa"/>
            <w:shd w:val="clear" w:color="auto" w:fill="auto"/>
          </w:tcPr>
          <w:p w14:paraId="0B47EFA2"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61C0D62B" w14:textId="77777777" w:rsidR="00FD0545" w:rsidRPr="00C376DE" w:rsidRDefault="00FD0545" w:rsidP="00026782">
            <w:pPr>
              <w:jc w:val="center"/>
              <w:rPr>
                <w:rFonts w:eastAsia="Calibri"/>
                <w:sz w:val="22"/>
                <w:szCs w:val="22"/>
              </w:rPr>
            </w:pPr>
            <w:r w:rsidRPr="00C376DE">
              <w:rPr>
                <w:rFonts w:eastAsia="Calibri"/>
                <w:sz w:val="22"/>
                <w:szCs w:val="22"/>
              </w:rPr>
              <w:t>1,07</w:t>
            </w:r>
          </w:p>
        </w:tc>
        <w:tc>
          <w:tcPr>
            <w:tcW w:w="853" w:type="dxa"/>
            <w:shd w:val="clear" w:color="auto" w:fill="auto"/>
          </w:tcPr>
          <w:p w14:paraId="3DE511ED" w14:textId="77777777" w:rsidR="00FD0545" w:rsidRPr="00C376DE" w:rsidRDefault="00FD0545" w:rsidP="00026782">
            <w:pPr>
              <w:jc w:val="center"/>
              <w:rPr>
                <w:rFonts w:eastAsia="Calibri"/>
                <w:sz w:val="22"/>
                <w:szCs w:val="22"/>
              </w:rPr>
            </w:pPr>
            <w:r w:rsidRPr="00C376DE">
              <w:rPr>
                <w:rFonts w:eastAsia="Calibri"/>
                <w:sz w:val="22"/>
                <w:szCs w:val="22"/>
              </w:rPr>
              <w:t>1,12</w:t>
            </w:r>
          </w:p>
        </w:tc>
        <w:tc>
          <w:tcPr>
            <w:tcW w:w="853" w:type="dxa"/>
            <w:shd w:val="clear" w:color="auto" w:fill="auto"/>
          </w:tcPr>
          <w:p w14:paraId="17ED96EE" w14:textId="77777777" w:rsidR="00FD0545" w:rsidRPr="00C376DE" w:rsidRDefault="00FD0545" w:rsidP="00026782">
            <w:pPr>
              <w:jc w:val="center"/>
              <w:rPr>
                <w:rFonts w:eastAsia="Calibri"/>
                <w:sz w:val="22"/>
                <w:szCs w:val="22"/>
              </w:rPr>
            </w:pPr>
            <w:r w:rsidRPr="00C376DE">
              <w:rPr>
                <w:rFonts w:eastAsia="Calibri"/>
                <w:sz w:val="22"/>
                <w:szCs w:val="22"/>
              </w:rPr>
              <w:t>1,16</w:t>
            </w:r>
          </w:p>
        </w:tc>
      </w:tr>
      <w:tr w:rsidR="00FD0545" w:rsidRPr="00C376DE" w14:paraId="472E5193" w14:textId="77777777" w:rsidTr="00026782">
        <w:tc>
          <w:tcPr>
            <w:tcW w:w="708" w:type="dxa"/>
            <w:vMerge/>
            <w:shd w:val="clear" w:color="auto" w:fill="D9D9D9"/>
          </w:tcPr>
          <w:p w14:paraId="43FC01D1" w14:textId="77777777" w:rsidR="00FD0545" w:rsidRPr="00C376DE" w:rsidRDefault="00FD0545" w:rsidP="00026782">
            <w:pPr>
              <w:rPr>
                <w:rFonts w:eastAsia="Calibri"/>
                <w:b/>
                <w:bCs/>
                <w:sz w:val="22"/>
                <w:szCs w:val="22"/>
              </w:rPr>
            </w:pPr>
          </w:p>
        </w:tc>
        <w:tc>
          <w:tcPr>
            <w:tcW w:w="1110" w:type="dxa"/>
            <w:shd w:val="clear" w:color="auto" w:fill="D9D9D9"/>
          </w:tcPr>
          <w:p w14:paraId="35DE92BB" w14:textId="77777777" w:rsidR="00FD0545" w:rsidRPr="00C376DE" w:rsidRDefault="00FD0545" w:rsidP="00026782">
            <w:pPr>
              <w:rPr>
                <w:rFonts w:eastAsia="Calibri"/>
                <w:b/>
                <w:bCs/>
                <w:sz w:val="22"/>
                <w:szCs w:val="22"/>
              </w:rPr>
            </w:pPr>
            <w:r w:rsidRPr="00C376DE">
              <w:rPr>
                <w:rFonts w:eastAsia="Calibri"/>
                <w:b/>
                <w:bCs/>
                <w:sz w:val="22"/>
                <w:szCs w:val="22"/>
              </w:rPr>
              <w:t>80-90%</w:t>
            </w:r>
          </w:p>
        </w:tc>
        <w:tc>
          <w:tcPr>
            <w:tcW w:w="852" w:type="dxa"/>
            <w:shd w:val="clear" w:color="auto" w:fill="auto"/>
          </w:tcPr>
          <w:p w14:paraId="36AFE7AD" w14:textId="77777777" w:rsidR="00FD0545" w:rsidRPr="00C376DE" w:rsidRDefault="00FD0545" w:rsidP="00026782">
            <w:pPr>
              <w:jc w:val="center"/>
              <w:rPr>
                <w:rFonts w:eastAsia="Calibri"/>
                <w:sz w:val="22"/>
                <w:szCs w:val="22"/>
              </w:rPr>
            </w:pPr>
            <w:r w:rsidRPr="00C376DE">
              <w:rPr>
                <w:rFonts w:eastAsia="Calibri"/>
                <w:sz w:val="22"/>
                <w:szCs w:val="22"/>
              </w:rPr>
              <w:t>0,93</w:t>
            </w:r>
          </w:p>
        </w:tc>
        <w:tc>
          <w:tcPr>
            <w:tcW w:w="852" w:type="dxa"/>
            <w:shd w:val="clear" w:color="auto" w:fill="auto"/>
          </w:tcPr>
          <w:p w14:paraId="1557A63A" w14:textId="77777777" w:rsidR="00FD0545" w:rsidRPr="00C376DE" w:rsidRDefault="00FD0545" w:rsidP="00026782">
            <w:pPr>
              <w:jc w:val="center"/>
              <w:rPr>
                <w:rFonts w:eastAsia="Calibri"/>
                <w:sz w:val="22"/>
                <w:szCs w:val="22"/>
              </w:rPr>
            </w:pPr>
            <w:r w:rsidRPr="00C376DE">
              <w:rPr>
                <w:rFonts w:eastAsia="Calibri"/>
                <w:sz w:val="22"/>
                <w:szCs w:val="22"/>
              </w:rPr>
              <w:t>0,95</w:t>
            </w:r>
          </w:p>
        </w:tc>
        <w:tc>
          <w:tcPr>
            <w:tcW w:w="852" w:type="dxa"/>
            <w:shd w:val="clear" w:color="auto" w:fill="auto"/>
          </w:tcPr>
          <w:p w14:paraId="5E90B265" w14:textId="77777777" w:rsidR="00FD0545" w:rsidRPr="00C376DE" w:rsidRDefault="00FD0545" w:rsidP="00026782">
            <w:pPr>
              <w:jc w:val="center"/>
              <w:rPr>
                <w:rFonts w:eastAsia="Calibri"/>
                <w:sz w:val="22"/>
                <w:szCs w:val="22"/>
              </w:rPr>
            </w:pPr>
            <w:r w:rsidRPr="00C376DE">
              <w:rPr>
                <w:rFonts w:eastAsia="Calibri"/>
                <w:sz w:val="22"/>
                <w:szCs w:val="22"/>
              </w:rPr>
              <w:t>0,96</w:t>
            </w:r>
          </w:p>
        </w:tc>
        <w:tc>
          <w:tcPr>
            <w:tcW w:w="853" w:type="dxa"/>
            <w:shd w:val="clear" w:color="auto" w:fill="auto"/>
          </w:tcPr>
          <w:p w14:paraId="7018B6CA" w14:textId="77777777" w:rsidR="00FD0545" w:rsidRPr="00C376DE" w:rsidRDefault="00FD0545" w:rsidP="00026782">
            <w:pPr>
              <w:jc w:val="center"/>
              <w:rPr>
                <w:rFonts w:eastAsia="Calibri"/>
                <w:sz w:val="22"/>
                <w:szCs w:val="22"/>
              </w:rPr>
            </w:pPr>
            <w:r w:rsidRPr="00C376DE">
              <w:rPr>
                <w:rFonts w:eastAsia="Calibri"/>
                <w:sz w:val="22"/>
                <w:szCs w:val="22"/>
              </w:rPr>
              <w:t>0,97</w:t>
            </w:r>
          </w:p>
        </w:tc>
        <w:tc>
          <w:tcPr>
            <w:tcW w:w="852" w:type="dxa"/>
            <w:shd w:val="clear" w:color="auto" w:fill="auto"/>
          </w:tcPr>
          <w:p w14:paraId="7F294503"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6D497800" w14:textId="77777777" w:rsidR="00FD0545" w:rsidRPr="00C376DE" w:rsidRDefault="00FD0545" w:rsidP="00026782">
            <w:pPr>
              <w:jc w:val="center"/>
              <w:rPr>
                <w:rFonts w:eastAsia="Calibri"/>
                <w:sz w:val="22"/>
                <w:szCs w:val="22"/>
              </w:rPr>
            </w:pPr>
            <w:r w:rsidRPr="00C376DE">
              <w:rPr>
                <w:rFonts w:eastAsia="Calibri"/>
                <w:sz w:val="22"/>
                <w:szCs w:val="22"/>
              </w:rPr>
              <w:t>1,07</w:t>
            </w:r>
          </w:p>
        </w:tc>
        <w:tc>
          <w:tcPr>
            <w:tcW w:w="853" w:type="dxa"/>
            <w:shd w:val="clear" w:color="auto" w:fill="auto"/>
          </w:tcPr>
          <w:p w14:paraId="368D9834" w14:textId="77777777" w:rsidR="00FD0545" w:rsidRPr="00C376DE" w:rsidRDefault="00FD0545" w:rsidP="00026782">
            <w:pPr>
              <w:jc w:val="center"/>
              <w:rPr>
                <w:rFonts w:eastAsia="Calibri"/>
                <w:sz w:val="22"/>
                <w:szCs w:val="22"/>
              </w:rPr>
            </w:pPr>
            <w:r w:rsidRPr="00C376DE">
              <w:rPr>
                <w:rFonts w:eastAsia="Calibri"/>
                <w:sz w:val="22"/>
                <w:szCs w:val="22"/>
              </w:rPr>
              <w:t>1,12</w:t>
            </w:r>
          </w:p>
        </w:tc>
        <w:tc>
          <w:tcPr>
            <w:tcW w:w="853" w:type="dxa"/>
            <w:shd w:val="clear" w:color="auto" w:fill="auto"/>
          </w:tcPr>
          <w:p w14:paraId="7114D4A2" w14:textId="77777777" w:rsidR="00FD0545" w:rsidRPr="00C376DE" w:rsidRDefault="00FD0545" w:rsidP="00026782">
            <w:pPr>
              <w:jc w:val="center"/>
              <w:rPr>
                <w:rFonts w:eastAsia="Calibri"/>
                <w:sz w:val="22"/>
                <w:szCs w:val="22"/>
              </w:rPr>
            </w:pPr>
            <w:r w:rsidRPr="00C376DE">
              <w:rPr>
                <w:rFonts w:eastAsia="Calibri"/>
                <w:sz w:val="22"/>
                <w:szCs w:val="22"/>
              </w:rPr>
              <w:t>1,16</w:t>
            </w:r>
          </w:p>
        </w:tc>
      </w:tr>
      <w:tr w:rsidR="00FD0545" w:rsidRPr="00C376DE" w14:paraId="02BD99BB" w14:textId="77777777" w:rsidTr="00026782">
        <w:tc>
          <w:tcPr>
            <w:tcW w:w="708" w:type="dxa"/>
            <w:vMerge/>
            <w:shd w:val="clear" w:color="auto" w:fill="D9D9D9"/>
          </w:tcPr>
          <w:p w14:paraId="56FC3EA8" w14:textId="77777777" w:rsidR="00FD0545" w:rsidRPr="00C376DE" w:rsidRDefault="00FD0545" w:rsidP="00026782">
            <w:pPr>
              <w:rPr>
                <w:rFonts w:eastAsia="Calibri"/>
                <w:b/>
                <w:bCs/>
                <w:sz w:val="22"/>
                <w:szCs w:val="22"/>
              </w:rPr>
            </w:pPr>
          </w:p>
        </w:tc>
        <w:tc>
          <w:tcPr>
            <w:tcW w:w="1110" w:type="dxa"/>
            <w:shd w:val="clear" w:color="auto" w:fill="D9D9D9"/>
          </w:tcPr>
          <w:p w14:paraId="25FC8D19" w14:textId="77777777" w:rsidR="00FD0545" w:rsidRPr="00C376DE" w:rsidRDefault="00FD0545" w:rsidP="00026782">
            <w:pPr>
              <w:rPr>
                <w:rFonts w:eastAsia="Calibri"/>
                <w:b/>
                <w:bCs/>
                <w:sz w:val="22"/>
                <w:szCs w:val="22"/>
              </w:rPr>
            </w:pPr>
            <w:r w:rsidRPr="00C376DE">
              <w:rPr>
                <w:rFonts w:eastAsia="Calibri"/>
                <w:b/>
                <w:bCs/>
                <w:sz w:val="22"/>
                <w:szCs w:val="22"/>
              </w:rPr>
              <w:t>90-100%</w:t>
            </w:r>
          </w:p>
        </w:tc>
        <w:tc>
          <w:tcPr>
            <w:tcW w:w="852" w:type="dxa"/>
            <w:shd w:val="clear" w:color="auto" w:fill="auto"/>
          </w:tcPr>
          <w:p w14:paraId="64BDB84B" w14:textId="77777777" w:rsidR="00FD0545" w:rsidRPr="00C376DE" w:rsidRDefault="00FD0545" w:rsidP="00026782">
            <w:pPr>
              <w:jc w:val="center"/>
              <w:rPr>
                <w:rFonts w:eastAsia="Calibri"/>
                <w:sz w:val="22"/>
                <w:szCs w:val="22"/>
              </w:rPr>
            </w:pPr>
            <w:r w:rsidRPr="00C376DE">
              <w:rPr>
                <w:rFonts w:eastAsia="Calibri"/>
                <w:sz w:val="22"/>
                <w:szCs w:val="22"/>
              </w:rPr>
              <w:t>0,90</w:t>
            </w:r>
          </w:p>
        </w:tc>
        <w:tc>
          <w:tcPr>
            <w:tcW w:w="852" w:type="dxa"/>
            <w:shd w:val="clear" w:color="auto" w:fill="auto"/>
          </w:tcPr>
          <w:p w14:paraId="5D5408A2" w14:textId="77777777" w:rsidR="00FD0545" w:rsidRPr="00C376DE" w:rsidRDefault="00FD0545" w:rsidP="00026782">
            <w:pPr>
              <w:jc w:val="center"/>
              <w:rPr>
                <w:rFonts w:eastAsia="Calibri"/>
                <w:sz w:val="22"/>
                <w:szCs w:val="22"/>
              </w:rPr>
            </w:pPr>
            <w:r w:rsidRPr="00C376DE">
              <w:rPr>
                <w:rFonts w:eastAsia="Calibri"/>
                <w:sz w:val="22"/>
                <w:szCs w:val="22"/>
              </w:rPr>
              <w:t>0,92</w:t>
            </w:r>
          </w:p>
        </w:tc>
        <w:tc>
          <w:tcPr>
            <w:tcW w:w="852" w:type="dxa"/>
            <w:shd w:val="clear" w:color="auto" w:fill="auto"/>
          </w:tcPr>
          <w:p w14:paraId="7BDC2490" w14:textId="77777777" w:rsidR="00FD0545" w:rsidRPr="00C376DE" w:rsidRDefault="00FD0545" w:rsidP="00026782">
            <w:pPr>
              <w:jc w:val="center"/>
              <w:rPr>
                <w:rFonts w:eastAsia="Calibri"/>
                <w:sz w:val="22"/>
                <w:szCs w:val="22"/>
              </w:rPr>
            </w:pPr>
            <w:r w:rsidRPr="00C376DE">
              <w:rPr>
                <w:rFonts w:eastAsia="Calibri"/>
                <w:sz w:val="22"/>
                <w:szCs w:val="22"/>
              </w:rPr>
              <w:t>0,94</w:t>
            </w:r>
          </w:p>
        </w:tc>
        <w:tc>
          <w:tcPr>
            <w:tcW w:w="853" w:type="dxa"/>
            <w:shd w:val="clear" w:color="auto" w:fill="auto"/>
          </w:tcPr>
          <w:p w14:paraId="47738FDD" w14:textId="77777777" w:rsidR="00FD0545" w:rsidRPr="00C376DE" w:rsidRDefault="00FD0545" w:rsidP="00026782">
            <w:pPr>
              <w:jc w:val="center"/>
              <w:rPr>
                <w:rFonts w:eastAsia="Calibri"/>
                <w:sz w:val="22"/>
                <w:szCs w:val="22"/>
              </w:rPr>
            </w:pPr>
            <w:r w:rsidRPr="00C376DE">
              <w:rPr>
                <w:rFonts w:eastAsia="Calibri"/>
                <w:sz w:val="22"/>
                <w:szCs w:val="22"/>
              </w:rPr>
              <w:t>0,96</w:t>
            </w:r>
          </w:p>
        </w:tc>
        <w:tc>
          <w:tcPr>
            <w:tcW w:w="852" w:type="dxa"/>
            <w:shd w:val="clear" w:color="auto" w:fill="auto"/>
          </w:tcPr>
          <w:p w14:paraId="3762EC53"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852" w:type="dxa"/>
            <w:shd w:val="clear" w:color="auto" w:fill="auto"/>
          </w:tcPr>
          <w:p w14:paraId="6910FA3A" w14:textId="77777777" w:rsidR="00FD0545" w:rsidRPr="00C376DE" w:rsidRDefault="00FD0545" w:rsidP="00026782">
            <w:pPr>
              <w:jc w:val="center"/>
              <w:rPr>
                <w:rFonts w:eastAsia="Calibri"/>
                <w:sz w:val="22"/>
                <w:szCs w:val="22"/>
              </w:rPr>
            </w:pPr>
            <w:r w:rsidRPr="00C376DE">
              <w:rPr>
                <w:rFonts w:eastAsia="Calibri"/>
                <w:sz w:val="22"/>
                <w:szCs w:val="22"/>
              </w:rPr>
              <w:t>1,09</w:t>
            </w:r>
          </w:p>
        </w:tc>
        <w:tc>
          <w:tcPr>
            <w:tcW w:w="853" w:type="dxa"/>
            <w:shd w:val="clear" w:color="auto" w:fill="auto"/>
          </w:tcPr>
          <w:p w14:paraId="4B5C6740" w14:textId="77777777" w:rsidR="00FD0545" w:rsidRPr="00C376DE" w:rsidRDefault="00FD0545" w:rsidP="00026782">
            <w:pPr>
              <w:jc w:val="center"/>
              <w:rPr>
                <w:rFonts w:eastAsia="Calibri"/>
                <w:sz w:val="22"/>
                <w:szCs w:val="22"/>
              </w:rPr>
            </w:pPr>
            <w:r w:rsidRPr="00C376DE">
              <w:rPr>
                <w:rFonts w:eastAsia="Calibri"/>
                <w:sz w:val="22"/>
                <w:szCs w:val="22"/>
              </w:rPr>
              <w:t>1,14</w:t>
            </w:r>
          </w:p>
        </w:tc>
        <w:tc>
          <w:tcPr>
            <w:tcW w:w="853" w:type="dxa"/>
            <w:shd w:val="clear" w:color="auto" w:fill="auto"/>
          </w:tcPr>
          <w:p w14:paraId="32F1D678" w14:textId="77777777" w:rsidR="00FD0545" w:rsidRPr="00C376DE" w:rsidRDefault="00FD0545" w:rsidP="00026782">
            <w:pPr>
              <w:jc w:val="center"/>
              <w:rPr>
                <w:rFonts w:eastAsia="Calibri"/>
                <w:sz w:val="22"/>
                <w:szCs w:val="22"/>
              </w:rPr>
            </w:pPr>
            <w:r w:rsidRPr="00C376DE">
              <w:rPr>
                <w:rFonts w:eastAsia="Calibri"/>
                <w:sz w:val="22"/>
                <w:szCs w:val="22"/>
              </w:rPr>
              <w:t>1,18</w:t>
            </w:r>
          </w:p>
        </w:tc>
      </w:tr>
    </w:tbl>
    <w:p w14:paraId="3EBF5022" w14:textId="77777777" w:rsidR="00FD0545" w:rsidRPr="00E13CE5" w:rsidRDefault="00FD0545" w:rsidP="00FD0545">
      <w:pPr>
        <w:rPr>
          <w:rFonts w:eastAsia="Calibri"/>
          <w:sz w:val="22"/>
          <w:szCs w:val="22"/>
        </w:rPr>
      </w:pPr>
    </w:p>
    <w:p w14:paraId="4C7200D8" w14:textId="77777777" w:rsidR="00FD0545" w:rsidRPr="00E13CE5" w:rsidRDefault="00FD0545" w:rsidP="00FD0545">
      <w:pPr>
        <w:rPr>
          <w:rFonts w:eastAsia="Calibri"/>
          <w:b/>
          <w:bCs/>
          <w:sz w:val="22"/>
          <w:szCs w:val="22"/>
        </w:rPr>
      </w:pPr>
      <w:r w:rsidRPr="00E13CE5">
        <w:rPr>
          <w:rFonts w:eastAsia="Calibri"/>
          <w:b/>
          <w:bCs/>
          <w:sz w:val="22"/>
          <w:szCs w:val="22"/>
        </w:rPr>
        <w:t>OMHV</w:t>
      </w:r>
      <w:r w:rsidRPr="00E13CE5">
        <w:rPr>
          <w:rFonts w:eastAsia="Calibri"/>
          <w:b/>
          <w:bCs/>
          <w:sz w:val="22"/>
          <w:szCs w:val="22"/>
          <w:vertAlign w:val="subscript"/>
        </w:rPr>
        <w:t>I</w:t>
      </w:r>
      <w:r w:rsidRPr="00E13CE5">
        <w:rPr>
          <w:rFonts w:eastAsia="Calibri"/>
          <w:b/>
          <w:bCs/>
          <w:sz w:val="22"/>
          <w:szCs w:val="22"/>
        </w:rPr>
        <w:t xml:space="preserve"> </w:t>
      </w:r>
      <w:proofErr w:type="gramStart"/>
      <w:r w:rsidRPr="00E13CE5">
        <w:rPr>
          <w:rFonts w:eastAsia="Calibri"/>
          <w:b/>
          <w:bCs/>
          <w:sz w:val="22"/>
          <w:szCs w:val="22"/>
        </w:rPr>
        <w:t>korrekció</w:t>
      </w:r>
      <w:proofErr w:type="gramEnd"/>
    </w:p>
    <w:p w14:paraId="4C973CCE" w14:textId="77777777" w:rsidR="00FD0545" w:rsidRPr="00E13CE5" w:rsidRDefault="00FD0545" w:rsidP="00FD0545">
      <w:pPr>
        <w:rPr>
          <w:rFonts w:eastAsia="Calibri"/>
          <w:sz w:val="22"/>
          <w:szCs w:val="22"/>
        </w:rPr>
      </w:pPr>
      <w:r w:rsidRPr="00E13CE5">
        <w:rPr>
          <w:rFonts w:eastAsia="Calibri"/>
          <w:sz w:val="22"/>
          <w:szCs w:val="22"/>
        </w:rPr>
        <w:t xml:space="preserve">Az oktató pontszáma az alábbi képletnek megfelelően kerül </w:t>
      </w:r>
      <w:proofErr w:type="gramStart"/>
      <w:r w:rsidRPr="00E13CE5">
        <w:rPr>
          <w:rFonts w:eastAsia="Calibri"/>
          <w:sz w:val="22"/>
          <w:szCs w:val="22"/>
        </w:rPr>
        <w:t>korrekcióra</w:t>
      </w:r>
      <w:proofErr w:type="gramEnd"/>
      <w:r w:rsidRPr="00E13CE5">
        <w:rPr>
          <w:rFonts w:eastAsia="Calibri"/>
          <w:sz w:val="22"/>
          <w:szCs w:val="22"/>
        </w:rPr>
        <w:t xml:space="preserve"> (csökkentésre vagy növelésre) a kapott érték alappontokhoz történő hozzáadásával:</w:t>
      </w:r>
    </w:p>
    <w:p w14:paraId="6104789C" w14:textId="77777777" w:rsidR="00FD0545" w:rsidRPr="00FD0545" w:rsidRDefault="00C54B98" w:rsidP="00FD0545">
      <w:pPr>
        <w:pBdr>
          <w:top w:val="single" w:sz="4" w:space="1" w:color="auto"/>
          <w:left w:val="single" w:sz="4" w:space="4" w:color="auto"/>
          <w:bottom w:val="single" w:sz="4" w:space="1" w:color="auto"/>
          <w:right w:val="single" w:sz="4" w:space="4" w:color="auto"/>
        </w:pBdr>
        <w:jc w:val="center"/>
        <w:rPr>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OMHV</m:t>
              </m:r>
            </m:e>
            <m:sub>
              <m:r>
                <w:rPr>
                  <w:rFonts w:ascii="Cambria Math" w:eastAsia="Calibri" w:hAnsi="Cambria Math"/>
                  <w:sz w:val="22"/>
                  <w:szCs w:val="22"/>
                </w:rPr>
                <m:t>I</m:t>
              </m:r>
            </m:sub>
          </m:sSub>
          <m:r>
            <w:rPr>
              <w:rFonts w:ascii="Cambria Math" w:eastAsia="Calibri" w:hAnsi="Cambria Math"/>
              <w:sz w:val="22"/>
              <w:szCs w:val="22"/>
            </w:rPr>
            <m:t xml:space="preserve"> TÉR pontszámkorrekció = </m:t>
          </m:r>
          <m:nary>
            <m:naryPr>
              <m:chr m:val="∑"/>
              <m:limLoc m:val="undOvr"/>
              <m:ctrlPr>
                <w:rPr>
                  <w:rFonts w:ascii="Cambria Math" w:eastAsia="Calibri" w:hAnsi="Cambria Math"/>
                  <w:i/>
                  <w:sz w:val="22"/>
                  <w:szCs w:val="22"/>
                </w:rPr>
              </m:ctrlPr>
            </m:naryPr>
            <m:sub>
              <m:r>
                <w:rPr>
                  <w:rFonts w:ascii="Cambria Math" w:eastAsia="Calibri" w:hAnsi="Cambria Math"/>
                  <w:sz w:val="22"/>
                  <w:szCs w:val="22"/>
                </w:rPr>
                <m:t>i=1</m:t>
              </m:r>
            </m:sub>
            <m:sup>
              <m:r>
                <w:rPr>
                  <w:rFonts w:ascii="Cambria Math" w:eastAsia="Calibri" w:hAnsi="Cambria Math"/>
                  <w:sz w:val="22"/>
                  <w:szCs w:val="22"/>
                </w:rPr>
                <m:t>n</m:t>
              </m:r>
            </m:sup>
            <m:e>
              <m:sSub>
                <m:sSubPr>
                  <m:ctrlPr>
                    <w:rPr>
                      <w:rFonts w:ascii="Cambria Math" w:eastAsia="Calibri" w:hAnsi="Cambria Math"/>
                      <w:i/>
                      <w:sz w:val="22"/>
                      <w:szCs w:val="22"/>
                    </w:rPr>
                  </m:ctrlPr>
                </m:sSubPr>
                <m:e>
                  <m:r>
                    <w:rPr>
                      <w:rFonts w:ascii="Cambria Math" w:eastAsia="Calibri" w:hAnsi="Cambria Math"/>
                      <w:sz w:val="22"/>
                      <w:szCs w:val="22"/>
                    </w:rPr>
                    <m:t>Értékelt kurzus kontaktóraszáma</m:t>
                  </m:r>
                </m:e>
                <m:sub>
                  <m:r>
                    <w:rPr>
                      <w:rFonts w:ascii="Cambria Math" w:eastAsia="Calibri" w:hAnsi="Cambria Math"/>
                      <w:sz w:val="22"/>
                      <w:szCs w:val="22"/>
                    </w:rPr>
                    <m:t>i</m:t>
                  </m:r>
                </m:sub>
              </m:sSub>
              <m:r>
                <w:rPr>
                  <w:rFonts w:ascii="Cambria Math" w:eastAsia="Calibri" w:hAnsi="Cambria Math"/>
                  <w:sz w:val="22"/>
                  <w:szCs w:val="22"/>
                </w:rPr>
                <m:t>×4 ×</m:t>
              </m:r>
              <m:sSub>
                <m:sSubPr>
                  <m:ctrlPr>
                    <w:rPr>
                      <w:rFonts w:ascii="Cambria Math" w:eastAsia="Calibri" w:hAnsi="Cambria Math"/>
                      <w:i/>
                      <w:sz w:val="22"/>
                      <w:szCs w:val="22"/>
                    </w:rPr>
                  </m:ctrlPr>
                </m:sSubPr>
                <m:e>
                  <m:r>
                    <w:rPr>
                      <w:rFonts w:ascii="Cambria Math" w:eastAsia="Calibri" w:hAnsi="Cambria Math"/>
                      <w:sz w:val="22"/>
                      <w:szCs w:val="22"/>
                    </w:rPr>
                    <m:t>(OMHV</m:t>
                  </m:r>
                </m:e>
                <m:sub>
                  <m:r>
                    <w:rPr>
                      <w:rFonts w:ascii="Cambria Math" w:eastAsia="Calibri" w:hAnsi="Cambria Math"/>
                      <w:sz w:val="22"/>
                      <w:szCs w:val="22"/>
                    </w:rPr>
                    <m:t>Ii</m:t>
                  </m:r>
                </m:sub>
              </m:sSub>
              <m:r>
                <w:rPr>
                  <w:rFonts w:ascii="Cambria Math" w:eastAsia="Calibri" w:hAnsi="Cambria Math"/>
                  <w:sz w:val="22"/>
                  <w:szCs w:val="22"/>
                </w:rPr>
                <m:t>-1)</m:t>
              </m:r>
            </m:e>
          </m:nary>
        </m:oMath>
      </m:oMathPara>
    </w:p>
    <w:p w14:paraId="0393E758" w14:textId="77777777" w:rsidR="00FD0545" w:rsidRPr="00E13CE5" w:rsidRDefault="00FD0545" w:rsidP="00FD0545">
      <w:pPr>
        <w:rPr>
          <w:b/>
          <w:bCs/>
          <w:sz w:val="22"/>
          <w:szCs w:val="22"/>
        </w:rPr>
      </w:pPr>
    </w:p>
    <w:p w14:paraId="5C1ED94F" w14:textId="77777777" w:rsidR="00FD0545" w:rsidRPr="00E13CE5" w:rsidRDefault="00FD0545" w:rsidP="00FD0545">
      <w:pPr>
        <w:rPr>
          <w:b/>
          <w:bCs/>
          <w:sz w:val="22"/>
          <w:szCs w:val="22"/>
        </w:rPr>
      </w:pPr>
      <w:r w:rsidRPr="00E13CE5">
        <w:rPr>
          <w:b/>
          <w:bCs/>
          <w:sz w:val="22"/>
          <w:szCs w:val="22"/>
        </w:rPr>
        <w:t>OMHV</w:t>
      </w:r>
      <w:r w:rsidRPr="00E13CE5">
        <w:rPr>
          <w:b/>
          <w:bCs/>
          <w:sz w:val="22"/>
          <w:szCs w:val="22"/>
          <w:vertAlign w:val="subscript"/>
        </w:rPr>
        <w:t>II</w:t>
      </w:r>
      <w:r w:rsidRPr="00E13CE5">
        <w:rPr>
          <w:b/>
          <w:bCs/>
          <w:sz w:val="22"/>
          <w:szCs w:val="22"/>
        </w:rPr>
        <w:t xml:space="preserve"> </w:t>
      </w:r>
      <w:proofErr w:type="gramStart"/>
      <w:r w:rsidRPr="00E13CE5">
        <w:rPr>
          <w:b/>
          <w:bCs/>
          <w:sz w:val="22"/>
          <w:szCs w:val="22"/>
        </w:rPr>
        <w:t>korrekció</w:t>
      </w:r>
      <w:proofErr w:type="gramEnd"/>
    </w:p>
    <w:p w14:paraId="26838A56" w14:textId="77777777" w:rsidR="00FD0545" w:rsidRPr="00E13CE5" w:rsidRDefault="00FD0545" w:rsidP="00FD0545">
      <w:pPr>
        <w:rPr>
          <w:rFonts w:eastAsia="Calibri"/>
          <w:sz w:val="22"/>
          <w:szCs w:val="22"/>
        </w:rPr>
      </w:pPr>
      <w:r w:rsidRPr="00E13CE5">
        <w:rPr>
          <w:rFonts w:eastAsia="Calibri"/>
          <w:sz w:val="22"/>
          <w:szCs w:val="22"/>
        </w:rPr>
        <w:t xml:space="preserve">Az oktató pontszáma az alábbi képletnek megfelelően kerül </w:t>
      </w:r>
      <w:proofErr w:type="gramStart"/>
      <w:r w:rsidRPr="00E13CE5">
        <w:rPr>
          <w:rFonts w:eastAsia="Calibri"/>
          <w:sz w:val="22"/>
          <w:szCs w:val="22"/>
        </w:rPr>
        <w:t>korrekcióra</w:t>
      </w:r>
      <w:proofErr w:type="gramEnd"/>
      <w:r w:rsidRPr="00E13CE5">
        <w:rPr>
          <w:rFonts w:eastAsia="Calibri"/>
          <w:sz w:val="22"/>
          <w:szCs w:val="22"/>
        </w:rPr>
        <w:t xml:space="preserve"> (csökkentésre vagy növelésre) a kapott érték alappontokhoz történő hozzáadásával:</w:t>
      </w:r>
    </w:p>
    <w:p w14:paraId="1F5EC888" w14:textId="77777777" w:rsidR="00FD0545" w:rsidRPr="00E13CE5" w:rsidRDefault="00C54B98" w:rsidP="00FD0545">
      <w:pPr>
        <w:pBdr>
          <w:top w:val="single" w:sz="4" w:space="1" w:color="auto"/>
          <w:left w:val="single" w:sz="4" w:space="4" w:color="auto"/>
          <w:bottom w:val="single" w:sz="4" w:space="1" w:color="auto"/>
          <w:right w:val="single" w:sz="4" w:space="4" w:color="auto"/>
        </w:pBdr>
        <w:jc w:val="center"/>
        <w:rPr>
          <w:sz w:val="22"/>
          <w:szCs w:val="22"/>
        </w:rPr>
      </w:pPr>
      <m:oMath>
        <m:sSub>
          <m:sSubPr>
            <m:ctrlPr>
              <w:rPr>
                <w:rFonts w:ascii="Cambria Math" w:eastAsia="Calibri" w:hAnsi="Cambria Math"/>
                <w:i/>
                <w:sz w:val="22"/>
                <w:szCs w:val="22"/>
              </w:rPr>
            </m:ctrlPr>
          </m:sSubPr>
          <m:e>
            <m:r>
              <w:rPr>
                <w:rFonts w:ascii="Cambria Math" w:eastAsia="Calibri" w:hAnsi="Cambria Math"/>
                <w:sz w:val="22"/>
                <w:szCs w:val="22"/>
              </w:rPr>
              <m:t>OMHV</m:t>
            </m:r>
          </m:e>
          <m:sub>
            <m:r>
              <w:rPr>
                <w:rFonts w:ascii="Cambria Math" w:eastAsia="Calibri" w:hAnsi="Cambria Math"/>
                <w:sz w:val="22"/>
                <w:szCs w:val="22"/>
              </w:rPr>
              <m:t>II</m:t>
            </m:r>
          </m:sub>
        </m:sSub>
        <m:r>
          <w:rPr>
            <w:rFonts w:ascii="Cambria Math" w:eastAsia="Calibri" w:hAnsi="Cambria Math"/>
            <w:sz w:val="22"/>
            <w:szCs w:val="22"/>
          </w:rPr>
          <m:t xml:space="preserve"> TÉR pontszámkorrekció = KSZ</m:t>
        </m:r>
        <m:r>
          <w:rPr>
            <w:rFonts w:ascii="Cambria Math" w:hAnsi="Cambria Math"/>
            <w:sz w:val="22"/>
            <w:szCs w:val="22"/>
          </w:rPr>
          <m:t xml:space="preserve"> ×4 ×(</m:t>
        </m:r>
        <m:sSub>
          <m:sSubPr>
            <m:ctrlPr>
              <w:rPr>
                <w:rFonts w:ascii="Cambria Math" w:hAnsi="Cambria Math"/>
                <w:i/>
                <w:sz w:val="22"/>
                <w:szCs w:val="22"/>
              </w:rPr>
            </m:ctrlPr>
          </m:sSubPr>
          <m:e>
            <m:r>
              <w:rPr>
                <w:rFonts w:ascii="Cambria Math" w:hAnsi="Cambria Math"/>
                <w:sz w:val="22"/>
                <w:szCs w:val="22"/>
              </w:rPr>
              <m:t>OMHV</m:t>
            </m:r>
          </m:e>
          <m:sub>
            <m:r>
              <w:rPr>
                <w:rFonts w:ascii="Cambria Math" w:hAnsi="Cambria Math"/>
                <w:sz w:val="22"/>
                <w:szCs w:val="22"/>
              </w:rPr>
              <m:t>II</m:t>
            </m:r>
          </m:sub>
        </m:sSub>
        <m:r>
          <w:rPr>
            <w:rFonts w:ascii="Cambria Math" w:hAnsi="Cambria Math"/>
            <w:sz w:val="22"/>
            <w:szCs w:val="22"/>
          </w:rPr>
          <m:t>-1)</m:t>
        </m:r>
      </m:oMath>
      <w:r w:rsidR="00FD0545" w:rsidRPr="00E13CE5">
        <w:rPr>
          <w:sz w:val="22"/>
          <w:szCs w:val="22"/>
        </w:rPr>
        <w:t xml:space="preserve"> </w:t>
      </w:r>
    </w:p>
    <w:p w14:paraId="123FC13B" w14:textId="77777777" w:rsidR="00FD0545" w:rsidRDefault="00FD0545" w:rsidP="00FD0545">
      <w:pPr>
        <w:rPr>
          <w:rFonts w:eastAsia="Calibri"/>
          <w:sz w:val="22"/>
          <w:szCs w:val="22"/>
        </w:rPr>
      </w:pPr>
      <w:r w:rsidRPr="00E13CE5">
        <w:rPr>
          <w:rFonts w:eastAsia="Calibri"/>
          <w:sz w:val="22"/>
          <w:szCs w:val="22"/>
        </w:rPr>
        <w:t>Ahol KSZ az oktató kontaktóraszáma.</w:t>
      </w:r>
    </w:p>
    <w:p w14:paraId="32E4B446" w14:textId="77777777" w:rsidR="00FD0545" w:rsidRPr="00CD78CA" w:rsidRDefault="00FD0545" w:rsidP="00FD0545">
      <w:pPr>
        <w:ind w:left="1416"/>
        <w:rPr>
          <w:rFonts w:eastAsia="Calibri"/>
          <w:b/>
          <w:sz w:val="22"/>
        </w:rPr>
      </w:pPr>
      <w:r>
        <w:rPr>
          <w:rFonts w:eastAsia="Calibri"/>
          <w:b/>
          <w:sz w:val="22"/>
        </w:rPr>
        <w:br w:type="page"/>
      </w:r>
    </w:p>
    <w:p w14:paraId="0AE4B1FB" w14:textId="77777777" w:rsidR="00FD0545" w:rsidRPr="00CD78CA" w:rsidRDefault="00FD0545" w:rsidP="00FD0545">
      <w:pPr>
        <w:ind w:left="1416"/>
        <w:rPr>
          <w:b/>
          <w:sz w:val="22"/>
        </w:rPr>
      </w:pPr>
      <w:r w:rsidRPr="00CD78CA">
        <w:rPr>
          <w:b/>
          <w:sz w:val="22"/>
        </w:rPr>
        <w:lastRenderedPageBreak/>
        <w:t>2. Munkaköri (MKSZ) és vezetői (VSZ) szorzó</w:t>
      </w:r>
    </w:p>
    <w:p w14:paraId="028CA7C7" w14:textId="77777777" w:rsidR="00FD0545" w:rsidRPr="00CD78CA" w:rsidRDefault="00FD0545" w:rsidP="00FD0545">
      <w:pPr>
        <w:ind w:left="1416"/>
        <w:rPr>
          <w:b/>
          <w:sz w:val="22"/>
        </w:rPr>
      </w:pPr>
    </w:p>
    <w:p w14:paraId="690D3C9B" w14:textId="77777777" w:rsidR="00FD0545" w:rsidRPr="00E13CE5" w:rsidRDefault="00FD0545" w:rsidP="00FD0545">
      <w:pPr>
        <w:jc w:val="both"/>
        <w:rPr>
          <w:rFonts w:eastAsia="Calibri"/>
          <w:sz w:val="22"/>
          <w:szCs w:val="22"/>
        </w:rPr>
      </w:pPr>
      <w:r w:rsidRPr="00E13CE5">
        <w:rPr>
          <w:rFonts w:eastAsia="Calibri"/>
          <w:sz w:val="22"/>
          <w:szCs w:val="22"/>
        </w:rPr>
        <w:t>Az OMHV-</w:t>
      </w:r>
      <w:proofErr w:type="spellStart"/>
      <w:r w:rsidRPr="00E13CE5">
        <w:rPr>
          <w:rFonts w:eastAsia="Calibri"/>
          <w:sz w:val="22"/>
          <w:szCs w:val="22"/>
        </w:rPr>
        <w:t>vel</w:t>
      </w:r>
      <w:proofErr w:type="spellEnd"/>
      <w:r w:rsidRPr="00E13CE5">
        <w:rPr>
          <w:rFonts w:eastAsia="Calibri"/>
          <w:sz w:val="22"/>
          <w:szCs w:val="22"/>
        </w:rPr>
        <w:t xml:space="preserve"> </w:t>
      </w:r>
      <w:proofErr w:type="gramStart"/>
      <w:r w:rsidRPr="00E13CE5">
        <w:rPr>
          <w:rFonts w:eastAsia="Calibri"/>
          <w:sz w:val="22"/>
          <w:szCs w:val="22"/>
        </w:rPr>
        <w:t>korrigált</w:t>
      </w:r>
      <w:proofErr w:type="gramEnd"/>
      <w:r w:rsidRPr="00E13CE5">
        <w:rPr>
          <w:rFonts w:eastAsia="Calibri"/>
          <w:sz w:val="22"/>
          <w:szCs w:val="22"/>
        </w:rPr>
        <w:t xml:space="preserve"> kontaktóra pontszámot a munkakör és vezetői beosztás szerint, a következők alapján korrigálni szükséges:</w:t>
      </w:r>
    </w:p>
    <w:p w14:paraId="3BDAF2CF" w14:textId="77777777" w:rsidR="00FD0545" w:rsidRPr="00E13CE5" w:rsidRDefault="00FD0545" w:rsidP="00FD0545">
      <w:pPr>
        <w:jc w:val="both"/>
        <w:rPr>
          <w:rFonts w:eastAsia="Calibri"/>
          <w:b/>
          <w:bCs/>
          <w:sz w:val="22"/>
          <w:szCs w:val="22"/>
        </w:rPr>
      </w:pPr>
      <w:r w:rsidRPr="00E13CE5">
        <w:rPr>
          <w:rFonts w:eastAsia="Calibri"/>
          <w:b/>
          <w:bCs/>
          <w:sz w:val="22"/>
          <w:szCs w:val="22"/>
        </w:rPr>
        <w:t>Munkaköri szorzó (MKSZ):</w:t>
      </w:r>
    </w:p>
    <w:tbl>
      <w:tblPr>
        <w:tblW w:w="538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055"/>
        <w:gridCol w:w="1332"/>
      </w:tblGrid>
      <w:tr w:rsidR="00FD0545" w:rsidRPr="00C376DE" w14:paraId="7B8E4B43" w14:textId="77777777" w:rsidTr="00026782">
        <w:trPr>
          <w:trHeight w:val="305"/>
          <w:jc w:val="center"/>
        </w:trPr>
        <w:tc>
          <w:tcPr>
            <w:tcW w:w="4055" w:type="dxa"/>
            <w:tcBorders>
              <w:top w:val="single" w:sz="4" w:space="0" w:color="FFFFFF"/>
              <w:left w:val="single" w:sz="4" w:space="0" w:color="FFFFFF"/>
              <w:right w:val="nil"/>
            </w:tcBorders>
            <w:shd w:val="clear" w:color="auto" w:fill="EDEDED"/>
          </w:tcPr>
          <w:p w14:paraId="59A1BA47" w14:textId="77777777" w:rsidR="00FD0545" w:rsidRPr="00C376DE" w:rsidRDefault="00FD0545" w:rsidP="00026782">
            <w:pPr>
              <w:jc w:val="center"/>
              <w:rPr>
                <w:rFonts w:eastAsia="Calibri"/>
                <w:b/>
                <w:bCs/>
                <w:sz w:val="22"/>
                <w:szCs w:val="22"/>
              </w:rPr>
            </w:pPr>
            <w:r w:rsidRPr="00C376DE">
              <w:rPr>
                <w:rFonts w:eastAsia="Calibri"/>
                <w:b/>
                <w:bCs/>
                <w:sz w:val="22"/>
                <w:szCs w:val="22"/>
              </w:rPr>
              <w:t>Munkakör</w:t>
            </w:r>
          </w:p>
        </w:tc>
        <w:tc>
          <w:tcPr>
            <w:tcW w:w="1332" w:type="dxa"/>
            <w:tcBorders>
              <w:top w:val="single" w:sz="4" w:space="0" w:color="FFFFFF"/>
              <w:left w:val="nil"/>
              <w:right w:val="single" w:sz="4" w:space="0" w:color="FFFFFF"/>
            </w:tcBorders>
            <w:shd w:val="clear" w:color="auto" w:fill="EDEDED"/>
            <w:noWrap/>
          </w:tcPr>
          <w:p w14:paraId="2C740FC9" w14:textId="77777777" w:rsidR="00FD0545" w:rsidRPr="00C376DE" w:rsidRDefault="00FD0545" w:rsidP="00026782">
            <w:pPr>
              <w:jc w:val="center"/>
              <w:rPr>
                <w:rFonts w:eastAsia="Calibri"/>
                <w:b/>
                <w:bCs/>
                <w:sz w:val="22"/>
                <w:szCs w:val="22"/>
              </w:rPr>
            </w:pPr>
            <w:r w:rsidRPr="00C376DE">
              <w:rPr>
                <w:rFonts w:eastAsia="Calibri"/>
                <w:b/>
                <w:bCs/>
                <w:sz w:val="22"/>
                <w:szCs w:val="22"/>
              </w:rPr>
              <w:t>TÉR szorzó</w:t>
            </w:r>
          </w:p>
        </w:tc>
      </w:tr>
      <w:tr w:rsidR="00FD0545" w:rsidRPr="00C376DE" w14:paraId="1FE3CE91" w14:textId="77777777" w:rsidTr="00026782">
        <w:trPr>
          <w:trHeight w:val="305"/>
          <w:jc w:val="center"/>
        </w:trPr>
        <w:tc>
          <w:tcPr>
            <w:tcW w:w="4055" w:type="dxa"/>
            <w:shd w:val="clear" w:color="auto" w:fill="EDEDED"/>
            <w:hideMark/>
          </w:tcPr>
          <w:p w14:paraId="1CEA40DA" w14:textId="77777777" w:rsidR="00FD0545" w:rsidRPr="00C376DE" w:rsidRDefault="00FD0545" w:rsidP="00026782">
            <w:pPr>
              <w:rPr>
                <w:rFonts w:eastAsia="Calibri"/>
                <w:sz w:val="22"/>
                <w:szCs w:val="22"/>
              </w:rPr>
            </w:pPr>
            <w:r w:rsidRPr="00C376DE">
              <w:rPr>
                <w:rFonts w:eastAsia="Calibri"/>
                <w:sz w:val="22"/>
                <w:szCs w:val="22"/>
              </w:rPr>
              <w:t>egyetemi tanár</w:t>
            </w:r>
          </w:p>
        </w:tc>
        <w:tc>
          <w:tcPr>
            <w:tcW w:w="1332" w:type="dxa"/>
            <w:shd w:val="clear" w:color="auto" w:fill="EDEDED"/>
            <w:noWrap/>
            <w:hideMark/>
          </w:tcPr>
          <w:p w14:paraId="61C6BA3E" w14:textId="77777777" w:rsidR="00FD0545" w:rsidRPr="00C376DE" w:rsidRDefault="00FD0545" w:rsidP="00026782">
            <w:pPr>
              <w:jc w:val="center"/>
              <w:rPr>
                <w:rFonts w:eastAsia="Calibri"/>
                <w:sz w:val="22"/>
                <w:szCs w:val="22"/>
              </w:rPr>
            </w:pPr>
            <w:r w:rsidRPr="00C376DE">
              <w:rPr>
                <w:rFonts w:eastAsia="Calibri"/>
                <w:sz w:val="22"/>
                <w:szCs w:val="22"/>
              </w:rPr>
              <w:t>1</w:t>
            </w:r>
          </w:p>
        </w:tc>
      </w:tr>
      <w:tr w:rsidR="00FD0545" w:rsidRPr="00C376DE" w14:paraId="3008A4EA" w14:textId="77777777" w:rsidTr="00026782">
        <w:trPr>
          <w:trHeight w:val="280"/>
          <w:jc w:val="center"/>
        </w:trPr>
        <w:tc>
          <w:tcPr>
            <w:tcW w:w="4055" w:type="dxa"/>
            <w:shd w:val="clear" w:color="auto" w:fill="EDEDED"/>
            <w:hideMark/>
          </w:tcPr>
          <w:p w14:paraId="017855B0" w14:textId="77777777" w:rsidR="00FD0545" w:rsidRPr="00C376DE" w:rsidRDefault="00FD0545" w:rsidP="00026782">
            <w:pPr>
              <w:rPr>
                <w:rFonts w:eastAsia="Calibri"/>
                <w:sz w:val="22"/>
                <w:szCs w:val="22"/>
              </w:rPr>
            </w:pPr>
            <w:r w:rsidRPr="00C376DE">
              <w:rPr>
                <w:rFonts w:eastAsia="Calibri"/>
                <w:sz w:val="22"/>
                <w:szCs w:val="22"/>
              </w:rPr>
              <w:t>egyetemi docens (habilitált főiskolai tanár)</w:t>
            </w:r>
          </w:p>
        </w:tc>
        <w:tc>
          <w:tcPr>
            <w:tcW w:w="1332" w:type="dxa"/>
            <w:shd w:val="clear" w:color="auto" w:fill="EDEDED"/>
            <w:noWrap/>
            <w:hideMark/>
          </w:tcPr>
          <w:p w14:paraId="007BFF95" w14:textId="77777777" w:rsidR="00FD0545" w:rsidRPr="00C376DE" w:rsidRDefault="00FD0545" w:rsidP="00026782">
            <w:pPr>
              <w:jc w:val="center"/>
              <w:rPr>
                <w:rFonts w:eastAsia="Calibri"/>
                <w:sz w:val="22"/>
                <w:szCs w:val="22"/>
              </w:rPr>
            </w:pPr>
            <w:r w:rsidRPr="00C376DE">
              <w:rPr>
                <w:rFonts w:eastAsia="Calibri"/>
                <w:sz w:val="22"/>
                <w:szCs w:val="22"/>
              </w:rPr>
              <w:t>0,8</w:t>
            </w:r>
          </w:p>
        </w:tc>
      </w:tr>
      <w:tr w:rsidR="00FD0545" w:rsidRPr="00C376DE" w14:paraId="0E80DF1A" w14:textId="77777777" w:rsidTr="00026782">
        <w:trPr>
          <w:trHeight w:val="280"/>
          <w:jc w:val="center"/>
        </w:trPr>
        <w:tc>
          <w:tcPr>
            <w:tcW w:w="4055" w:type="dxa"/>
            <w:shd w:val="clear" w:color="auto" w:fill="EDEDED"/>
          </w:tcPr>
          <w:p w14:paraId="56AB634F" w14:textId="77777777" w:rsidR="00FD0545" w:rsidRPr="00C376DE" w:rsidRDefault="00FD0545" w:rsidP="00026782">
            <w:pPr>
              <w:rPr>
                <w:rFonts w:eastAsia="Calibri"/>
                <w:sz w:val="22"/>
                <w:szCs w:val="22"/>
              </w:rPr>
            </w:pPr>
            <w:r w:rsidRPr="00C376DE">
              <w:rPr>
                <w:rFonts w:eastAsia="Calibri"/>
                <w:sz w:val="22"/>
                <w:szCs w:val="22"/>
              </w:rPr>
              <w:t>főiskolai tanár (habilitáció nélkül)</w:t>
            </w:r>
          </w:p>
        </w:tc>
        <w:tc>
          <w:tcPr>
            <w:tcW w:w="1332" w:type="dxa"/>
            <w:shd w:val="clear" w:color="auto" w:fill="EDEDED"/>
            <w:noWrap/>
          </w:tcPr>
          <w:p w14:paraId="080DA508" w14:textId="77777777" w:rsidR="00FD0545" w:rsidRPr="00C376DE" w:rsidRDefault="00FD0545" w:rsidP="00026782">
            <w:pPr>
              <w:jc w:val="center"/>
              <w:rPr>
                <w:rFonts w:eastAsia="Calibri"/>
                <w:sz w:val="22"/>
                <w:szCs w:val="22"/>
              </w:rPr>
            </w:pPr>
            <w:r w:rsidRPr="00C376DE">
              <w:rPr>
                <w:rFonts w:eastAsia="Calibri"/>
                <w:sz w:val="22"/>
                <w:szCs w:val="22"/>
              </w:rPr>
              <w:t>0,7</w:t>
            </w:r>
          </w:p>
        </w:tc>
      </w:tr>
      <w:tr w:rsidR="00FD0545" w:rsidRPr="00C376DE" w14:paraId="38704567" w14:textId="77777777" w:rsidTr="00026782">
        <w:trPr>
          <w:trHeight w:val="257"/>
          <w:jc w:val="center"/>
        </w:trPr>
        <w:tc>
          <w:tcPr>
            <w:tcW w:w="4055" w:type="dxa"/>
            <w:shd w:val="clear" w:color="auto" w:fill="EDEDED"/>
            <w:hideMark/>
          </w:tcPr>
          <w:p w14:paraId="00FBAEF5" w14:textId="77777777" w:rsidR="00FD0545" w:rsidRPr="00C376DE" w:rsidRDefault="00FD0545" w:rsidP="00026782">
            <w:pPr>
              <w:rPr>
                <w:rFonts w:eastAsia="Calibri"/>
                <w:color w:val="000000"/>
                <w:sz w:val="22"/>
                <w:szCs w:val="22"/>
              </w:rPr>
            </w:pPr>
            <w:r w:rsidRPr="00C376DE">
              <w:rPr>
                <w:rFonts w:eastAsia="Calibri"/>
                <w:color w:val="000000"/>
                <w:sz w:val="22"/>
                <w:szCs w:val="22"/>
              </w:rPr>
              <w:t>adjunktus</w:t>
            </w:r>
          </w:p>
        </w:tc>
        <w:tc>
          <w:tcPr>
            <w:tcW w:w="1332" w:type="dxa"/>
            <w:shd w:val="clear" w:color="auto" w:fill="EDEDED"/>
            <w:noWrap/>
            <w:hideMark/>
          </w:tcPr>
          <w:p w14:paraId="52739D8F" w14:textId="77777777" w:rsidR="00FD0545" w:rsidRPr="00C376DE" w:rsidRDefault="00FD0545" w:rsidP="00026782">
            <w:pPr>
              <w:jc w:val="center"/>
              <w:rPr>
                <w:rFonts w:eastAsia="Calibri"/>
                <w:sz w:val="22"/>
                <w:szCs w:val="22"/>
              </w:rPr>
            </w:pPr>
            <w:r w:rsidRPr="00C376DE">
              <w:rPr>
                <w:rFonts w:eastAsia="Calibri"/>
                <w:sz w:val="22"/>
                <w:szCs w:val="22"/>
              </w:rPr>
              <w:t>0,6</w:t>
            </w:r>
          </w:p>
        </w:tc>
      </w:tr>
      <w:tr w:rsidR="00FD0545" w:rsidRPr="00C376DE" w14:paraId="30C049FF" w14:textId="77777777" w:rsidTr="00026782">
        <w:trPr>
          <w:trHeight w:val="257"/>
          <w:jc w:val="center"/>
        </w:trPr>
        <w:tc>
          <w:tcPr>
            <w:tcW w:w="4055" w:type="dxa"/>
            <w:shd w:val="clear" w:color="auto" w:fill="EDEDED"/>
          </w:tcPr>
          <w:p w14:paraId="4623462D" w14:textId="77777777" w:rsidR="00FD0545" w:rsidRPr="00C376DE" w:rsidRDefault="00FD0545" w:rsidP="00026782">
            <w:pPr>
              <w:rPr>
                <w:rFonts w:eastAsia="Calibri"/>
                <w:color w:val="000000"/>
                <w:sz w:val="22"/>
                <w:szCs w:val="22"/>
              </w:rPr>
            </w:pPr>
            <w:r w:rsidRPr="00C376DE">
              <w:rPr>
                <w:rFonts w:eastAsia="Calibri"/>
                <w:color w:val="000000"/>
                <w:sz w:val="22"/>
                <w:szCs w:val="22"/>
              </w:rPr>
              <w:t>főiskolai docens</w:t>
            </w:r>
          </w:p>
        </w:tc>
        <w:tc>
          <w:tcPr>
            <w:tcW w:w="1332" w:type="dxa"/>
            <w:shd w:val="clear" w:color="auto" w:fill="EDEDED"/>
            <w:noWrap/>
          </w:tcPr>
          <w:p w14:paraId="52480A4F" w14:textId="77777777" w:rsidR="00FD0545" w:rsidRPr="00C376DE" w:rsidRDefault="00FD0545" w:rsidP="00026782">
            <w:pPr>
              <w:jc w:val="center"/>
              <w:rPr>
                <w:rFonts w:eastAsia="Calibri"/>
                <w:sz w:val="22"/>
                <w:szCs w:val="22"/>
              </w:rPr>
            </w:pPr>
            <w:r w:rsidRPr="00C376DE">
              <w:rPr>
                <w:rFonts w:eastAsia="Calibri"/>
                <w:sz w:val="22"/>
                <w:szCs w:val="22"/>
              </w:rPr>
              <w:t>0,5</w:t>
            </w:r>
          </w:p>
        </w:tc>
      </w:tr>
      <w:tr w:rsidR="00FD0545" w:rsidRPr="00C376DE" w14:paraId="122CF12F" w14:textId="77777777" w:rsidTr="00026782">
        <w:trPr>
          <w:trHeight w:val="267"/>
          <w:jc w:val="center"/>
        </w:trPr>
        <w:tc>
          <w:tcPr>
            <w:tcW w:w="4055" w:type="dxa"/>
            <w:shd w:val="clear" w:color="auto" w:fill="EDEDED"/>
            <w:hideMark/>
          </w:tcPr>
          <w:p w14:paraId="5BE3988C" w14:textId="77777777" w:rsidR="00FD0545" w:rsidRPr="00C376DE" w:rsidRDefault="00FD0545" w:rsidP="00026782">
            <w:pPr>
              <w:rPr>
                <w:rFonts w:eastAsia="Calibri"/>
                <w:color w:val="000000"/>
                <w:sz w:val="22"/>
                <w:szCs w:val="22"/>
              </w:rPr>
            </w:pPr>
            <w:r w:rsidRPr="00C376DE">
              <w:rPr>
                <w:rFonts w:eastAsia="Calibri"/>
                <w:color w:val="000000"/>
                <w:sz w:val="22"/>
                <w:szCs w:val="22"/>
              </w:rPr>
              <w:t>tanársegéd, szakoktató</w:t>
            </w:r>
          </w:p>
        </w:tc>
        <w:tc>
          <w:tcPr>
            <w:tcW w:w="1332" w:type="dxa"/>
            <w:shd w:val="clear" w:color="auto" w:fill="EDEDED"/>
            <w:noWrap/>
            <w:hideMark/>
          </w:tcPr>
          <w:p w14:paraId="456015B1" w14:textId="77777777" w:rsidR="00FD0545" w:rsidRPr="00C376DE" w:rsidRDefault="00FD0545" w:rsidP="00026782">
            <w:pPr>
              <w:jc w:val="center"/>
              <w:rPr>
                <w:rFonts w:eastAsia="Calibri"/>
                <w:sz w:val="22"/>
                <w:szCs w:val="22"/>
              </w:rPr>
            </w:pPr>
            <w:r w:rsidRPr="00C376DE">
              <w:rPr>
                <w:rFonts w:eastAsia="Calibri"/>
                <w:sz w:val="22"/>
                <w:szCs w:val="22"/>
              </w:rPr>
              <w:t>0,4</w:t>
            </w:r>
          </w:p>
        </w:tc>
      </w:tr>
      <w:tr w:rsidR="00FD0545" w:rsidRPr="00C376DE" w14:paraId="3C1FA61D" w14:textId="77777777" w:rsidTr="00026782">
        <w:trPr>
          <w:trHeight w:val="151"/>
          <w:jc w:val="center"/>
        </w:trPr>
        <w:tc>
          <w:tcPr>
            <w:tcW w:w="4055" w:type="dxa"/>
            <w:shd w:val="clear" w:color="auto" w:fill="EDEDED"/>
            <w:hideMark/>
          </w:tcPr>
          <w:p w14:paraId="612D4F4B" w14:textId="77777777" w:rsidR="00FD0545" w:rsidRPr="00C376DE" w:rsidRDefault="00FD0545" w:rsidP="00026782">
            <w:pPr>
              <w:rPr>
                <w:rFonts w:eastAsia="Calibri"/>
                <w:color w:val="000000"/>
                <w:sz w:val="22"/>
                <w:szCs w:val="22"/>
              </w:rPr>
            </w:pPr>
            <w:r w:rsidRPr="00C376DE">
              <w:rPr>
                <w:rFonts w:eastAsia="Calibri"/>
                <w:color w:val="000000"/>
                <w:sz w:val="22"/>
                <w:szCs w:val="22"/>
              </w:rPr>
              <w:t>nyelvtanár</w:t>
            </w:r>
          </w:p>
        </w:tc>
        <w:tc>
          <w:tcPr>
            <w:tcW w:w="1332" w:type="dxa"/>
            <w:shd w:val="clear" w:color="auto" w:fill="EDEDED"/>
            <w:noWrap/>
            <w:hideMark/>
          </w:tcPr>
          <w:p w14:paraId="2247EB6E" w14:textId="77777777" w:rsidR="00FD0545" w:rsidRPr="00C376DE" w:rsidRDefault="00FD0545" w:rsidP="00026782">
            <w:pPr>
              <w:jc w:val="center"/>
              <w:rPr>
                <w:rFonts w:eastAsia="Calibri"/>
                <w:sz w:val="22"/>
                <w:szCs w:val="22"/>
              </w:rPr>
            </w:pPr>
            <w:r w:rsidRPr="00C376DE">
              <w:rPr>
                <w:rFonts w:eastAsia="Calibri"/>
                <w:sz w:val="22"/>
                <w:szCs w:val="22"/>
              </w:rPr>
              <w:t>0,3</w:t>
            </w:r>
          </w:p>
        </w:tc>
      </w:tr>
    </w:tbl>
    <w:p w14:paraId="2534877F" w14:textId="77777777" w:rsidR="00FD0545" w:rsidRPr="00E13CE5" w:rsidRDefault="00FD0545" w:rsidP="00FD0545">
      <w:pPr>
        <w:jc w:val="both"/>
        <w:rPr>
          <w:rFonts w:eastAsia="Calibri"/>
          <w:sz w:val="22"/>
          <w:szCs w:val="22"/>
        </w:rPr>
      </w:pPr>
      <w:r w:rsidRPr="00E13CE5">
        <w:rPr>
          <w:rFonts w:eastAsia="Calibri"/>
          <w:sz w:val="22"/>
          <w:szCs w:val="22"/>
        </w:rPr>
        <w:t>A munkaköri szorzó a kontaktóraszám pontot (KSZ TÉR) módosítja.</w:t>
      </w:r>
    </w:p>
    <w:p w14:paraId="6B3EC842" w14:textId="77777777" w:rsidR="00FD0545" w:rsidRPr="00E13CE5" w:rsidRDefault="00FD0545" w:rsidP="00FD0545">
      <w:pPr>
        <w:jc w:val="both"/>
        <w:rPr>
          <w:rFonts w:eastAsia="Calibri"/>
          <w:b/>
          <w:bCs/>
          <w:sz w:val="22"/>
          <w:szCs w:val="22"/>
        </w:rPr>
      </w:pPr>
      <w:r w:rsidRPr="00E13CE5">
        <w:rPr>
          <w:rFonts w:eastAsia="Calibri"/>
          <w:b/>
          <w:bCs/>
          <w:sz w:val="22"/>
          <w:szCs w:val="22"/>
        </w:rPr>
        <w:t>Vezetői szorzó (VSZ):</w:t>
      </w:r>
    </w:p>
    <w:tbl>
      <w:tblPr>
        <w:tblW w:w="48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391"/>
        <w:gridCol w:w="1424"/>
      </w:tblGrid>
      <w:tr w:rsidR="00FD0545" w:rsidRPr="00C376DE" w14:paraId="5187A920" w14:textId="77777777" w:rsidTr="00026782">
        <w:trPr>
          <w:trHeight w:val="285"/>
          <w:tblHeader/>
          <w:jc w:val="center"/>
        </w:trPr>
        <w:tc>
          <w:tcPr>
            <w:tcW w:w="3391" w:type="dxa"/>
            <w:tcBorders>
              <w:top w:val="single" w:sz="4" w:space="0" w:color="FFFFFF"/>
              <w:left w:val="single" w:sz="4" w:space="0" w:color="FFFFFF"/>
              <w:right w:val="nil"/>
            </w:tcBorders>
            <w:shd w:val="clear" w:color="auto" w:fill="EDEDED"/>
          </w:tcPr>
          <w:p w14:paraId="629583DC" w14:textId="77777777" w:rsidR="00FD0545" w:rsidRPr="00C376DE" w:rsidRDefault="00FD0545" w:rsidP="00026782">
            <w:pPr>
              <w:jc w:val="center"/>
              <w:rPr>
                <w:rFonts w:eastAsia="Calibri"/>
                <w:b/>
                <w:bCs/>
                <w:sz w:val="22"/>
                <w:szCs w:val="22"/>
              </w:rPr>
            </w:pPr>
            <w:r w:rsidRPr="00C376DE">
              <w:rPr>
                <w:rFonts w:eastAsia="Calibri"/>
                <w:b/>
                <w:bCs/>
                <w:sz w:val="22"/>
                <w:szCs w:val="22"/>
              </w:rPr>
              <w:t>Beosztás</w:t>
            </w:r>
          </w:p>
        </w:tc>
        <w:tc>
          <w:tcPr>
            <w:tcW w:w="1424" w:type="dxa"/>
            <w:tcBorders>
              <w:top w:val="single" w:sz="4" w:space="0" w:color="FFFFFF"/>
              <w:left w:val="nil"/>
              <w:right w:val="single" w:sz="4" w:space="0" w:color="FFFFFF"/>
            </w:tcBorders>
            <w:shd w:val="clear" w:color="auto" w:fill="EDEDED"/>
            <w:noWrap/>
          </w:tcPr>
          <w:p w14:paraId="1CF080BE" w14:textId="77777777" w:rsidR="00FD0545" w:rsidRPr="00C376DE" w:rsidRDefault="00FD0545" w:rsidP="00026782">
            <w:pPr>
              <w:jc w:val="center"/>
              <w:rPr>
                <w:rFonts w:eastAsia="Calibri"/>
                <w:b/>
                <w:bCs/>
                <w:sz w:val="22"/>
                <w:szCs w:val="22"/>
              </w:rPr>
            </w:pPr>
            <w:r w:rsidRPr="00C376DE">
              <w:rPr>
                <w:rFonts w:eastAsia="Calibri"/>
                <w:b/>
                <w:bCs/>
                <w:sz w:val="22"/>
                <w:szCs w:val="22"/>
              </w:rPr>
              <w:t>TÉR szorzó</w:t>
            </w:r>
          </w:p>
        </w:tc>
      </w:tr>
      <w:tr w:rsidR="00FD0545" w:rsidRPr="00C376DE" w14:paraId="05AD80FB" w14:textId="77777777" w:rsidTr="00026782">
        <w:trPr>
          <w:trHeight w:val="285"/>
          <w:jc w:val="center"/>
        </w:trPr>
        <w:tc>
          <w:tcPr>
            <w:tcW w:w="3391" w:type="dxa"/>
            <w:shd w:val="clear" w:color="auto" w:fill="EDEDED"/>
            <w:hideMark/>
          </w:tcPr>
          <w:p w14:paraId="5C7021FD" w14:textId="77777777" w:rsidR="00FD0545" w:rsidRPr="00C376DE" w:rsidRDefault="00FD0545" w:rsidP="00026782">
            <w:pPr>
              <w:rPr>
                <w:rFonts w:eastAsia="Calibri"/>
                <w:color w:val="000000"/>
                <w:sz w:val="22"/>
                <w:szCs w:val="22"/>
              </w:rPr>
            </w:pPr>
            <w:r w:rsidRPr="00C376DE">
              <w:rPr>
                <w:rFonts w:eastAsia="Calibri"/>
                <w:color w:val="000000"/>
                <w:sz w:val="22"/>
                <w:szCs w:val="22"/>
              </w:rPr>
              <w:t>stratégiai vezető</w:t>
            </w:r>
          </w:p>
        </w:tc>
        <w:tc>
          <w:tcPr>
            <w:tcW w:w="1424" w:type="dxa"/>
            <w:shd w:val="clear" w:color="auto" w:fill="EDEDED"/>
            <w:noWrap/>
            <w:hideMark/>
          </w:tcPr>
          <w:p w14:paraId="54D4E04B" w14:textId="77777777" w:rsidR="00FD0545" w:rsidRPr="00C376DE" w:rsidRDefault="00FD0545" w:rsidP="00026782">
            <w:pPr>
              <w:jc w:val="center"/>
              <w:rPr>
                <w:rFonts w:eastAsia="Calibri"/>
                <w:sz w:val="22"/>
                <w:szCs w:val="22"/>
              </w:rPr>
            </w:pPr>
            <w:r w:rsidRPr="00C376DE">
              <w:rPr>
                <w:rFonts w:eastAsia="Calibri"/>
                <w:sz w:val="22"/>
                <w:szCs w:val="22"/>
              </w:rPr>
              <w:t>3</w:t>
            </w:r>
          </w:p>
        </w:tc>
      </w:tr>
      <w:tr w:rsidR="00FD0545" w:rsidRPr="00C376DE" w14:paraId="5A1519DE" w14:textId="77777777" w:rsidTr="00026782">
        <w:trPr>
          <w:trHeight w:val="285"/>
          <w:jc w:val="center"/>
        </w:trPr>
        <w:tc>
          <w:tcPr>
            <w:tcW w:w="3391" w:type="dxa"/>
            <w:shd w:val="clear" w:color="auto" w:fill="EDEDED"/>
          </w:tcPr>
          <w:p w14:paraId="6C39C797"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vezető egyetemi </w:t>
            </w:r>
            <w:r w:rsidRPr="00C376DE">
              <w:rPr>
                <w:rFonts w:eastAsia="Calibri"/>
                <w:sz w:val="22"/>
                <w:szCs w:val="22"/>
              </w:rPr>
              <w:t>tanár</w:t>
            </w:r>
          </w:p>
        </w:tc>
        <w:tc>
          <w:tcPr>
            <w:tcW w:w="1424" w:type="dxa"/>
            <w:shd w:val="clear" w:color="auto" w:fill="EDEDED"/>
            <w:noWrap/>
          </w:tcPr>
          <w:p w14:paraId="7FAAE4B6" w14:textId="77777777" w:rsidR="00FD0545" w:rsidRPr="00C376DE" w:rsidRDefault="00FD0545" w:rsidP="00026782">
            <w:pPr>
              <w:jc w:val="center"/>
              <w:rPr>
                <w:rFonts w:eastAsia="Calibri"/>
                <w:sz w:val="22"/>
                <w:szCs w:val="22"/>
              </w:rPr>
            </w:pPr>
            <w:r w:rsidRPr="00C376DE">
              <w:rPr>
                <w:rFonts w:eastAsia="Calibri"/>
                <w:sz w:val="22"/>
                <w:szCs w:val="22"/>
              </w:rPr>
              <w:t>1,75</w:t>
            </w:r>
          </w:p>
        </w:tc>
      </w:tr>
      <w:tr w:rsidR="00FD0545" w:rsidRPr="00C376DE" w14:paraId="793957DF" w14:textId="77777777" w:rsidTr="00026782">
        <w:trPr>
          <w:trHeight w:val="281"/>
          <w:jc w:val="center"/>
        </w:trPr>
        <w:tc>
          <w:tcPr>
            <w:tcW w:w="3391" w:type="dxa"/>
            <w:shd w:val="clear" w:color="auto" w:fill="EDEDED"/>
            <w:hideMark/>
          </w:tcPr>
          <w:p w14:paraId="768E4E4F" w14:textId="77777777" w:rsidR="00FD0545" w:rsidRPr="00C376DE" w:rsidRDefault="00FD0545" w:rsidP="00026782">
            <w:pPr>
              <w:rPr>
                <w:rFonts w:eastAsia="Calibri"/>
                <w:color w:val="000000"/>
                <w:sz w:val="22"/>
                <w:szCs w:val="22"/>
              </w:rPr>
            </w:pPr>
            <w:r w:rsidRPr="00C376DE">
              <w:rPr>
                <w:rFonts w:eastAsia="Calibri"/>
                <w:color w:val="000000"/>
                <w:sz w:val="22"/>
                <w:szCs w:val="22"/>
              </w:rPr>
              <w:t>vezető egyetemi docens</w:t>
            </w:r>
          </w:p>
        </w:tc>
        <w:tc>
          <w:tcPr>
            <w:tcW w:w="1424" w:type="dxa"/>
            <w:shd w:val="clear" w:color="auto" w:fill="EDEDED"/>
            <w:noWrap/>
            <w:hideMark/>
          </w:tcPr>
          <w:p w14:paraId="4C5F25C8" w14:textId="77777777" w:rsidR="00FD0545" w:rsidRPr="00C376DE" w:rsidRDefault="00FD0545" w:rsidP="00026782">
            <w:pPr>
              <w:jc w:val="center"/>
              <w:rPr>
                <w:rFonts w:eastAsia="Calibri"/>
                <w:sz w:val="22"/>
                <w:szCs w:val="22"/>
              </w:rPr>
            </w:pPr>
            <w:r w:rsidRPr="00C376DE">
              <w:rPr>
                <w:rFonts w:eastAsia="Calibri"/>
                <w:sz w:val="22"/>
                <w:szCs w:val="22"/>
              </w:rPr>
              <w:t>1,72</w:t>
            </w:r>
          </w:p>
        </w:tc>
      </w:tr>
      <w:tr w:rsidR="00FD0545" w:rsidRPr="00C376DE" w14:paraId="07CEBBFA" w14:textId="77777777" w:rsidTr="00026782">
        <w:trPr>
          <w:trHeight w:val="281"/>
          <w:jc w:val="center"/>
        </w:trPr>
        <w:tc>
          <w:tcPr>
            <w:tcW w:w="3391" w:type="dxa"/>
            <w:shd w:val="clear" w:color="auto" w:fill="EDEDED"/>
          </w:tcPr>
          <w:p w14:paraId="27ED0DA2" w14:textId="77777777" w:rsidR="00FD0545" w:rsidRPr="00C376DE" w:rsidRDefault="00FD0545" w:rsidP="00026782">
            <w:pPr>
              <w:rPr>
                <w:rFonts w:eastAsia="Calibri"/>
                <w:color w:val="000000"/>
                <w:sz w:val="22"/>
                <w:szCs w:val="22"/>
              </w:rPr>
            </w:pPr>
            <w:r w:rsidRPr="00C376DE">
              <w:rPr>
                <w:rFonts w:eastAsia="Calibri"/>
                <w:color w:val="000000"/>
                <w:sz w:val="22"/>
                <w:szCs w:val="22"/>
              </w:rPr>
              <w:t>vezető főiskolai tanár</w:t>
            </w:r>
          </w:p>
        </w:tc>
        <w:tc>
          <w:tcPr>
            <w:tcW w:w="1424" w:type="dxa"/>
            <w:shd w:val="clear" w:color="auto" w:fill="EDEDED"/>
            <w:noWrap/>
          </w:tcPr>
          <w:p w14:paraId="4C30D100" w14:textId="77777777" w:rsidR="00FD0545" w:rsidRPr="00C376DE" w:rsidRDefault="00FD0545" w:rsidP="00026782">
            <w:pPr>
              <w:jc w:val="center"/>
              <w:rPr>
                <w:rFonts w:eastAsia="Calibri"/>
                <w:sz w:val="22"/>
                <w:szCs w:val="22"/>
              </w:rPr>
            </w:pPr>
            <w:r w:rsidRPr="00C376DE">
              <w:rPr>
                <w:rFonts w:eastAsia="Calibri"/>
                <w:sz w:val="22"/>
                <w:szCs w:val="22"/>
              </w:rPr>
              <w:t>1,72</w:t>
            </w:r>
          </w:p>
        </w:tc>
      </w:tr>
      <w:tr w:rsidR="00FD0545" w:rsidRPr="00C376DE" w14:paraId="218AA867" w14:textId="77777777" w:rsidTr="00026782">
        <w:trPr>
          <w:trHeight w:val="319"/>
          <w:jc w:val="center"/>
        </w:trPr>
        <w:tc>
          <w:tcPr>
            <w:tcW w:w="3391" w:type="dxa"/>
            <w:shd w:val="clear" w:color="auto" w:fill="EDEDED"/>
            <w:hideMark/>
          </w:tcPr>
          <w:p w14:paraId="210E2A88" w14:textId="77777777" w:rsidR="00FD0545" w:rsidRPr="00C376DE" w:rsidRDefault="00FD0545" w:rsidP="00026782">
            <w:pPr>
              <w:rPr>
                <w:rFonts w:eastAsia="Calibri"/>
                <w:color w:val="000000"/>
                <w:sz w:val="22"/>
                <w:szCs w:val="22"/>
              </w:rPr>
            </w:pPr>
            <w:r w:rsidRPr="00C376DE">
              <w:rPr>
                <w:rFonts w:eastAsia="Calibri"/>
                <w:color w:val="000000"/>
                <w:sz w:val="22"/>
                <w:szCs w:val="22"/>
              </w:rPr>
              <w:t>vezető adjunktus</w:t>
            </w:r>
          </w:p>
        </w:tc>
        <w:tc>
          <w:tcPr>
            <w:tcW w:w="1424" w:type="dxa"/>
            <w:shd w:val="clear" w:color="auto" w:fill="EDEDED"/>
            <w:noWrap/>
            <w:hideMark/>
          </w:tcPr>
          <w:p w14:paraId="37826C89" w14:textId="77777777" w:rsidR="00FD0545" w:rsidRPr="00C376DE" w:rsidRDefault="00FD0545" w:rsidP="00026782">
            <w:pPr>
              <w:jc w:val="center"/>
              <w:rPr>
                <w:rFonts w:eastAsia="Calibri"/>
                <w:sz w:val="22"/>
                <w:szCs w:val="22"/>
              </w:rPr>
            </w:pPr>
            <w:r w:rsidRPr="00C376DE">
              <w:rPr>
                <w:rFonts w:eastAsia="Calibri"/>
                <w:sz w:val="22"/>
                <w:szCs w:val="22"/>
              </w:rPr>
              <w:t>1,62</w:t>
            </w:r>
          </w:p>
        </w:tc>
      </w:tr>
      <w:tr w:rsidR="00FD0545" w:rsidRPr="00C376DE" w14:paraId="5B854CD8" w14:textId="77777777" w:rsidTr="00026782">
        <w:trPr>
          <w:trHeight w:val="285"/>
          <w:jc w:val="center"/>
        </w:trPr>
        <w:tc>
          <w:tcPr>
            <w:tcW w:w="3391" w:type="dxa"/>
            <w:shd w:val="clear" w:color="auto" w:fill="EDEDED"/>
          </w:tcPr>
          <w:p w14:paraId="5F6B28B8" w14:textId="77777777" w:rsidR="00FD0545" w:rsidRPr="00C376DE" w:rsidRDefault="00FD0545" w:rsidP="00026782">
            <w:pPr>
              <w:rPr>
                <w:rFonts w:eastAsia="Calibri"/>
                <w:color w:val="000000"/>
                <w:sz w:val="22"/>
                <w:szCs w:val="22"/>
              </w:rPr>
            </w:pPr>
            <w:r w:rsidRPr="00C376DE">
              <w:rPr>
                <w:rFonts w:eastAsia="Calibri"/>
                <w:color w:val="000000"/>
                <w:sz w:val="22"/>
                <w:szCs w:val="22"/>
              </w:rPr>
              <w:t>vezető főiskolai docens</w:t>
            </w:r>
          </w:p>
        </w:tc>
        <w:tc>
          <w:tcPr>
            <w:tcW w:w="1424" w:type="dxa"/>
            <w:shd w:val="clear" w:color="auto" w:fill="EDEDED"/>
            <w:noWrap/>
          </w:tcPr>
          <w:p w14:paraId="2D06089D" w14:textId="77777777" w:rsidR="00FD0545" w:rsidRPr="00C376DE" w:rsidRDefault="00FD0545" w:rsidP="00026782">
            <w:pPr>
              <w:jc w:val="center"/>
              <w:rPr>
                <w:rFonts w:eastAsia="Calibri"/>
                <w:sz w:val="22"/>
                <w:szCs w:val="22"/>
              </w:rPr>
            </w:pPr>
            <w:r w:rsidRPr="00C376DE">
              <w:rPr>
                <w:rFonts w:eastAsia="Calibri"/>
                <w:sz w:val="22"/>
                <w:szCs w:val="22"/>
              </w:rPr>
              <w:t>1,62</w:t>
            </w:r>
          </w:p>
        </w:tc>
      </w:tr>
      <w:tr w:rsidR="00FD0545" w:rsidRPr="00C376DE" w14:paraId="002342BA" w14:textId="77777777" w:rsidTr="00026782">
        <w:trPr>
          <w:trHeight w:val="285"/>
          <w:jc w:val="center"/>
        </w:trPr>
        <w:tc>
          <w:tcPr>
            <w:tcW w:w="3391" w:type="dxa"/>
            <w:shd w:val="clear" w:color="auto" w:fill="EDEDED"/>
            <w:hideMark/>
          </w:tcPr>
          <w:p w14:paraId="23E1E432" w14:textId="77777777" w:rsidR="00FD0545" w:rsidRPr="00C376DE" w:rsidRDefault="00FD0545" w:rsidP="00026782">
            <w:pPr>
              <w:rPr>
                <w:rFonts w:eastAsia="Calibri"/>
                <w:color w:val="000000"/>
                <w:sz w:val="22"/>
                <w:szCs w:val="22"/>
              </w:rPr>
            </w:pPr>
            <w:r w:rsidRPr="00C376DE">
              <w:rPr>
                <w:rFonts w:eastAsia="Calibri"/>
                <w:color w:val="000000"/>
                <w:sz w:val="22"/>
                <w:szCs w:val="22"/>
              </w:rPr>
              <w:t>vezető tanársegéd, szakoktató</w:t>
            </w:r>
          </w:p>
        </w:tc>
        <w:tc>
          <w:tcPr>
            <w:tcW w:w="1424" w:type="dxa"/>
            <w:shd w:val="clear" w:color="auto" w:fill="EDEDED"/>
            <w:noWrap/>
            <w:hideMark/>
          </w:tcPr>
          <w:p w14:paraId="2BFC10F5" w14:textId="77777777" w:rsidR="00FD0545" w:rsidRPr="00C376DE" w:rsidRDefault="00FD0545" w:rsidP="00026782">
            <w:pPr>
              <w:jc w:val="center"/>
              <w:rPr>
                <w:rFonts w:eastAsia="Calibri"/>
                <w:sz w:val="22"/>
                <w:szCs w:val="22"/>
              </w:rPr>
            </w:pPr>
            <w:r w:rsidRPr="00C376DE">
              <w:rPr>
                <w:rFonts w:eastAsia="Calibri"/>
                <w:sz w:val="22"/>
                <w:szCs w:val="22"/>
              </w:rPr>
              <w:t>2</w:t>
            </w:r>
          </w:p>
        </w:tc>
      </w:tr>
    </w:tbl>
    <w:p w14:paraId="63C38421" w14:textId="77777777" w:rsidR="00FD0545" w:rsidRPr="00E13CE5" w:rsidRDefault="00FD0545" w:rsidP="00FD0545">
      <w:pPr>
        <w:rPr>
          <w:rFonts w:eastAsia="Calibri"/>
          <w:sz w:val="22"/>
          <w:szCs w:val="22"/>
        </w:rPr>
      </w:pPr>
    </w:p>
    <w:p w14:paraId="5EB0C66C" w14:textId="77777777" w:rsidR="00FD0545" w:rsidRDefault="00FD0545" w:rsidP="00FD0545">
      <w:pPr>
        <w:jc w:val="both"/>
        <w:rPr>
          <w:rFonts w:eastAsia="Calibri"/>
          <w:sz w:val="22"/>
          <w:szCs w:val="22"/>
        </w:rPr>
      </w:pPr>
      <w:r w:rsidRPr="00E13CE5">
        <w:rPr>
          <w:rFonts w:eastAsia="Calibri"/>
          <w:sz w:val="22"/>
          <w:szCs w:val="22"/>
        </w:rPr>
        <w:t xml:space="preserve">Stratégiai szintű vezető (dékán, dékánhelyettes, dékáni megbízott) esetében a </w:t>
      </w:r>
      <w:proofErr w:type="spellStart"/>
      <w:r w:rsidRPr="00E13CE5">
        <w:rPr>
          <w:rFonts w:eastAsia="Calibri"/>
          <w:sz w:val="22"/>
          <w:szCs w:val="22"/>
        </w:rPr>
        <w:t>startégiai</w:t>
      </w:r>
      <w:proofErr w:type="spellEnd"/>
      <w:r w:rsidRPr="00E13CE5">
        <w:rPr>
          <w:rFonts w:eastAsia="Calibri"/>
          <w:sz w:val="22"/>
          <w:szCs w:val="22"/>
        </w:rPr>
        <w:t xml:space="preserve"> vezető szorzó alkalmazandó munkakörtől függetlenül. A vezetői szorzó a kontaktóraszám pontot (KSZ TÉR) módosítja.</w:t>
      </w:r>
    </w:p>
    <w:p w14:paraId="3EB8FCB2" w14:textId="77777777" w:rsidR="00FD0545" w:rsidRPr="00CD78CA" w:rsidRDefault="00FD0545" w:rsidP="00FD0545">
      <w:pPr>
        <w:ind w:left="708"/>
        <w:rPr>
          <w:rFonts w:eastAsia="Calibri"/>
          <w:b/>
          <w:sz w:val="22"/>
          <w:szCs w:val="22"/>
        </w:rPr>
      </w:pPr>
    </w:p>
    <w:p w14:paraId="59C2FBE0" w14:textId="77777777" w:rsidR="00FD0545" w:rsidRPr="00CD78CA" w:rsidRDefault="00FD0545" w:rsidP="00FD0545">
      <w:pPr>
        <w:ind w:left="708"/>
        <w:rPr>
          <w:b/>
          <w:sz w:val="22"/>
          <w:szCs w:val="22"/>
        </w:rPr>
      </w:pPr>
      <w:r w:rsidRPr="00CD78CA">
        <w:rPr>
          <w:b/>
          <w:sz w:val="22"/>
          <w:szCs w:val="22"/>
        </w:rPr>
        <w:t>C) Az oktatási TÉR pontszám kiszámítása</w:t>
      </w:r>
    </w:p>
    <w:p w14:paraId="28459798" w14:textId="77777777" w:rsidR="00FD0545" w:rsidRPr="00CD78CA" w:rsidRDefault="00FD0545" w:rsidP="00FD0545">
      <w:pPr>
        <w:ind w:left="708"/>
        <w:rPr>
          <w:b/>
          <w:sz w:val="22"/>
          <w:szCs w:val="22"/>
        </w:rPr>
      </w:pPr>
    </w:p>
    <w:p w14:paraId="10D5662F" w14:textId="77777777" w:rsidR="00FD0545" w:rsidRPr="00E13CE5" w:rsidRDefault="00FD0545" w:rsidP="00FD0545">
      <w:pPr>
        <w:rPr>
          <w:rFonts w:eastAsia="Calibri"/>
          <w:sz w:val="22"/>
          <w:szCs w:val="22"/>
        </w:rPr>
      </w:pPr>
      <w:r w:rsidRPr="00E13CE5">
        <w:rPr>
          <w:rFonts w:eastAsia="Calibri"/>
          <w:sz w:val="22"/>
          <w:szCs w:val="22"/>
        </w:rPr>
        <w:t xml:space="preserve">A TÉR I. fejezet </w:t>
      </w:r>
      <w:proofErr w:type="spellStart"/>
      <w:r w:rsidRPr="00E13CE5">
        <w:rPr>
          <w:rFonts w:eastAsia="Calibri"/>
          <w:sz w:val="22"/>
          <w:szCs w:val="22"/>
        </w:rPr>
        <w:t>összpontszáma</w:t>
      </w:r>
      <w:proofErr w:type="spellEnd"/>
      <w:r w:rsidRPr="00E13CE5">
        <w:rPr>
          <w:rFonts w:eastAsia="Calibri"/>
          <w:sz w:val="22"/>
          <w:szCs w:val="22"/>
        </w:rPr>
        <w:t xml:space="preserve"> az alábbi képlet alapján számítható:</w:t>
      </w:r>
    </w:p>
    <w:p w14:paraId="65BDC2E2" w14:textId="77777777" w:rsidR="00FD0545" w:rsidRPr="00E13CE5" w:rsidRDefault="00C54B98" w:rsidP="00FD0545">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rPr>
      </w:pPr>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TÉR</m:t>
            </m:r>
          </m:e>
          <m:sub>
            <m:r>
              <m:rPr>
                <m:sty m:val="bi"/>
              </m:rPr>
              <w:rPr>
                <w:rFonts w:ascii="Cambria Math" w:eastAsia="Calibri" w:hAnsi="Cambria Math"/>
                <w:sz w:val="22"/>
                <w:szCs w:val="22"/>
              </w:rPr>
              <m:t>OKTATÁS</m:t>
            </m:r>
          </m:sub>
        </m:sSub>
        <m:r>
          <m:rPr>
            <m:sty m:val="bi"/>
          </m:rPr>
          <w:rPr>
            <w:rFonts w:ascii="Cambria Math" w:eastAsia="Calibri" w:hAnsi="Cambria Math"/>
            <w:sz w:val="22"/>
            <w:szCs w:val="22"/>
          </w:rPr>
          <m:t xml:space="preserve"> =</m:t>
        </m:r>
        <m:r>
          <m:rPr>
            <m:sty m:val="bi"/>
          </m:rPr>
          <w:rPr>
            <w:rFonts w:ascii="Cambria Math" w:hAnsi="Cambria Math"/>
            <w:sz w:val="22"/>
            <w:szCs w:val="22"/>
          </w:rPr>
          <m:t xml:space="preserve">KSZ TÉR ×MKSZ ×VSZ+IKSZ TÉR+EKSZ TÉR+OH TÉR+SZHK TÉR+ </m:t>
        </m:r>
      </m:oMath>
      <w:r w:rsidR="00FD0545" w:rsidRPr="00E13CE5">
        <w:rPr>
          <w:b/>
          <w:bCs/>
          <w:i/>
          <w:iCs/>
          <w:sz w:val="22"/>
          <w:szCs w:val="22"/>
        </w:rPr>
        <w:t xml:space="preserve">TTL TÉR + TTAL TÉR + </w:t>
      </w:r>
      <w:proofErr w:type="gramStart"/>
      <w:r w:rsidR="00FD0545" w:rsidRPr="00E13CE5">
        <w:rPr>
          <w:b/>
          <w:bCs/>
          <w:i/>
          <w:iCs/>
          <w:sz w:val="22"/>
          <w:szCs w:val="22"/>
        </w:rPr>
        <w:t>EL TÉR</w:t>
      </w:r>
      <w:proofErr w:type="gramEnd"/>
      <w:r w:rsidR="00FD0545" w:rsidRPr="00E13CE5">
        <w:rPr>
          <w:b/>
          <w:bCs/>
          <w:i/>
          <w:iCs/>
          <w:sz w:val="22"/>
          <w:szCs w:val="22"/>
        </w:rPr>
        <w:t xml:space="preserve"> + TAF TÉR + ZH TÉR + VT TÉR + ZV TÉR + OMHV</w:t>
      </w:r>
      <w:r w:rsidR="00FD0545" w:rsidRPr="00E13CE5">
        <w:rPr>
          <w:b/>
          <w:bCs/>
          <w:i/>
          <w:iCs/>
          <w:sz w:val="22"/>
          <w:szCs w:val="22"/>
          <w:vertAlign w:val="subscript"/>
        </w:rPr>
        <w:t>I</w:t>
      </w:r>
      <w:r w:rsidR="00FD0545" w:rsidRPr="00E13CE5">
        <w:rPr>
          <w:b/>
          <w:bCs/>
          <w:i/>
          <w:iCs/>
          <w:sz w:val="22"/>
          <w:szCs w:val="22"/>
        </w:rPr>
        <w:t xml:space="preserve"> TÉR + OMHV</w:t>
      </w:r>
      <w:r w:rsidR="00FD0545" w:rsidRPr="00E13CE5">
        <w:rPr>
          <w:b/>
          <w:bCs/>
          <w:i/>
          <w:iCs/>
          <w:sz w:val="22"/>
          <w:szCs w:val="22"/>
          <w:vertAlign w:val="subscript"/>
        </w:rPr>
        <w:t>II</w:t>
      </w:r>
      <w:r w:rsidR="00FD0545" w:rsidRPr="00E13CE5">
        <w:rPr>
          <w:b/>
          <w:bCs/>
          <w:i/>
          <w:iCs/>
          <w:sz w:val="22"/>
          <w:szCs w:val="22"/>
        </w:rPr>
        <w:t xml:space="preserve"> TÉR</w:t>
      </w:r>
      <w:r w:rsidR="00FD0545" w:rsidRPr="00E13CE5">
        <w:rPr>
          <w:b/>
          <w:bCs/>
          <w:i/>
          <w:iCs/>
          <w:sz w:val="22"/>
          <w:szCs w:val="22"/>
          <w:vertAlign w:val="subscript"/>
        </w:rPr>
        <w:t xml:space="preserve"> </w:t>
      </w:r>
    </w:p>
    <w:p w14:paraId="3BEA3F94" w14:textId="77777777" w:rsidR="00FD0545" w:rsidRPr="00CD78CA" w:rsidRDefault="00FD0545" w:rsidP="00FD0545">
      <w:pPr>
        <w:ind w:left="708"/>
        <w:rPr>
          <w:b/>
          <w:sz w:val="22"/>
        </w:rPr>
      </w:pPr>
    </w:p>
    <w:p w14:paraId="2495E4B0" w14:textId="77777777" w:rsidR="00FD0545" w:rsidRPr="00CD78CA" w:rsidRDefault="00FD0545" w:rsidP="00FD0545">
      <w:pPr>
        <w:ind w:left="708"/>
        <w:rPr>
          <w:b/>
          <w:sz w:val="22"/>
        </w:rPr>
      </w:pPr>
      <w:r w:rsidRPr="00CD78CA">
        <w:rPr>
          <w:b/>
          <w:sz w:val="22"/>
        </w:rPr>
        <w:t>D) Elvárt teljesítmény</w:t>
      </w:r>
    </w:p>
    <w:p w14:paraId="2572F833" w14:textId="77777777" w:rsidR="00FD0545" w:rsidRPr="00CD78CA" w:rsidRDefault="00FD0545" w:rsidP="00FD0545">
      <w:pPr>
        <w:ind w:left="708"/>
        <w:rPr>
          <w:b/>
          <w:sz w:val="22"/>
        </w:rPr>
      </w:pPr>
      <w:r w:rsidRPr="00CD78CA">
        <w:rPr>
          <w:b/>
          <w:sz w:val="22"/>
        </w:rPr>
        <w:t xml:space="preserve"> </w:t>
      </w:r>
    </w:p>
    <w:p w14:paraId="46A88236" w14:textId="77777777" w:rsidR="00FD0545" w:rsidRPr="00E13CE5" w:rsidRDefault="00FD0545" w:rsidP="00FD0545">
      <w:pPr>
        <w:rPr>
          <w:rFonts w:eastAsia="Calibri"/>
          <w:sz w:val="22"/>
          <w:szCs w:val="22"/>
        </w:rPr>
      </w:pPr>
      <w:r w:rsidRPr="00E13CE5">
        <w:rPr>
          <w:rFonts w:eastAsia="Calibri"/>
          <w:sz w:val="22"/>
          <w:szCs w:val="22"/>
        </w:rPr>
        <w:t xml:space="preserve">A </w:t>
      </w:r>
      <w:proofErr w:type="spellStart"/>
      <w:r w:rsidRPr="00E13CE5">
        <w:rPr>
          <w:rFonts w:eastAsia="Calibri"/>
          <w:sz w:val="22"/>
          <w:szCs w:val="22"/>
        </w:rPr>
        <w:t>továbbfoglalkoztatás</w:t>
      </w:r>
      <w:proofErr w:type="spellEnd"/>
      <w:r w:rsidRPr="00E13CE5">
        <w:rPr>
          <w:rFonts w:eastAsia="Calibri"/>
          <w:sz w:val="22"/>
          <w:szCs w:val="22"/>
        </w:rPr>
        <w:t xml:space="preserve"> feltétele, hogy a három utolsó vizsgált TÉR időszakban, évenként a következő minimum pontszámot elérje az oktató:</w:t>
      </w:r>
    </w:p>
    <w:p w14:paraId="4998289C" w14:textId="77777777" w:rsidR="00FD0545" w:rsidRPr="00E13CE5" w:rsidRDefault="00FD0545" w:rsidP="00FD0545">
      <w:pPr>
        <w:jc w:val="center"/>
        <w:rPr>
          <w:rFonts w:eastAsia="Calibri"/>
          <w:b/>
          <w:bCs/>
          <w:i/>
          <w:iCs/>
          <w:sz w:val="22"/>
          <w:szCs w:val="22"/>
        </w:rPr>
      </w:pPr>
      <w:r w:rsidRPr="00E13CE5">
        <w:rPr>
          <w:rFonts w:eastAsia="Calibri"/>
          <w:b/>
          <w:bCs/>
          <w:i/>
          <w:iCs/>
          <w:sz w:val="22"/>
          <w:szCs w:val="22"/>
        </w:rPr>
        <w:t>TÉR</w:t>
      </w:r>
      <w:r w:rsidRPr="00E13CE5">
        <w:rPr>
          <w:rFonts w:eastAsia="Calibri"/>
          <w:b/>
          <w:bCs/>
          <w:i/>
          <w:iCs/>
          <w:sz w:val="22"/>
          <w:szCs w:val="22"/>
          <w:vertAlign w:val="subscript"/>
        </w:rPr>
        <w:t>OKTATÁS</w:t>
      </w:r>
      <w:r w:rsidRPr="00E13CE5">
        <w:rPr>
          <w:rFonts w:eastAsia="Calibri"/>
          <w:b/>
          <w:bCs/>
          <w:i/>
          <w:iCs/>
          <w:sz w:val="22"/>
          <w:szCs w:val="22"/>
        </w:rPr>
        <w:t xml:space="preserve"> ELVÁRT MINIMÁLIS PONTSZÁM = 600 pont</w:t>
      </w:r>
    </w:p>
    <w:p w14:paraId="6D5ABE16" w14:textId="77777777" w:rsidR="00FD0545" w:rsidRDefault="00FD0545" w:rsidP="00FD0545">
      <w:pPr>
        <w:jc w:val="both"/>
        <w:rPr>
          <w:rFonts w:eastAsia="Calibri"/>
          <w:sz w:val="22"/>
          <w:szCs w:val="22"/>
        </w:rPr>
      </w:pPr>
      <w:r w:rsidRPr="00E13CE5">
        <w:rPr>
          <w:rFonts w:eastAsia="Calibri"/>
          <w:sz w:val="22"/>
          <w:szCs w:val="22"/>
        </w:rPr>
        <w:t xml:space="preserve">Amennyiben az adott évben a fenti </w:t>
      </w:r>
      <w:proofErr w:type="gramStart"/>
      <w:r w:rsidRPr="00E13CE5">
        <w:rPr>
          <w:rFonts w:eastAsia="Calibri"/>
          <w:sz w:val="22"/>
          <w:szCs w:val="22"/>
        </w:rPr>
        <w:t>minimális</w:t>
      </w:r>
      <w:proofErr w:type="gramEnd"/>
      <w:r w:rsidRPr="00E13CE5">
        <w:rPr>
          <w:rFonts w:eastAsia="Calibri"/>
          <w:sz w:val="22"/>
          <w:szCs w:val="22"/>
        </w:rPr>
        <w:t xml:space="preserve"> mértéket nem éri el az értékelt, a közalkalmazotti minősítés 3.1 szempontja kizárólag „Nem megfelelő” lehet, így az adott időszakban a </w:t>
      </w:r>
      <w:proofErr w:type="spellStart"/>
      <w:r w:rsidRPr="00E13CE5">
        <w:rPr>
          <w:rFonts w:eastAsia="Calibri"/>
          <w:sz w:val="22"/>
          <w:szCs w:val="22"/>
        </w:rPr>
        <w:t>Fkr</w:t>
      </w:r>
      <w:proofErr w:type="spellEnd"/>
      <w:r w:rsidRPr="00E13CE5">
        <w:rPr>
          <w:rFonts w:eastAsia="Calibri"/>
          <w:sz w:val="22"/>
          <w:szCs w:val="22"/>
        </w:rPr>
        <w:t xml:space="preserve"> 51.§ (8) alapján közalkalmazotti minősítése is „alkalmatlan”.</w:t>
      </w:r>
    </w:p>
    <w:p w14:paraId="4D3B54E4" w14:textId="77777777" w:rsidR="00FD0545" w:rsidRPr="00CD78CA" w:rsidRDefault="00FD0545" w:rsidP="00FD0545">
      <w:pPr>
        <w:rPr>
          <w:b/>
          <w:sz w:val="22"/>
        </w:rPr>
      </w:pPr>
      <w:r>
        <w:br w:type="page"/>
      </w:r>
      <w:r w:rsidRPr="00CD78CA">
        <w:rPr>
          <w:b/>
          <w:sz w:val="22"/>
        </w:rPr>
        <w:lastRenderedPageBreak/>
        <w:t>II. Tudományos tevékenység</w:t>
      </w:r>
    </w:p>
    <w:p w14:paraId="78349541" w14:textId="77777777" w:rsidR="00FD0545" w:rsidRDefault="00FD0545" w:rsidP="00FD0545"/>
    <w:p w14:paraId="144EC412" w14:textId="77777777" w:rsidR="00FD0545" w:rsidRDefault="00FD0545" w:rsidP="00FD0545">
      <w:pPr>
        <w:ind w:left="708"/>
        <w:rPr>
          <w:b/>
          <w:sz w:val="22"/>
        </w:rPr>
      </w:pPr>
      <w:r w:rsidRPr="00CD78CA">
        <w:rPr>
          <w:b/>
          <w:sz w:val="22"/>
        </w:rPr>
        <w:t>A) Pontszámítás</w:t>
      </w:r>
    </w:p>
    <w:p w14:paraId="2CC497EB" w14:textId="77777777" w:rsidR="00FD0545" w:rsidRPr="00CD78CA" w:rsidRDefault="00FD0545" w:rsidP="00FD0545">
      <w:pPr>
        <w:ind w:left="708"/>
        <w:rPr>
          <w:b/>
          <w:sz w:val="22"/>
        </w:rPr>
      </w:pPr>
    </w:p>
    <w:p w14:paraId="0D04E0C0" w14:textId="77777777" w:rsidR="00FD0545" w:rsidRDefault="00FD0545" w:rsidP="00FD0545">
      <w:pPr>
        <w:jc w:val="both"/>
        <w:rPr>
          <w:rFonts w:eastAsia="Calibri"/>
          <w:sz w:val="22"/>
          <w:szCs w:val="22"/>
        </w:rPr>
      </w:pPr>
      <w:r w:rsidRPr="00E13CE5">
        <w:rPr>
          <w:rFonts w:eastAsia="Calibri"/>
          <w:sz w:val="22"/>
          <w:szCs w:val="22"/>
        </w:rPr>
        <w:t xml:space="preserve">Tudományos tevékenység értékelése során kizárólag </w:t>
      </w:r>
      <w:proofErr w:type="gramStart"/>
      <w:r w:rsidRPr="00E13CE5">
        <w:rPr>
          <w:rFonts w:eastAsia="Calibri"/>
          <w:sz w:val="22"/>
          <w:szCs w:val="22"/>
        </w:rPr>
        <w:t>objektív</w:t>
      </w:r>
      <w:proofErr w:type="gramEnd"/>
      <w:r w:rsidRPr="00E13CE5">
        <w:rPr>
          <w:rFonts w:eastAsia="Calibri"/>
          <w:sz w:val="22"/>
          <w:szCs w:val="22"/>
        </w:rPr>
        <w:t>, igazolható teljesítmény kerül elismerésre. Publikációk esetében hiteles forrásként a Magyar Tudományos Művek Tára (MTMT) fogadható el, így a TÉR keretében kizárólag az MTMT adatbázisban szereplő publikációs tevékenység kerül értékelésre.</w:t>
      </w:r>
    </w:p>
    <w:p w14:paraId="0F2ED914" w14:textId="77777777" w:rsidR="00FD0545" w:rsidRPr="00E13CE5" w:rsidRDefault="00FD0545" w:rsidP="00FD0545">
      <w:pPr>
        <w:jc w:val="both"/>
        <w:rPr>
          <w:rFonts w:eastAsia="Calibri"/>
          <w:sz w:val="22"/>
          <w:szCs w:val="22"/>
        </w:rPr>
      </w:pPr>
    </w:p>
    <w:p w14:paraId="134A9801" w14:textId="77777777" w:rsidR="00FD0545" w:rsidRDefault="00FD0545" w:rsidP="00FD0545">
      <w:pPr>
        <w:ind w:left="1416"/>
        <w:rPr>
          <w:b/>
          <w:sz w:val="22"/>
        </w:rPr>
      </w:pPr>
      <w:r>
        <w:rPr>
          <w:b/>
          <w:sz w:val="22"/>
        </w:rPr>
        <w:t xml:space="preserve">1. </w:t>
      </w:r>
      <w:r w:rsidRPr="00CD78CA">
        <w:rPr>
          <w:b/>
          <w:sz w:val="22"/>
        </w:rPr>
        <w:t>Tudományos folyóiratban (TFIR TÉR)</w:t>
      </w:r>
    </w:p>
    <w:p w14:paraId="2FB619A2" w14:textId="77777777" w:rsidR="00FD0545" w:rsidRPr="00CD78CA" w:rsidRDefault="00FD0545" w:rsidP="00FD0545">
      <w:pPr>
        <w:ind w:left="1416"/>
        <w:rPr>
          <w:b/>
          <w:sz w:val="22"/>
        </w:rPr>
      </w:pPr>
    </w:p>
    <w:p w14:paraId="78022953" w14:textId="77777777" w:rsidR="00FD0545" w:rsidRDefault="00FD0545" w:rsidP="00FD0545">
      <w:pPr>
        <w:rPr>
          <w:rFonts w:eastAsia="Calibri"/>
          <w:sz w:val="22"/>
          <w:szCs w:val="22"/>
        </w:rPr>
      </w:pPr>
      <w:r w:rsidRPr="00E13CE5">
        <w:rPr>
          <w:rFonts w:eastAsia="Calibri"/>
          <w:sz w:val="22"/>
          <w:szCs w:val="22"/>
        </w:rPr>
        <w:t>A tudományos folyóiratban megjelent publikációk az alábbiak szerint kerülnek elismerésre:</w:t>
      </w:r>
    </w:p>
    <w:p w14:paraId="05F84E51" w14:textId="77777777" w:rsidR="00FD0545" w:rsidRPr="00E13CE5" w:rsidRDefault="00FD0545" w:rsidP="00FD0545">
      <w:pPr>
        <w:rPr>
          <w:rFonts w:eastAsia="Calibri"/>
          <w:sz w:val="22"/>
          <w:szCs w:val="22"/>
        </w:rPr>
      </w:pPr>
    </w:p>
    <w:tbl>
      <w:tblPr>
        <w:tblW w:w="906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83"/>
        <w:gridCol w:w="1214"/>
        <w:gridCol w:w="1863"/>
        <w:gridCol w:w="1309"/>
        <w:gridCol w:w="1206"/>
        <w:gridCol w:w="1292"/>
      </w:tblGrid>
      <w:tr w:rsidR="00FD0545" w:rsidRPr="00C376DE" w14:paraId="25798441" w14:textId="77777777" w:rsidTr="00026782">
        <w:trPr>
          <w:trHeight w:val="20"/>
          <w:tblHeader/>
          <w:jc w:val="center"/>
        </w:trPr>
        <w:tc>
          <w:tcPr>
            <w:tcW w:w="2182" w:type="dxa"/>
            <w:tcBorders>
              <w:top w:val="single" w:sz="4" w:space="0" w:color="FFFFFF"/>
              <w:left w:val="single" w:sz="4" w:space="0" w:color="FFFFFF"/>
              <w:right w:val="nil"/>
            </w:tcBorders>
            <w:shd w:val="clear" w:color="auto" w:fill="A5A5A5"/>
            <w:vAlign w:val="center"/>
          </w:tcPr>
          <w:p w14:paraId="21E121F7" w14:textId="77777777" w:rsidR="00FD0545" w:rsidRPr="00CD78CA" w:rsidRDefault="00FD0545" w:rsidP="00026782">
            <w:pPr>
              <w:jc w:val="center"/>
              <w:rPr>
                <w:rFonts w:eastAsia="Calibri"/>
                <w:b/>
                <w:bCs/>
                <w:sz w:val="20"/>
                <w:szCs w:val="20"/>
              </w:rPr>
            </w:pPr>
            <w:r w:rsidRPr="00CD78CA">
              <w:rPr>
                <w:rFonts w:eastAsia="Calibri"/>
                <w:b/>
                <w:bCs/>
                <w:sz w:val="20"/>
                <w:szCs w:val="20"/>
              </w:rPr>
              <w:t>Közlemény típusa</w:t>
            </w:r>
          </w:p>
        </w:tc>
        <w:tc>
          <w:tcPr>
            <w:tcW w:w="1214" w:type="dxa"/>
            <w:tcBorders>
              <w:top w:val="single" w:sz="4" w:space="0" w:color="FFFFFF"/>
              <w:left w:val="nil"/>
              <w:right w:val="nil"/>
            </w:tcBorders>
            <w:shd w:val="clear" w:color="auto" w:fill="A5A5A5"/>
            <w:vAlign w:val="center"/>
          </w:tcPr>
          <w:p w14:paraId="54E0BE78" w14:textId="77777777" w:rsidR="00FD0545" w:rsidRPr="00CD78CA" w:rsidRDefault="00FD0545" w:rsidP="00026782">
            <w:pPr>
              <w:jc w:val="center"/>
              <w:rPr>
                <w:rFonts w:eastAsia="Calibri"/>
                <w:b/>
                <w:bCs/>
                <w:sz w:val="20"/>
                <w:szCs w:val="20"/>
              </w:rPr>
            </w:pPr>
            <w:r w:rsidRPr="00CD78CA">
              <w:rPr>
                <w:rFonts w:eastAsia="Calibri"/>
                <w:b/>
                <w:bCs/>
                <w:sz w:val="20"/>
                <w:szCs w:val="20"/>
              </w:rPr>
              <w:t>Közlemény jellemzője</w:t>
            </w:r>
          </w:p>
        </w:tc>
        <w:tc>
          <w:tcPr>
            <w:tcW w:w="1863" w:type="dxa"/>
            <w:tcBorders>
              <w:top w:val="single" w:sz="4" w:space="0" w:color="FFFFFF"/>
              <w:left w:val="nil"/>
              <w:right w:val="nil"/>
            </w:tcBorders>
            <w:shd w:val="clear" w:color="auto" w:fill="A5A5A5"/>
            <w:vAlign w:val="center"/>
          </w:tcPr>
          <w:p w14:paraId="4CF7F535" w14:textId="77777777" w:rsidR="00FD0545" w:rsidRPr="00CD78CA" w:rsidRDefault="00FD0545" w:rsidP="00026782">
            <w:pPr>
              <w:jc w:val="center"/>
              <w:rPr>
                <w:rFonts w:eastAsia="Calibri"/>
                <w:b/>
                <w:bCs/>
                <w:sz w:val="20"/>
                <w:szCs w:val="20"/>
              </w:rPr>
            </w:pPr>
            <w:r w:rsidRPr="00CD78CA">
              <w:rPr>
                <w:rFonts w:eastAsia="Calibri"/>
                <w:b/>
                <w:bCs/>
                <w:sz w:val="20"/>
                <w:szCs w:val="20"/>
              </w:rPr>
              <w:t>Minőségi mutató</w:t>
            </w:r>
          </w:p>
        </w:tc>
        <w:tc>
          <w:tcPr>
            <w:tcW w:w="1309" w:type="dxa"/>
            <w:tcBorders>
              <w:top w:val="single" w:sz="4" w:space="0" w:color="FFFFFF"/>
              <w:left w:val="nil"/>
              <w:right w:val="nil"/>
            </w:tcBorders>
            <w:shd w:val="clear" w:color="auto" w:fill="A5A5A5"/>
            <w:vAlign w:val="center"/>
          </w:tcPr>
          <w:p w14:paraId="5F86D682" w14:textId="77777777" w:rsidR="00FD0545" w:rsidRPr="00CD78CA" w:rsidRDefault="00FD0545" w:rsidP="00026782">
            <w:pPr>
              <w:jc w:val="center"/>
              <w:rPr>
                <w:rFonts w:eastAsia="Calibri"/>
                <w:b/>
                <w:bCs/>
                <w:sz w:val="20"/>
                <w:szCs w:val="20"/>
              </w:rPr>
            </w:pPr>
            <w:r w:rsidRPr="00CD78CA">
              <w:rPr>
                <w:rFonts w:eastAsia="Calibri"/>
                <w:b/>
                <w:bCs/>
                <w:sz w:val="20"/>
                <w:szCs w:val="20"/>
              </w:rPr>
              <w:t>Mérésegység</w:t>
            </w:r>
          </w:p>
        </w:tc>
        <w:tc>
          <w:tcPr>
            <w:tcW w:w="1206" w:type="dxa"/>
            <w:tcBorders>
              <w:top w:val="single" w:sz="4" w:space="0" w:color="FFFFFF"/>
              <w:left w:val="nil"/>
              <w:right w:val="nil"/>
            </w:tcBorders>
            <w:shd w:val="clear" w:color="auto" w:fill="A5A5A5"/>
            <w:vAlign w:val="center"/>
          </w:tcPr>
          <w:p w14:paraId="52E0146A" w14:textId="77777777" w:rsidR="00FD0545" w:rsidRPr="00CD78CA" w:rsidRDefault="00FD0545" w:rsidP="00026782">
            <w:pPr>
              <w:jc w:val="center"/>
              <w:rPr>
                <w:rFonts w:eastAsia="Calibri"/>
                <w:b/>
                <w:bCs/>
                <w:sz w:val="20"/>
                <w:szCs w:val="20"/>
              </w:rPr>
            </w:pPr>
            <w:r w:rsidRPr="00CD78CA">
              <w:rPr>
                <w:rFonts w:eastAsia="Calibri"/>
                <w:b/>
                <w:bCs/>
                <w:sz w:val="20"/>
                <w:szCs w:val="20"/>
              </w:rPr>
              <w:t>Egységpont</w:t>
            </w:r>
          </w:p>
        </w:tc>
        <w:tc>
          <w:tcPr>
            <w:tcW w:w="1293" w:type="dxa"/>
            <w:tcBorders>
              <w:top w:val="single" w:sz="4" w:space="0" w:color="FFFFFF"/>
              <w:left w:val="nil"/>
              <w:right w:val="single" w:sz="4" w:space="0" w:color="FFFFFF"/>
            </w:tcBorders>
            <w:shd w:val="clear" w:color="auto" w:fill="A5A5A5"/>
            <w:vAlign w:val="center"/>
          </w:tcPr>
          <w:p w14:paraId="797C0284" w14:textId="77777777" w:rsidR="00FD0545" w:rsidRPr="00CD78CA" w:rsidRDefault="00FD0545" w:rsidP="00026782">
            <w:pPr>
              <w:jc w:val="center"/>
              <w:rPr>
                <w:rFonts w:eastAsia="Calibri"/>
                <w:b/>
                <w:bCs/>
                <w:sz w:val="20"/>
                <w:szCs w:val="20"/>
              </w:rPr>
            </w:pPr>
            <w:r w:rsidRPr="00CD78CA">
              <w:rPr>
                <w:rFonts w:eastAsia="Calibri"/>
                <w:b/>
                <w:bCs/>
                <w:sz w:val="20"/>
                <w:szCs w:val="20"/>
              </w:rPr>
              <w:t>Maximum pont</w:t>
            </w:r>
          </w:p>
        </w:tc>
      </w:tr>
      <w:tr w:rsidR="00FD0545" w:rsidRPr="00C376DE" w14:paraId="0A7376A8" w14:textId="77777777" w:rsidTr="00026782">
        <w:trPr>
          <w:trHeight w:val="20"/>
          <w:jc w:val="center"/>
        </w:trPr>
        <w:tc>
          <w:tcPr>
            <w:tcW w:w="2182" w:type="dxa"/>
            <w:vMerge w:val="restart"/>
            <w:tcBorders>
              <w:left w:val="single" w:sz="4" w:space="0" w:color="FFFFFF"/>
            </w:tcBorders>
            <w:shd w:val="clear" w:color="auto" w:fill="A5A5A5"/>
            <w:hideMark/>
          </w:tcPr>
          <w:p w14:paraId="41D386A8" w14:textId="77777777" w:rsidR="00FD0545" w:rsidRPr="00CD78CA" w:rsidRDefault="00FD0545" w:rsidP="00026782">
            <w:pPr>
              <w:rPr>
                <w:rFonts w:eastAsia="Calibri"/>
                <w:b/>
                <w:bCs/>
                <w:sz w:val="20"/>
                <w:szCs w:val="20"/>
              </w:rPr>
            </w:pPr>
            <w:r w:rsidRPr="00CD78CA">
              <w:rPr>
                <w:rFonts w:eastAsia="Calibri"/>
                <w:b/>
                <w:bCs/>
                <w:sz w:val="20"/>
                <w:szCs w:val="20"/>
              </w:rPr>
              <w:t>I. Tudományos folyóiratcikk</w:t>
            </w:r>
          </w:p>
        </w:tc>
        <w:tc>
          <w:tcPr>
            <w:tcW w:w="1214" w:type="dxa"/>
            <w:vMerge w:val="restart"/>
            <w:shd w:val="clear" w:color="auto" w:fill="DBDBDB"/>
            <w:hideMark/>
          </w:tcPr>
          <w:p w14:paraId="6AE1BB16" w14:textId="77777777" w:rsidR="00FD0545" w:rsidRPr="00CD78CA" w:rsidRDefault="00FD0545" w:rsidP="00026782">
            <w:pPr>
              <w:rPr>
                <w:rFonts w:eastAsia="Calibri"/>
                <w:sz w:val="20"/>
                <w:szCs w:val="20"/>
              </w:rPr>
            </w:pPr>
            <w:r w:rsidRPr="00CD78CA">
              <w:rPr>
                <w:rFonts w:eastAsia="Calibri"/>
                <w:sz w:val="20"/>
                <w:szCs w:val="20"/>
              </w:rPr>
              <w:t>Idegen nyelven</w:t>
            </w:r>
          </w:p>
        </w:tc>
        <w:tc>
          <w:tcPr>
            <w:tcW w:w="1863" w:type="dxa"/>
            <w:shd w:val="clear" w:color="auto" w:fill="DBDBDB"/>
            <w:vAlign w:val="center"/>
            <w:hideMark/>
          </w:tcPr>
          <w:p w14:paraId="70D335F2" w14:textId="77777777" w:rsidR="00FD0545" w:rsidRPr="00CD78CA" w:rsidRDefault="00FD0545" w:rsidP="00026782">
            <w:pPr>
              <w:rPr>
                <w:rFonts w:eastAsia="Calibri"/>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71C987F6"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5B71DCBB" w14:textId="77777777" w:rsidR="00FD0545" w:rsidRPr="00CD78CA" w:rsidRDefault="00FD0545" w:rsidP="00026782">
            <w:pPr>
              <w:jc w:val="center"/>
              <w:rPr>
                <w:rFonts w:eastAsia="Calibri"/>
                <w:sz w:val="20"/>
                <w:szCs w:val="20"/>
              </w:rPr>
            </w:pPr>
            <w:r w:rsidRPr="00CD78CA">
              <w:rPr>
                <w:rFonts w:eastAsia="Calibri"/>
                <w:sz w:val="20"/>
                <w:szCs w:val="20"/>
              </w:rPr>
              <w:t>40 pont</w:t>
            </w:r>
          </w:p>
        </w:tc>
        <w:tc>
          <w:tcPr>
            <w:tcW w:w="1293" w:type="dxa"/>
            <w:shd w:val="clear" w:color="auto" w:fill="DBDBDB"/>
            <w:vAlign w:val="center"/>
          </w:tcPr>
          <w:p w14:paraId="3A2DCF38" w14:textId="77777777" w:rsidR="00FD0545" w:rsidRPr="00CD78CA" w:rsidRDefault="00FD0545" w:rsidP="00026782">
            <w:pPr>
              <w:jc w:val="center"/>
              <w:rPr>
                <w:rFonts w:eastAsia="Calibri"/>
                <w:sz w:val="20"/>
                <w:szCs w:val="20"/>
              </w:rPr>
            </w:pPr>
          </w:p>
        </w:tc>
      </w:tr>
      <w:tr w:rsidR="00FD0545" w:rsidRPr="00C376DE" w14:paraId="5B4E46A6" w14:textId="77777777" w:rsidTr="00026782">
        <w:trPr>
          <w:trHeight w:val="20"/>
          <w:jc w:val="center"/>
        </w:trPr>
        <w:tc>
          <w:tcPr>
            <w:tcW w:w="2182" w:type="dxa"/>
            <w:vMerge/>
            <w:tcBorders>
              <w:left w:val="single" w:sz="4" w:space="0" w:color="FFFFFF"/>
            </w:tcBorders>
            <w:shd w:val="clear" w:color="auto" w:fill="A5A5A5"/>
            <w:hideMark/>
          </w:tcPr>
          <w:p w14:paraId="0A9BC04F" w14:textId="77777777" w:rsidR="00FD0545" w:rsidRPr="00CD78CA" w:rsidRDefault="00FD0545" w:rsidP="00026782">
            <w:pPr>
              <w:rPr>
                <w:rFonts w:eastAsia="Calibri"/>
                <w:b/>
                <w:bCs/>
                <w:color w:val="FFFFFF"/>
                <w:sz w:val="20"/>
                <w:szCs w:val="20"/>
              </w:rPr>
            </w:pPr>
          </w:p>
        </w:tc>
        <w:tc>
          <w:tcPr>
            <w:tcW w:w="1214" w:type="dxa"/>
            <w:vMerge/>
            <w:shd w:val="clear" w:color="auto" w:fill="EDEDED"/>
            <w:hideMark/>
          </w:tcPr>
          <w:p w14:paraId="142D4FCC" w14:textId="77777777" w:rsidR="00FD0545" w:rsidRPr="00CD78CA" w:rsidRDefault="00FD0545" w:rsidP="00026782">
            <w:pPr>
              <w:rPr>
                <w:rFonts w:eastAsia="Calibri"/>
                <w:sz w:val="20"/>
                <w:szCs w:val="20"/>
              </w:rPr>
            </w:pPr>
          </w:p>
        </w:tc>
        <w:tc>
          <w:tcPr>
            <w:tcW w:w="1863" w:type="dxa"/>
            <w:shd w:val="clear" w:color="auto" w:fill="EDEDED"/>
            <w:vAlign w:val="center"/>
            <w:hideMark/>
          </w:tcPr>
          <w:p w14:paraId="295B0852" w14:textId="77777777" w:rsidR="00FD0545" w:rsidRPr="00CD78CA" w:rsidRDefault="00FD0545" w:rsidP="00026782">
            <w:pPr>
              <w:rPr>
                <w:rFonts w:eastAsia="Calibri"/>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245B0902"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537555B0" w14:textId="77777777" w:rsidR="00FD0545" w:rsidRPr="00CD78CA" w:rsidRDefault="00FD0545" w:rsidP="00026782">
            <w:pPr>
              <w:jc w:val="center"/>
              <w:rPr>
                <w:rFonts w:eastAsia="Calibri"/>
                <w:sz w:val="20"/>
                <w:szCs w:val="20"/>
              </w:rPr>
            </w:pPr>
            <w:r w:rsidRPr="00CD78CA">
              <w:rPr>
                <w:rFonts w:eastAsia="Calibri"/>
                <w:sz w:val="20"/>
                <w:szCs w:val="20"/>
              </w:rPr>
              <w:t>20 pont</w:t>
            </w:r>
          </w:p>
        </w:tc>
        <w:tc>
          <w:tcPr>
            <w:tcW w:w="1293" w:type="dxa"/>
            <w:shd w:val="clear" w:color="auto" w:fill="EDEDED"/>
            <w:vAlign w:val="center"/>
          </w:tcPr>
          <w:p w14:paraId="5765111C" w14:textId="77777777" w:rsidR="00FD0545" w:rsidRPr="00CD78CA" w:rsidRDefault="00FD0545" w:rsidP="00026782">
            <w:pPr>
              <w:jc w:val="center"/>
              <w:rPr>
                <w:rFonts w:eastAsia="Calibri"/>
                <w:sz w:val="20"/>
                <w:szCs w:val="20"/>
              </w:rPr>
            </w:pPr>
          </w:p>
        </w:tc>
      </w:tr>
      <w:tr w:rsidR="00FD0545" w:rsidRPr="00C376DE" w14:paraId="5497B7A8" w14:textId="77777777" w:rsidTr="00026782">
        <w:trPr>
          <w:trHeight w:val="20"/>
          <w:jc w:val="center"/>
        </w:trPr>
        <w:tc>
          <w:tcPr>
            <w:tcW w:w="2182" w:type="dxa"/>
            <w:vMerge/>
            <w:tcBorders>
              <w:left w:val="single" w:sz="4" w:space="0" w:color="FFFFFF"/>
            </w:tcBorders>
            <w:shd w:val="clear" w:color="auto" w:fill="A5A5A5"/>
            <w:hideMark/>
          </w:tcPr>
          <w:p w14:paraId="64F92239" w14:textId="77777777" w:rsidR="00FD0545" w:rsidRPr="00CD78CA" w:rsidRDefault="00FD0545" w:rsidP="00026782">
            <w:pPr>
              <w:rPr>
                <w:rFonts w:eastAsia="Calibri"/>
                <w:b/>
                <w:bCs/>
                <w:color w:val="FFFFFF"/>
                <w:sz w:val="20"/>
                <w:szCs w:val="20"/>
              </w:rPr>
            </w:pPr>
          </w:p>
        </w:tc>
        <w:tc>
          <w:tcPr>
            <w:tcW w:w="1214" w:type="dxa"/>
            <w:vMerge/>
            <w:shd w:val="clear" w:color="auto" w:fill="DBDBDB"/>
            <w:hideMark/>
          </w:tcPr>
          <w:p w14:paraId="44A2CF54" w14:textId="77777777" w:rsidR="00FD0545" w:rsidRPr="00CD78CA" w:rsidRDefault="00FD0545" w:rsidP="00026782">
            <w:pPr>
              <w:rPr>
                <w:rFonts w:eastAsia="Calibri"/>
                <w:sz w:val="20"/>
                <w:szCs w:val="20"/>
              </w:rPr>
            </w:pPr>
          </w:p>
        </w:tc>
        <w:tc>
          <w:tcPr>
            <w:tcW w:w="1863" w:type="dxa"/>
            <w:shd w:val="clear" w:color="auto" w:fill="DBDBDB"/>
            <w:vAlign w:val="center"/>
            <w:hideMark/>
          </w:tcPr>
          <w:p w14:paraId="34F8B590" w14:textId="77777777" w:rsidR="00FD0545" w:rsidRPr="00CD78CA" w:rsidRDefault="00FD0545" w:rsidP="00026782">
            <w:pPr>
              <w:rPr>
                <w:rFonts w:eastAsia="Calibri"/>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445A2C4E"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526281C1" w14:textId="77777777" w:rsidR="00FD0545" w:rsidRPr="00CD78CA" w:rsidRDefault="00FD0545" w:rsidP="00026782">
            <w:pPr>
              <w:jc w:val="center"/>
              <w:rPr>
                <w:rFonts w:eastAsia="Calibri"/>
                <w:sz w:val="20"/>
                <w:szCs w:val="20"/>
              </w:rPr>
            </w:pPr>
            <w:r w:rsidRPr="00CD78CA">
              <w:rPr>
                <w:rFonts w:eastAsia="Calibri"/>
                <w:sz w:val="20"/>
                <w:szCs w:val="20"/>
              </w:rPr>
              <w:t>6 pont</w:t>
            </w:r>
          </w:p>
        </w:tc>
        <w:tc>
          <w:tcPr>
            <w:tcW w:w="1293" w:type="dxa"/>
            <w:shd w:val="clear" w:color="auto" w:fill="DBDBDB"/>
            <w:vAlign w:val="center"/>
          </w:tcPr>
          <w:p w14:paraId="2818A5A7" w14:textId="77777777" w:rsidR="00FD0545" w:rsidRPr="00CD78CA" w:rsidRDefault="00FD0545" w:rsidP="00026782">
            <w:pPr>
              <w:jc w:val="center"/>
              <w:rPr>
                <w:rFonts w:eastAsia="Calibri"/>
                <w:sz w:val="20"/>
                <w:szCs w:val="20"/>
              </w:rPr>
            </w:pPr>
            <w:r w:rsidRPr="00CD78CA">
              <w:rPr>
                <w:rFonts w:eastAsia="Calibri"/>
                <w:sz w:val="20"/>
                <w:szCs w:val="20"/>
              </w:rPr>
              <w:t>(1)</w:t>
            </w:r>
          </w:p>
        </w:tc>
      </w:tr>
      <w:tr w:rsidR="00FD0545" w:rsidRPr="00C376DE" w14:paraId="6B7B2440" w14:textId="77777777" w:rsidTr="00026782">
        <w:trPr>
          <w:trHeight w:val="20"/>
          <w:jc w:val="center"/>
        </w:trPr>
        <w:tc>
          <w:tcPr>
            <w:tcW w:w="2182" w:type="dxa"/>
            <w:vMerge/>
            <w:tcBorders>
              <w:left w:val="single" w:sz="4" w:space="0" w:color="FFFFFF"/>
            </w:tcBorders>
            <w:shd w:val="clear" w:color="auto" w:fill="A5A5A5"/>
            <w:hideMark/>
          </w:tcPr>
          <w:p w14:paraId="5B6D8684" w14:textId="77777777" w:rsidR="00FD0545" w:rsidRPr="00CD78CA" w:rsidRDefault="00FD0545" w:rsidP="00026782">
            <w:pPr>
              <w:rPr>
                <w:rFonts w:eastAsia="Calibri"/>
                <w:b/>
                <w:bCs/>
                <w:color w:val="FFFFFF"/>
                <w:sz w:val="20"/>
                <w:szCs w:val="20"/>
              </w:rPr>
            </w:pPr>
          </w:p>
        </w:tc>
        <w:tc>
          <w:tcPr>
            <w:tcW w:w="1214" w:type="dxa"/>
            <w:vMerge/>
            <w:shd w:val="clear" w:color="auto" w:fill="EDEDED"/>
            <w:hideMark/>
          </w:tcPr>
          <w:p w14:paraId="13CE51AB" w14:textId="77777777" w:rsidR="00FD0545" w:rsidRPr="00CD78CA" w:rsidRDefault="00FD0545" w:rsidP="00026782">
            <w:pPr>
              <w:rPr>
                <w:rFonts w:eastAsia="Calibri"/>
                <w:sz w:val="20"/>
                <w:szCs w:val="20"/>
              </w:rPr>
            </w:pPr>
          </w:p>
        </w:tc>
        <w:tc>
          <w:tcPr>
            <w:tcW w:w="1863" w:type="dxa"/>
            <w:shd w:val="clear" w:color="auto" w:fill="EDEDED"/>
            <w:vAlign w:val="center"/>
            <w:hideMark/>
          </w:tcPr>
          <w:p w14:paraId="6D1FCD2F" w14:textId="77777777" w:rsidR="00FD0545" w:rsidRPr="00CD78CA" w:rsidRDefault="00FD0545" w:rsidP="00026782">
            <w:pPr>
              <w:rPr>
                <w:rFonts w:eastAsia="Calibri"/>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780F6986"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025037CA" w14:textId="77777777" w:rsidR="00FD0545" w:rsidRPr="00CD78CA" w:rsidRDefault="00FD0545" w:rsidP="00026782">
            <w:pPr>
              <w:jc w:val="center"/>
              <w:rPr>
                <w:rFonts w:eastAsia="Calibri"/>
                <w:sz w:val="20"/>
                <w:szCs w:val="20"/>
              </w:rPr>
            </w:pPr>
            <w:r w:rsidRPr="00CD78CA">
              <w:rPr>
                <w:rFonts w:eastAsia="Calibri"/>
                <w:sz w:val="20"/>
                <w:szCs w:val="20"/>
              </w:rPr>
              <w:t>20 pont</w:t>
            </w:r>
          </w:p>
        </w:tc>
        <w:tc>
          <w:tcPr>
            <w:tcW w:w="1293" w:type="dxa"/>
            <w:shd w:val="clear" w:color="auto" w:fill="EDEDED"/>
            <w:vAlign w:val="center"/>
          </w:tcPr>
          <w:p w14:paraId="5A78E878" w14:textId="77777777" w:rsidR="00FD0545" w:rsidRPr="00CD78CA" w:rsidRDefault="00FD0545" w:rsidP="00026782">
            <w:pPr>
              <w:jc w:val="center"/>
              <w:rPr>
                <w:rFonts w:eastAsia="Calibri"/>
                <w:sz w:val="20"/>
                <w:szCs w:val="20"/>
              </w:rPr>
            </w:pPr>
          </w:p>
        </w:tc>
      </w:tr>
      <w:tr w:rsidR="00FD0545" w:rsidRPr="00C376DE" w14:paraId="68475164" w14:textId="77777777" w:rsidTr="00026782">
        <w:trPr>
          <w:trHeight w:val="20"/>
          <w:jc w:val="center"/>
        </w:trPr>
        <w:tc>
          <w:tcPr>
            <w:tcW w:w="2182" w:type="dxa"/>
            <w:vMerge/>
            <w:tcBorders>
              <w:left w:val="single" w:sz="4" w:space="0" w:color="FFFFFF"/>
            </w:tcBorders>
            <w:shd w:val="clear" w:color="auto" w:fill="A5A5A5"/>
          </w:tcPr>
          <w:p w14:paraId="6E2AA83A"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7584B85F" w14:textId="77777777" w:rsidR="00FD0545" w:rsidRPr="00CD78CA" w:rsidRDefault="00FD0545" w:rsidP="00026782">
            <w:pPr>
              <w:rPr>
                <w:rFonts w:eastAsia="Calibri"/>
                <w:sz w:val="20"/>
                <w:szCs w:val="20"/>
              </w:rPr>
            </w:pPr>
          </w:p>
        </w:tc>
        <w:tc>
          <w:tcPr>
            <w:tcW w:w="1863" w:type="dxa"/>
            <w:shd w:val="clear" w:color="auto" w:fill="DBDBDB"/>
            <w:vAlign w:val="center"/>
          </w:tcPr>
          <w:p w14:paraId="7FA205BA" w14:textId="77777777" w:rsidR="00FD0545" w:rsidRPr="00CD78CA" w:rsidRDefault="00FD0545" w:rsidP="00026782">
            <w:pPr>
              <w:rPr>
                <w:rFonts w:eastAsia="Calibri"/>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05C29C19"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15EB1160" w14:textId="77777777" w:rsidR="00FD0545" w:rsidRPr="00CD78CA" w:rsidRDefault="00FD0545" w:rsidP="00026782">
            <w:pPr>
              <w:jc w:val="center"/>
              <w:rPr>
                <w:rFonts w:eastAsia="Calibri"/>
                <w:sz w:val="20"/>
                <w:szCs w:val="20"/>
              </w:rPr>
            </w:pPr>
            <w:r w:rsidRPr="00CD78CA">
              <w:rPr>
                <w:rFonts w:eastAsia="Calibri"/>
                <w:sz w:val="20"/>
                <w:szCs w:val="20"/>
              </w:rPr>
              <w:t>10 pont</w:t>
            </w:r>
          </w:p>
        </w:tc>
        <w:tc>
          <w:tcPr>
            <w:tcW w:w="1293" w:type="dxa"/>
            <w:shd w:val="clear" w:color="auto" w:fill="DBDBDB"/>
            <w:vAlign w:val="center"/>
          </w:tcPr>
          <w:p w14:paraId="76063C61" w14:textId="77777777" w:rsidR="00FD0545" w:rsidRPr="00CD78CA" w:rsidRDefault="00FD0545" w:rsidP="00026782">
            <w:pPr>
              <w:jc w:val="center"/>
              <w:rPr>
                <w:rFonts w:eastAsia="Calibri"/>
                <w:sz w:val="20"/>
                <w:szCs w:val="20"/>
              </w:rPr>
            </w:pPr>
          </w:p>
        </w:tc>
      </w:tr>
      <w:tr w:rsidR="00FD0545" w:rsidRPr="00C376DE" w14:paraId="626E54FB" w14:textId="77777777" w:rsidTr="00026782">
        <w:trPr>
          <w:trHeight w:val="20"/>
          <w:jc w:val="center"/>
        </w:trPr>
        <w:tc>
          <w:tcPr>
            <w:tcW w:w="2182" w:type="dxa"/>
            <w:vMerge/>
            <w:tcBorders>
              <w:left w:val="single" w:sz="4" w:space="0" w:color="FFFFFF"/>
            </w:tcBorders>
            <w:shd w:val="clear" w:color="auto" w:fill="A5A5A5"/>
          </w:tcPr>
          <w:p w14:paraId="130A68C9"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11629960" w14:textId="77777777" w:rsidR="00FD0545" w:rsidRPr="00CD78CA" w:rsidRDefault="00FD0545" w:rsidP="00026782">
            <w:pPr>
              <w:rPr>
                <w:rFonts w:eastAsia="Calibri"/>
                <w:sz w:val="20"/>
                <w:szCs w:val="20"/>
              </w:rPr>
            </w:pPr>
          </w:p>
        </w:tc>
        <w:tc>
          <w:tcPr>
            <w:tcW w:w="1863" w:type="dxa"/>
            <w:shd w:val="clear" w:color="auto" w:fill="EDEDED"/>
            <w:vAlign w:val="center"/>
          </w:tcPr>
          <w:p w14:paraId="0EA2ADC0" w14:textId="77777777" w:rsidR="00FD0545" w:rsidRPr="00CD78CA" w:rsidRDefault="00FD0545" w:rsidP="00026782">
            <w:pPr>
              <w:rPr>
                <w:rFonts w:eastAsia="Calibri"/>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11F0693B"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4F01C50A" w14:textId="77777777" w:rsidR="00FD0545" w:rsidRPr="00CD78CA" w:rsidRDefault="00FD0545" w:rsidP="00026782">
            <w:pPr>
              <w:jc w:val="center"/>
              <w:rPr>
                <w:rFonts w:eastAsia="Calibri"/>
                <w:sz w:val="20"/>
                <w:szCs w:val="20"/>
              </w:rPr>
            </w:pPr>
            <w:r w:rsidRPr="00CD78CA">
              <w:rPr>
                <w:rFonts w:eastAsia="Calibri"/>
                <w:sz w:val="20"/>
                <w:szCs w:val="20"/>
              </w:rPr>
              <w:t>3 pont</w:t>
            </w:r>
          </w:p>
        </w:tc>
        <w:tc>
          <w:tcPr>
            <w:tcW w:w="1293" w:type="dxa"/>
            <w:shd w:val="clear" w:color="auto" w:fill="EDEDED"/>
            <w:vAlign w:val="center"/>
          </w:tcPr>
          <w:p w14:paraId="11F0EADA" w14:textId="77777777" w:rsidR="00FD0545" w:rsidRPr="00CD78CA" w:rsidRDefault="00FD0545" w:rsidP="00026782">
            <w:pPr>
              <w:jc w:val="center"/>
              <w:rPr>
                <w:rFonts w:eastAsia="Calibri"/>
                <w:sz w:val="20"/>
                <w:szCs w:val="20"/>
              </w:rPr>
            </w:pPr>
            <w:r w:rsidRPr="00CD78CA">
              <w:rPr>
                <w:rFonts w:eastAsia="Calibri"/>
                <w:sz w:val="20"/>
                <w:szCs w:val="20"/>
              </w:rPr>
              <w:t>(1)</w:t>
            </w:r>
          </w:p>
        </w:tc>
      </w:tr>
      <w:tr w:rsidR="00FD0545" w:rsidRPr="00C376DE" w14:paraId="2145CF83" w14:textId="77777777" w:rsidTr="00026782">
        <w:trPr>
          <w:trHeight w:val="20"/>
          <w:jc w:val="center"/>
        </w:trPr>
        <w:tc>
          <w:tcPr>
            <w:tcW w:w="2182" w:type="dxa"/>
            <w:vMerge/>
            <w:tcBorders>
              <w:left w:val="single" w:sz="4" w:space="0" w:color="FFFFFF"/>
            </w:tcBorders>
            <w:shd w:val="clear" w:color="auto" w:fill="A5A5A5"/>
            <w:hideMark/>
          </w:tcPr>
          <w:p w14:paraId="3DBF0C55" w14:textId="77777777" w:rsidR="00FD0545" w:rsidRPr="00CD78CA" w:rsidRDefault="00FD0545" w:rsidP="00026782">
            <w:pPr>
              <w:rPr>
                <w:rFonts w:eastAsia="Calibri"/>
                <w:b/>
                <w:bCs/>
                <w:color w:val="FFFFFF"/>
                <w:sz w:val="20"/>
                <w:szCs w:val="20"/>
              </w:rPr>
            </w:pPr>
          </w:p>
        </w:tc>
        <w:tc>
          <w:tcPr>
            <w:tcW w:w="1214" w:type="dxa"/>
            <w:vMerge w:val="restart"/>
            <w:shd w:val="clear" w:color="auto" w:fill="DBDBDB"/>
            <w:hideMark/>
          </w:tcPr>
          <w:p w14:paraId="6548E8FA" w14:textId="77777777" w:rsidR="00FD0545" w:rsidRPr="00CD78CA" w:rsidRDefault="00FD0545" w:rsidP="00026782">
            <w:pPr>
              <w:rPr>
                <w:rFonts w:eastAsia="Calibri"/>
                <w:sz w:val="20"/>
                <w:szCs w:val="20"/>
              </w:rPr>
            </w:pPr>
            <w:r w:rsidRPr="00CD78CA">
              <w:rPr>
                <w:rFonts w:eastAsia="Calibri"/>
                <w:sz w:val="20"/>
                <w:szCs w:val="20"/>
              </w:rPr>
              <w:t>Magyar nyelven</w:t>
            </w:r>
          </w:p>
        </w:tc>
        <w:tc>
          <w:tcPr>
            <w:tcW w:w="1863" w:type="dxa"/>
            <w:shd w:val="clear" w:color="auto" w:fill="DBDBDB"/>
            <w:vAlign w:val="center"/>
          </w:tcPr>
          <w:p w14:paraId="391E9F54" w14:textId="77777777" w:rsidR="00FD0545" w:rsidRPr="00CD78CA" w:rsidRDefault="00FD0545" w:rsidP="00026782">
            <w:pPr>
              <w:rPr>
                <w:rFonts w:eastAsia="Calibri"/>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66D3318E"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4F20FED5" w14:textId="77777777" w:rsidR="00FD0545" w:rsidRPr="00CD78CA" w:rsidRDefault="00FD0545" w:rsidP="00026782">
            <w:pPr>
              <w:jc w:val="center"/>
              <w:rPr>
                <w:rFonts w:eastAsia="Calibri"/>
                <w:sz w:val="20"/>
                <w:szCs w:val="20"/>
              </w:rPr>
            </w:pPr>
            <w:r w:rsidRPr="00CD78CA">
              <w:rPr>
                <w:rFonts w:eastAsia="Calibri"/>
                <w:sz w:val="20"/>
                <w:szCs w:val="20"/>
              </w:rPr>
              <w:t>20 pont</w:t>
            </w:r>
          </w:p>
        </w:tc>
        <w:tc>
          <w:tcPr>
            <w:tcW w:w="1293" w:type="dxa"/>
            <w:shd w:val="clear" w:color="auto" w:fill="DBDBDB"/>
            <w:vAlign w:val="center"/>
          </w:tcPr>
          <w:p w14:paraId="3FDD20F3" w14:textId="77777777" w:rsidR="00FD0545" w:rsidRPr="00CD78CA" w:rsidRDefault="00FD0545" w:rsidP="00026782">
            <w:pPr>
              <w:jc w:val="center"/>
              <w:rPr>
                <w:rFonts w:eastAsia="Calibri"/>
                <w:sz w:val="20"/>
                <w:szCs w:val="20"/>
              </w:rPr>
            </w:pPr>
          </w:p>
        </w:tc>
      </w:tr>
      <w:tr w:rsidR="00FD0545" w:rsidRPr="00C376DE" w14:paraId="613A6403" w14:textId="77777777" w:rsidTr="00026782">
        <w:trPr>
          <w:trHeight w:val="20"/>
          <w:jc w:val="center"/>
        </w:trPr>
        <w:tc>
          <w:tcPr>
            <w:tcW w:w="2182" w:type="dxa"/>
            <w:vMerge/>
            <w:tcBorders>
              <w:left w:val="single" w:sz="4" w:space="0" w:color="FFFFFF"/>
            </w:tcBorders>
            <w:shd w:val="clear" w:color="auto" w:fill="A5A5A5"/>
            <w:hideMark/>
          </w:tcPr>
          <w:p w14:paraId="0E36A823" w14:textId="77777777" w:rsidR="00FD0545" w:rsidRPr="00CD78CA" w:rsidRDefault="00FD0545" w:rsidP="00026782">
            <w:pPr>
              <w:rPr>
                <w:rFonts w:eastAsia="Calibri"/>
                <w:b/>
                <w:bCs/>
                <w:color w:val="FFFFFF"/>
                <w:sz w:val="20"/>
                <w:szCs w:val="20"/>
              </w:rPr>
            </w:pPr>
          </w:p>
        </w:tc>
        <w:tc>
          <w:tcPr>
            <w:tcW w:w="1214" w:type="dxa"/>
            <w:vMerge/>
            <w:shd w:val="clear" w:color="auto" w:fill="EDEDED"/>
            <w:hideMark/>
          </w:tcPr>
          <w:p w14:paraId="61DD0E7F" w14:textId="77777777" w:rsidR="00FD0545" w:rsidRPr="00CD78CA" w:rsidRDefault="00FD0545" w:rsidP="00026782">
            <w:pPr>
              <w:rPr>
                <w:rFonts w:eastAsia="Calibri"/>
                <w:sz w:val="20"/>
                <w:szCs w:val="20"/>
              </w:rPr>
            </w:pPr>
          </w:p>
        </w:tc>
        <w:tc>
          <w:tcPr>
            <w:tcW w:w="1863" w:type="dxa"/>
            <w:shd w:val="clear" w:color="auto" w:fill="EDEDED"/>
            <w:vAlign w:val="center"/>
          </w:tcPr>
          <w:p w14:paraId="7881F86C" w14:textId="77777777" w:rsidR="00FD0545" w:rsidRPr="00CD78CA" w:rsidRDefault="00FD0545" w:rsidP="00026782">
            <w:pPr>
              <w:rPr>
                <w:rFonts w:eastAsia="Calibri"/>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2D2442B8"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63204D81" w14:textId="77777777" w:rsidR="00FD0545" w:rsidRPr="00CD78CA" w:rsidRDefault="00FD0545" w:rsidP="00026782">
            <w:pPr>
              <w:jc w:val="center"/>
              <w:rPr>
                <w:rFonts w:eastAsia="Calibri"/>
                <w:sz w:val="20"/>
                <w:szCs w:val="20"/>
              </w:rPr>
            </w:pPr>
            <w:r w:rsidRPr="00CD78CA">
              <w:rPr>
                <w:rFonts w:eastAsia="Calibri"/>
                <w:sz w:val="20"/>
                <w:szCs w:val="20"/>
              </w:rPr>
              <w:t>10 pont</w:t>
            </w:r>
          </w:p>
        </w:tc>
        <w:tc>
          <w:tcPr>
            <w:tcW w:w="1293" w:type="dxa"/>
            <w:shd w:val="clear" w:color="auto" w:fill="EDEDED"/>
            <w:vAlign w:val="center"/>
          </w:tcPr>
          <w:p w14:paraId="694A44B3" w14:textId="77777777" w:rsidR="00FD0545" w:rsidRPr="00CD78CA" w:rsidRDefault="00FD0545" w:rsidP="00026782">
            <w:pPr>
              <w:jc w:val="center"/>
              <w:rPr>
                <w:rFonts w:eastAsia="Calibri"/>
                <w:sz w:val="20"/>
                <w:szCs w:val="20"/>
              </w:rPr>
            </w:pPr>
          </w:p>
        </w:tc>
      </w:tr>
      <w:tr w:rsidR="00FD0545" w:rsidRPr="00C376DE" w14:paraId="2BCF6089" w14:textId="77777777" w:rsidTr="00026782">
        <w:trPr>
          <w:trHeight w:val="20"/>
          <w:jc w:val="center"/>
        </w:trPr>
        <w:tc>
          <w:tcPr>
            <w:tcW w:w="2182" w:type="dxa"/>
            <w:vMerge/>
            <w:tcBorders>
              <w:left w:val="single" w:sz="4" w:space="0" w:color="FFFFFF"/>
            </w:tcBorders>
            <w:shd w:val="clear" w:color="auto" w:fill="A5A5A5"/>
            <w:hideMark/>
          </w:tcPr>
          <w:p w14:paraId="181BB0E4" w14:textId="77777777" w:rsidR="00FD0545" w:rsidRPr="00CD78CA" w:rsidRDefault="00FD0545" w:rsidP="00026782">
            <w:pPr>
              <w:rPr>
                <w:rFonts w:eastAsia="Calibri"/>
                <w:b/>
                <w:bCs/>
                <w:color w:val="FFFFFF"/>
                <w:sz w:val="20"/>
                <w:szCs w:val="20"/>
              </w:rPr>
            </w:pPr>
          </w:p>
        </w:tc>
        <w:tc>
          <w:tcPr>
            <w:tcW w:w="1214" w:type="dxa"/>
            <w:vMerge/>
            <w:shd w:val="clear" w:color="auto" w:fill="DBDBDB"/>
            <w:hideMark/>
          </w:tcPr>
          <w:p w14:paraId="795DE095" w14:textId="77777777" w:rsidR="00FD0545" w:rsidRPr="00CD78CA" w:rsidRDefault="00FD0545" w:rsidP="00026782">
            <w:pPr>
              <w:rPr>
                <w:rFonts w:eastAsia="Calibri"/>
                <w:sz w:val="20"/>
                <w:szCs w:val="20"/>
              </w:rPr>
            </w:pPr>
          </w:p>
        </w:tc>
        <w:tc>
          <w:tcPr>
            <w:tcW w:w="1863" w:type="dxa"/>
            <w:shd w:val="clear" w:color="auto" w:fill="DBDBDB"/>
            <w:vAlign w:val="center"/>
          </w:tcPr>
          <w:p w14:paraId="217DB874" w14:textId="77777777" w:rsidR="00FD0545" w:rsidRPr="00CD78CA" w:rsidRDefault="00FD0545" w:rsidP="00026782">
            <w:pPr>
              <w:rPr>
                <w:rFonts w:eastAsia="Calibri"/>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6F1A0B96"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553B6457" w14:textId="77777777" w:rsidR="00FD0545" w:rsidRPr="00CD78CA" w:rsidRDefault="00FD0545" w:rsidP="00026782">
            <w:pPr>
              <w:jc w:val="center"/>
              <w:rPr>
                <w:rFonts w:eastAsia="Calibri"/>
                <w:sz w:val="20"/>
                <w:szCs w:val="20"/>
              </w:rPr>
            </w:pPr>
            <w:r w:rsidRPr="00CD78CA">
              <w:rPr>
                <w:rFonts w:eastAsia="Calibri"/>
                <w:sz w:val="20"/>
                <w:szCs w:val="20"/>
              </w:rPr>
              <w:t>3 pont</w:t>
            </w:r>
          </w:p>
        </w:tc>
        <w:tc>
          <w:tcPr>
            <w:tcW w:w="1293" w:type="dxa"/>
            <w:shd w:val="clear" w:color="auto" w:fill="DBDBDB"/>
            <w:vAlign w:val="center"/>
          </w:tcPr>
          <w:p w14:paraId="62853858" w14:textId="77777777" w:rsidR="00FD0545" w:rsidRPr="00CD78CA" w:rsidRDefault="00FD0545" w:rsidP="00026782">
            <w:pPr>
              <w:jc w:val="center"/>
              <w:rPr>
                <w:rFonts w:eastAsia="Calibri"/>
                <w:sz w:val="20"/>
                <w:szCs w:val="20"/>
              </w:rPr>
            </w:pPr>
            <w:r w:rsidRPr="00CD78CA">
              <w:rPr>
                <w:rFonts w:eastAsia="Calibri"/>
                <w:sz w:val="20"/>
                <w:szCs w:val="20"/>
              </w:rPr>
              <w:t>(1)</w:t>
            </w:r>
          </w:p>
        </w:tc>
      </w:tr>
      <w:tr w:rsidR="00FD0545" w:rsidRPr="00C376DE" w14:paraId="039A78A5" w14:textId="77777777" w:rsidTr="00026782">
        <w:trPr>
          <w:trHeight w:val="20"/>
          <w:jc w:val="center"/>
        </w:trPr>
        <w:tc>
          <w:tcPr>
            <w:tcW w:w="2182" w:type="dxa"/>
            <w:vMerge/>
            <w:tcBorders>
              <w:left w:val="single" w:sz="4" w:space="0" w:color="FFFFFF"/>
            </w:tcBorders>
            <w:shd w:val="clear" w:color="auto" w:fill="A5A5A5"/>
          </w:tcPr>
          <w:p w14:paraId="4DB73612"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08A22343" w14:textId="77777777" w:rsidR="00FD0545" w:rsidRPr="00CD78CA" w:rsidRDefault="00FD0545" w:rsidP="00026782">
            <w:pPr>
              <w:rPr>
                <w:rFonts w:eastAsia="Calibri"/>
                <w:sz w:val="20"/>
                <w:szCs w:val="20"/>
              </w:rPr>
            </w:pPr>
          </w:p>
        </w:tc>
        <w:tc>
          <w:tcPr>
            <w:tcW w:w="1863" w:type="dxa"/>
            <w:shd w:val="clear" w:color="auto" w:fill="EDEDED"/>
            <w:vAlign w:val="center"/>
          </w:tcPr>
          <w:p w14:paraId="4F2F8932" w14:textId="77777777" w:rsidR="00FD0545" w:rsidRPr="00CD78CA" w:rsidRDefault="00FD0545" w:rsidP="00026782">
            <w:pPr>
              <w:rPr>
                <w:rFonts w:eastAsia="Calibri"/>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6DAF246B"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7315143B" w14:textId="77777777" w:rsidR="00FD0545" w:rsidRPr="00CD78CA" w:rsidRDefault="00FD0545" w:rsidP="00026782">
            <w:pPr>
              <w:jc w:val="center"/>
              <w:rPr>
                <w:rFonts w:eastAsia="Calibri"/>
                <w:sz w:val="20"/>
                <w:szCs w:val="20"/>
              </w:rPr>
            </w:pPr>
            <w:r w:rsidRPr="00CD78CA">
              <w:rPr>
                <w:rFonts w:eastAsia="Calibri"/>
                <w:sz w:val="20"/>
                <w:szCs w:val="20"/>
              </w:rPr>
              <w:t>10 pont</w:t>
            </w:r>
          </w:p>
        </w:tc>
        <w:tc>
          <w:tcPr>
            <w:tcW w:w="1293" w:type="dxa"/>
            <w:shd w:val="clear" w:color="auto" w:fill="EDEDED"/>
            <w:vAlign w:val="center"/>
          </w:tcPr>
          <w:p w14:paraId="0AB602EA" w14:textId="77777777" w:rsidR="00FD0545" w:rsidRPr="00CD78CA" w:rsidRDefault="00FD0545" w:rsidP="00026782">
            <w:pPr>
              <w:jc w:val="center"/>
              <w:rPr>
                <w:rFonts w:eastAsia="Calibri"/>
                <w:sz w:val="20"/>
                <w:szCs w:val="20"/>
              </w:rPr>
            </w:pPr>
          </w:p>
        </w:tc>
      </w:tr>
      <w:tr w:rsidR="00FD0545" w:rsidRPr="00C376DE" w14:paraId="0DDE2194" w14:textId="77777777" w:rsidTr="00026782">
        <w:trPr>
          <w:trHeight w:val="20"/>
          <w:jc w:val="center"/>
        </w:trPr>
        <w:tc>
          <w:tcPr>
            <w:tcW w:w="2182" w:type="dxa"/>
            <w:vMerge/>
            <w:tcBorders>
              <w:left w:val="single" w:sz="4" w:space="0" w:color="FFFFFF"/>
            </w:tcBorders>
            <w:shd w:val="clear" w:color="auto" w:fill="A5A5A5"/>
          </w:tcPr>
          <w:p w14:paraId="5812F6CE"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6A9324C2" w14:textId="77777777" w:rsidR="00FD0545" w:rsidRPr="00CD78CA" w:rsidRDefault="00FD0545" w:rsidP="00026782">
            <w:pPr>
              <w:rPr>
                <w:rFonts w:eastAsia="Calibri"/>
                <w:sz w:val="20"/>
                <w:szCs w:val="20"/>
              </w:rPr>
            </w:pPr>
          </w:p>
        </w:tc>
        <w:tc>
          <w:tcPr>
            <w:tcW w:w="1863" w:type="dxa"/>
            <w:shd w:val="clear" w:color="auto" w:fill="DBDBDB"/>
            <w:vAlign w:val="center"/>
          </w:tcPr>
          <w:p w14:paraId="29F62435" w14:textId="77777777" w:rsidR="00FD0545" w:rsidRPr="00CD78CA" w:rsidRDefault="00FD0545" w:rsidP="00026782">
            <w:pPr>
              <w:rPr>
                <w:rFonts w:eastAsia="Calibri"/>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62D7D726"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DBDBDB"/>
            <w:vAlign w:val="center"/>
          </w:tcPr>
          <w:p w14:paraId="0D65BB1A" w14:textId="77777777" w:rsidR="00FD0545" w:rsidRPr="00CD78CA" w:rsidRDefault="00FD0545" w:rsidP="00026782">
            <w:pPr>
              <w:jc w:val="center"/>
              <w:rPr>
                <w:rFonts w:eastAsia="Calibri"/>
                <w:sz w:val="20"/>
                <w:szCs w:val="20"/>
              </w:rPr>
            </w:pPr>
            <w:r w:rsidRPr="00CD78CA">
              <w:rPr>
                <w:rFonts w:eastAsia="Calibri"/>
                <w:sz w:val="20"/>
                <w:szCs w:val="20"/>
              </w:rPr>
              <w:t>5 pont</w:t>
            </w:r>
          </w:p>
        </w:tc>
        <w:tc>
          <w:tcPr>
            <w:tcW w:w="1293" w:type="dxa"/>
            <w:shd w:val="clear" w:color="auto" w:fill="DBDBDB"/>
            <w:vAlign w:val="center"/>
          </w:tcPr>
          <w:p w14:paraId="12C7964F" w14:textId="77777777" w:rsidR="00FD0545" w:rsidRPr="00CD78CA" w:rsidRDefault="00FD0545" w:rsidP="00026782">
            <w:pPr>
              <w:jc w:val="center"/>
              <w:rPr>
                <w:rFonts w:eastAsia="Calibri"/>
                <w:sz w:val="20"/>
                <w:szCs w:val="20"/>
              </w:rPr>
            </w:pPr>
          </w:p>
        </w:tc>
      </w:tr>
      <w:tr w:rsidR="00FD0545" w:rsidRPr="00C376DE" w14:paraId="32EEB908" w14:textId="77777777" w:rsidTr="00026782">
        <w:trPr>
          <w:trHeight w:val="20"/>
          <w:jc w:val="center"/>
        </w:trPr>
        <w:tc>
          <w:tcPr>
            <w:tcW w:w="2182" w:type="dxa"/>
            <w:vMerge/>
            <w:tcBorders>
              <w:left w:val="single" w:sz="4" w:space="0" w:color="FFFFFF"/>
            </w:tcBorders>
            <w:shd w:val="clear" w:color="auto" w:fill="A5A5A5"/>
            <w:hideMark/>
          </w:tcPr>
          <w:p w14:paraId="1DBAEC2E" w14:textId="77777777" w:rsidR="00FD0545" w:rsidRPr="00CD78CA" w:rsidRDefault="00FD0545" w:rsidP="00026782">
            <w:pPr>
              <w:rPr>
                <w:rFonts w:eastAsia="Calibri"/>
                <w:b/>
                <w:bCs/>
                <w:color w:val="FFFFFF"/>
                <w:sz w:val="20"/>
                <w:szCs w:val="20"/>
              </w:rPr>
            </w:pPr>
          </w:p>
        </w:tc>
        <w:tc>
          <w:tcPr>
            <w:tcW w:w="1214" w:type="dxa"/>
            <w:vMerge/>
            <w:shd w:val="clear" w:color="auto" w:fill="EDEDED"/>
            <w:hideMark/>
          </w:tcPr>
          <w:p w14:paraId="27036A24" w14:textId="77777777" w:rsidR="00FD0545" w:rsidRPr="00CD78CA" w:rsidRDefault="00FD0545" w:rsidP="00026782">
            <w:pPr>
              <w:rPr>
                <w:rFonts w:eastAsia="Calibri"/>
                <w:sz w:val="20"/>
                <w:szCs w:val="20"/>
              </w:rPr>
            </w:pPr>
          </w:p>
        </w:tc>
        <w:tc>
          <w:tcPr>
            <w:tcW w:w="1863" w:type="dxa"/>
            <w:shd w:val="clear" w:color="auto" w:fill="EDEDED"/>
            <w:vAlign w:val="center"/>
          </w:tcPr>
          <w:p w14:paraId="490BC137" w14:textId="77777777" w:rsidR="00FD0545" w:rsidRPr="00CD78CA" w:rsidRDefault="00FD0545" w:rsidP="00026782">
            <w:pPr>
              <w:rPr>
                <w:rFonts w:eastAsia="Calibri"/>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63004886" w14:textId="77777777" w:rsidR="00FD0545" w:rsidRPr="00CD78CA" w:rsidRDefault="00FD0545" w:rsidP="00026782">
            <w:pPr>
              <w:jc w:val="center"/>
              <w:rPr>
                <w:rFonts w:eastAsia="Calibri"/>
                <w:sz w:val="20"/>
                <w:szCs w:val="20"/>
              </w:rPr>
            </w:pPr>
            <w:r w:rsidRPr="00CD78CA">
              <w:rPr>
                <w:rFonts w:eastAsia="Calibri"/>
                <w:sz w:val="20"/>
                <w:szCs w:val="20"/>
              </w:rPr>
              <w:t>db</w:t>
            </w:r>
          </w:p>
        </w:tc>
        <w:tc>
          <w:tcPr>
            <w:tcW w:w="1206" w:type="dxa"/>
            <w:shd w:val="clear" w:color="auto" w:fill="EDEDED"/>
            <w:vAlign w:val="center"/>
          </w:tcPr>
          <w:p w14:paraId="1CEB2BF3" w14:textId="77777777" w:rsidR="00FD0545" w:rsidRPr="00CD78CA" w:rsidRDefault="00FD0545" w:rsidP="00026782">
            <w:pPr>
              <w:jc w:val="center"/>
              <w:rPr>
                <w:rFonts w:eastAsia="Calibri"/>
                <w:sz w:val="20"/>
                <w:szCs w:val="20"/>
              </w:rPr>
            </w:pPr>
            <w:r w:rsidRPr="00CD78CA">
              <w:rPr>
                <w:rFonts w:eastAsia="Calibri"/>
                <w:sz w:val="20"/>
                <w:szCs w:val="20"/>
              </w:rPr>
              <w:t>1,5 pont</w:t>
            </w:r>
          </w:p>
        </w:tc>
        <w:tc>
          <w:tcPr>
            <w:tcW w:w="1293" w:type="dxa"/>
            <w:shd w:val="clear" w:color="auto" w:fill="EDEDED"/>
            <w:vAlign w:val="center"/>
          </w:tcPr>
          <w:p w14:paraId="0501D901" w14:textId="77777777" w:rsidR="00FD0545" w:rsidRPr="00CD78CA" w:rsidRDefault="00FD0545" w:rsidP="00026782">
            <w:pPr>
              <w:jc w:val="center"/>
              <w:rPr>
                <w:rFonts w:eastAsia="Calibri"/>
                <w:sz w:val="20"/>
                <w:szCs w:val="20"/>
              </w:rPr>
            </w:pPr>
            <w:r w:rsidRPr="00CD78CA">
              <w:rPr>
                <w:rFonts w:eastAsia="Calibri"/>
                <w:sz w:val="20"/>
                <w:szCs w:val="20"/>
              </w:rPr>
              <w:t>(1)</w:t>
            </w:r>
          </w:p>
        </w:tc>
      </w:tr>
      <w:tr w:rsidR="00FD0545" w:rsidRPr="00C376DE" w14:paraId="6A4CBB95" w14:textId="77777777" w:rsidTr="00026782">
        <w:trPr>
          <w:trHeight w:val="20"/>
          <w:jc w:val="center"/>
        </w:trPr>
        <w:tc>
          <w:tcPr>
            <w:tcW w:w="2182" w:type="dxa"/>
            <w:vMerge w:val="restart"/>
            <w:tcBorders>
              <w:left w:val="single" w:sz="4" w:space="0" w:color="FFFFFF"/>
            </w:tcBorders>
            <w:shd w:val="clear" w:color="auto" w:fill="A5A5A5"/>
          </w:tcPr>
          <w:p w14:paraId="0B3D2E31" w14:textId="77777777" w:rsidR="00FD0545" w:rsidRPr="00CD78CA" w:rsidRDefault="00FD0545" w:rsidP="00026782">
            <w:pPr>
              <w:rPr>
                <w:rFonts w:eastAsia="Calibri"/>
                <w:b/>
                <w:bCs/>
                <w:sz w:val="20"/>
                <w:szCs w:val="20"/>
              </w:rPr>
            </w:pPr>
            <w:r w:rsidRPr="00CD78CA">
              <w:rPr>
                <w:rFonts w:eastAsia="Calibri"/>
                <w:b/>
                <w:bCs/>
                <w:sz w:val="20"/>
                <w:szCs w:val="20"/>
              </w:rPr>
              <w:t xml:space="preserve">II. Idézhető </w:t>
            </w:r>
            <w:proofErr w:type="gramStart"/>
            <w:r w:rsidRPr="00CD78CA">
              <w:rPr>
                <w:rFonts w:eastAsia="Calibri"/>
                <w:b/>
                <w:bCs/>
                <w:sz w:val="20"/>
                <w:szCs w:val="20"/>
              </w:rPr>
              <w:t>absztrakt</w:t>
            </w:r>
            <w:proofErr w:type="gramEnd"/>
          </w:p>
        </w:tc>
        <w:tc>
          <w:tcPr>
            <w:tcW w:w="1214" w:type="dxa"/>
            <w:vMerge w:val="restart"/>
            <w:shd w:val="clear" w:color="auto" w:fill="DBDBDB"/>
          </w:tcPr>
          <w:p w14:paraId="4521CFD0" w14:textId="77777777" w:rsidR="00FD0545" w:rsidRPr="00CD78CA" w:rsidRDefault="00FD0545" w:rsidP="00026782">
            <w:pPr>
              <w:rPr>
                <w:rFonts w:eastAsia="Calibri"/>
                <w:b/>
                <w:bCs/>
                <w:sz w:val="20"/>
                <w:szCs w:val="20"/>
              </w:rPr>
            </w:pPr>
            <w:r w:rsidRPr="00CD78CA">
              <w:rPr>
                <w:rFonts w:eastAsia="Calibri"/>
                <w:sz w:val="20"/>
                <w:szCs w:val="20"/>
              </w:rPr>
              <w:t>Idegen nyelven</w:t>
            </w:r>
          </w:p>
        </w:tc>
        <w:tc>
          <w:tcPr>
            <w:tcW w:w="1863" w:type="dxa"/>
            <w:shd w:val="clear" w:color="auto" w:fill="DBDBDB"/>
            <w:vAlign w:val="center"/>
          </w:tcPr>
          <w:p w14:paraId="3D2E3960"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315BF769"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302F4153"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3 pont</w:t>
            </w:r>
          </w:p>
        </w:tc>
        <w:tc>
          <w:tcPr>
            <w:tcW w:w="1293" w:type="dxa"/>
            <w:shd w:val="clear" w:color="auto" w:fill="DBDBDB"/>
            <w:vAlign w:val="center"/>
          </w:tcPr>
          <w:p w14:paraId="1FE9E040" w14:textId="77777777" w:rsidR="00FD0545" w:rsidRPr="00CD78CA" w:rsidRDefault="00FD0545" w:rsidP="00026782">
            <w:pPr>
              <w:jc w:val="center"/>
              <w:rPr>
                <w:rFonts w:eastAsia="Calibri"/>
                <w:b/>
                <w:bCs/>
                <w:color w:val="000000"/>
                <w:sz w:val="20"/>
                <w:szCs w:val="20"/>
              </w:rPr>
            </w:pPr>
          </w:p>
        </w:tc>
      </w:tr>
      <w:tr w:rsidR="00FD0545" w:rsidRPr="00C376DE" w14:paraId="5AB09083" w14:textId="77777777" w:rsidTr="00026782">
        <w:trPr>
          <w:trHeight w:val="20"/>
          <w:jc w:val="center"/>
        </w:trPr>
        <w:tc>
          <w:tcPr>
            <w:tcW w:w="2182" w:type="dxa"/>
            <w:vMerge/>
            <w:tcBorders>
              <w:left w:val="single" w:sz="4" w:space="0" w:color="FFFFFF"/>
            </w:tcBorders>
            <w:shd w:val="clear" w:color="auto" w:fill="A5A5A5"/>
          </w:tcPr>
          <w:p w14:paraId="1CC53625"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54BAFC50" w14:textId="77777777" w:rsidR="00FD0545" w:rsidRPr="00CD78CA" w:rsidRDefault="00FD0545" w:rsidP="00026782">
            <w:pPr>
              <w:rPr>
                <w:rFonts w:eastAsia="Calibri"/>
                <w:b/>
                <w:bCs/>
                <w:sz w:val="20"/>
                <w:szCs w:val="20"/>
              </w:rPr>
            </w:pPr>
          </w:p>
        </w:tc>
        <w:tc>
          <w:tcPr>
            <w:tcW w:w="1863" w:type="dxa"/>
            <w:shd w:val="clear" w:color="auto" w:fill="EDEDED"/>
            <w:vAlign w:val="center"/>
          </w:tcPr>
          <w:p w14:paraId="246E5EDB"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3939D093"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7A03692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1,5 pont</w:t>
            </w:r>
          </w:p>
        </w:tc>
        <w:tc>
          <w:tcPr>
            <w:tcW w:w="1293" w:type="dxa"/>
            <w:shd w:val="clear" w:color="auto" w:fill="EDEDED"/>
            <w:vAlign w:val="center"/>
          </w:tcPr>
          <w:p w14:paraId="6FE5B729" w14:textId="77777777" w:rsidR="00FD0545" w:rsidRPr="00CD78CA" w:rsidRDefault="00FD0545" w:rsidP="00026782">
            <w:pPr>
              <w:jc w:val="center"/>
              <w:rPr>
                <w:rFonts w:eastAsia="Calibri"/>
                <w:b/>
                <w:bCs/>
                <w:color w:val="000000"/>
                <w:sz w:val="20"/>
                <w:szCs w:val="20"/>
              </w:rPr>
            </w:pPr>
          </w:p>
        </w:tc>
      </w:tr>
      <w:tr w:rsidR="00FD0545" w:rsidRPr="00C376DE" w14:paraId="57AD469B" w14:textId="77777777" w:rsidTr="00026782">
        <w:trPr>
          <w:trHeight w:val="20"/>
          <w:jc w:val="center"/>
        </w:trPr>
        <w:tc>
          <w:tcPr>
            <w:tcW w:w="2182" w:type="dxa"/>
            <w:vMerge/>
            <w:tcBorders>
              <w:left w:val="single" w:sz="4" w:space="0" w:color="FFFFFF"/>
            </w:tcBorders>
            <w:shd w:val="clear" w:color="auto" w:fill="A5A5A5"/>
          </w:tcPr>
          <w:p w14:paraId="42A4CBBB"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47288C1E" w14:textId="77777777" w:rsidR="00FD0545" w:rsidRPr="00CD78CA" w:rsidRDefault="00FD0545" w:rsidP="00026782">
            <w:pPr>
              <w:rPr>
                <w:rFonts w:eastAsia="Calibri"/>
                <w:b/>
                <w:bCs/>
                <w:sz w:val="20"/>
                <w:szCs w:val="20"/>
              </w:rPr>
            </w:pPr>
          </w:p>
        </w:tc>
        <w:tc>
          <w:tcPr>
            <w:tcW w:w="1863" w:type="dxa"/>
            <w:shd w:val="clear" w:color="auto" w:fill="DBDBDB"/>
            <w:vAlign w:val="center"/>
          </w:tcPr>
          <w:p w14:paraId="799423CD"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432E658F"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65FB02FA"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0,5 pont</w:t>
            </w:r>
          </w:p>
        </w:tc>
        <w:tc>
          <w:tcPr>
            <w:tcW w:w="1293" w:type="dxa"/>
            <w:shd w:val="clear" w:color="auto" w:fill="DBDBDB"/>
            <w:vAlign w:val="center"/>
          </w:tcPr>
          <w:p w14:paraId="69AE1D7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3A9AC9DB" w14:textId="77777777" w:rsidTr="00026782">
        <w:trPr>
          <w:trHeight w:val="20"/>
          <w:jc w:val="center"/>
        </w:trPr>
        <w:tc>
          <w:tcPr>
            <w:tcW w:w="2182" w:type="dxa"/>
            <w:vMerge/>
            <w:tcBorders>
              <w:left w:val="single" w:sz="4" w:space="0" w:color="FFFFFF"/>
            </w:tcBorders>
            <w:shd w:val="clear" w:color="auto" w:fill="A5A5A5"/>
          </w:tcPr>
          <w:p w14:paraId="2D7A8320"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50051BCB" w14:textId="77777777" w:rsidR="00FD0545" w:rsidRPr="00CD78CA" w:rsidRDefault="00FD0545" w:rsidP="00026782">
            <w:pPr>
              <w:rPr>
                <w:rFonts w:eastAsia="Calibri"/>
                <w:b/>
                <w:bCs/>
                <w:sz w:val="20"/>
                <w:szCs w:val="20"/>
              </w:rPr>
            </w:pPr>
          </w:p>
        </w:tc>
        <w:tc>
          <w:tcPr>
            <w:tcW w:w="1863" w:type="dxa"/>
            <w:shd w:val="clear" w:color="auto" w:fill="EDEDED"/>
            <w:vAlign w:val="center"/>
          </w:tcPr>
          <w:p w14:paraId="6F082B49"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277188FB"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49A0C998"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EDEDED"/>
            <w:vAlign w:val="center"/>
          </w:tcPr>
          <w:p w14:paraId="38629FD7" w14:textId="77777777" w:rsidR="00FD0545" w:rsidRPr="00CD78CA" w:rsidRDefault="00FD0545" w:rsidP="00026782">
            <w:pPr>
              <w:jc w:val="center"/>
              <w:rPr>
                <w:rFonts w:eastAsia="Calibri"/>
                <w:b/>
                <w:bCs/>
                <w:color w:val="000000"/>
                <w:sz w:val="20"/>
                <w:szCs w:val="20"/>
              </w:rPr>
            </w:pPr>
          </w:p>
        </w:tc>
      </w:tr>
      <w:tr w:rsidR="00FD0545" w:rsidRPr="00C376DE" w14:paraId="04BB5713" w14:textId="77777777" w:rsidTr="00026782">
        <w:trPr>
          <w:trHeight w:val="20"/>
          <w:jc w:val="center"/>
        </w:trPr>
        <w:tc>
          <w:tcPr>
            <w:tcW w:w="2182" w:type="dxa"/>
            <w:vMerge/>
            <w:tcBorders>
              <w:left w:val="single" w:sz="4" w:space="0" w:color="FFFFFF"/>
            </w:tcBorders>
            <w:shd w:val="clear" w:color="auto" w:fill="A5A5A5"/>
          </w:tcPr>
          <w:p w14:paraId="5F3EACB9"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02753111" w14:textId="77777777" w:rsidR="00FD0545" w:rsidRPr="00CD78CA" w:rsidRDefault="00FD0545" w:rsidP="00026782">
            <w:pPr>
              <w:rPr>
                <w:rFonts w:eastAsia="Calibri"/>
                <w:b/>
                <w:bCs/>
                <w:sz w:val="20"/>
                <w:szCs w:val="20"/>
              </w:rPr>
            </w:pPr>
          </w:p>
        </w:tc>
        <w:tc>
          <w:tcPr>
            <w:tcW w:w="1863" w:type="dxa"/>
            <w:shd w:val="clear" w:color="auto" w:fill="DBDBDB"/>
            <w:vAlign w:val="center"/>
          </w:tcPr>
          <w:p w14:paraId="64E81651"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36AD03A9"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267239E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DBDBDB"/>
            <w:vAlign w:val="center"/>
          </w:tcPr>
          <w:p w14:paraId="0723D552" w14:textId="77777777" w:rsidR="00FD0545" w:rsidRPr="00CD78CA" w:rsidRDefault="00FD0545" w:rsidP="00026782">
            <w:pPr>
              <w:jc w:val="center"/>
              <w:rPr>
                <w:rFonts w:eastAsia="Calibri"/>
                <w:b/>
                <w:bCs/>
                <w:color w:val="000000"/>
                <w:sz w:val="20"/>
                <w:szCs w:val="20"/>
              </w:rPr>
            </w:pPr>
          </w:p>
        </w:tc>
      </w:tr>
      <w:tr w:rsidR="00FD0545" w:rsidRPr="00C376DE" w14:paraId="5DCB7641" w14:textId="77777777" w:rsidTr="00026782">
        <w:trPr>
          <w:trHeight w:val="20"/>
          <w:jc w:val="center"/>
        </w:trPr>
        <w:tc>
          <w:tcPr>
            <w:tcW w:w="2182" w:type="dxa"/>
            <w:vMerge/>
            <w:tcBorders>
              <w:left w:val="single" w:sz="4" w:space="0" w:color="FFFFFF"/>
            </w:tcBorders>
            <w:shd w:val="clear" w:color="auto" w:fill="A5A5A5"/>
          </w:tcPr>
          <w:p w14:paraId="220834CB"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2FDE0EC3" w14:textId="77777777" w:rsidR="00FD0545" w:rsidRPr="00CD78CA" w:rsidRDefault="00FD0545" w:rsidP="00026782">
            <w:pPr>
              <w:rPr>
                <w:rFonts w:eastAsia="Calibri"/>
                <w:b/>
                <w:bCs/>
                <w:sz w:val="20"/>
                <w:szCs w:val="20"/>
              </w:rPr>
            </w:pPr>
          </w:p>
        </w:tc>
        <w:tc>
          <w:tcPr>
            <w:tcW w:w="1863" w:type="dxa"/>
            <w:shd w:val="clear" w:color="auto" w:fill="EDEDED"/>
            <w:vAlign w:val="center"/>
          </w:tcPr>
          <w:p w14:paraId="74E91F76"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2E68DCCB"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07EB130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0,25 pont</w:t>
            </w:r>
          </w:p>
        </w:tc>
        <w:tc>
          <w:tcPr>
            <w:tcW w:w="1293" w:type="dxa"/>
            <w:shd w:val="clear" w:color="auto" w:fill="EDEDED"/>
            <w:vAlign w:val="center"/>
          </w:tcPr>
          <w:p w14:paraId="60454DED"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430AB8F3" w14:textId="77777777" w:rsidTr="00026782">
        <w:trPr>
          <w:trHeight w:val="20"/>
          <w:jc w:val="center"/>
        </w:trPr>
        <w:tc>
          <w:tcPr>
            <w:tcW w:w="2182" w:type="dxa"/>
            <w:vMerge/>
            <w:tcBorders>
              <w:left w:val="single" w:sz="4" w:space="0" w:color="FFFFFF"/>
            </w:tcBorders>
            <w:shd w:val="clear" w:color="auto" w:fill="A5A5A5"/>
          </w:tcPr>
          <w:p w14:paraId="618490CD" w14:textId="77777777" w:rsidR="00FD0545" w:rsidRPr="00CD78CA" w:rsidRDefault="00FD0545" w:rsidP="00026782">
            <w:pPr>
              <w:rPr>
                <w:rFonts w:eastAsia="Calibri"/>
                <w:b/>
                <w:bCs/>
                <w:color w:val="FFFFFF"/>
                <w:sz w:val="20"/>
                <w:szCs w:val="20"/>
              </w:rPr>
            </w:pPr>
          </w:p>
        </w:tc>
        <w:tc>
          <w:tcPr>
            <w:tcW w:w="1214" w:type="dxa"/>
            <w:vMerge w:val="restart"/>
            <w:shd w:val="clear" w:color="auto" w:fill="DBDBDB"/>
          </w:tcPr>
          <w:p w14:paraId="35B3E59C" w14:textId="77777777" w:rsidR="00FD0545" w:rsidRPr="00CD78CA" w:rsidRDefault="00FD0545" w:rsidP="00026782">
            <w:pPr>
              <w:rPr>
                <w:rFonts w:eastAsia="Calibri"/>
                <w:b/>
                <w:bCs/>
                <w:sz w:val="20"/>
                <w:szCs w:val="20"/>
              </w:rPr>
            </w:pPr>
            <w:r w:rsidRPr="00CD78CA">
              <w:rPr>
                <w:rFonts w:eastAsia="Calibri"/>
                <w:sz w:val="20"/>
                <w:szCs w:val="20"/>
              </w:rPr>
              <w:t>Magyar nyelven</w:t>
            </w:r>
          </w:p>
        </w:tc>
        <w:tc>
          <w:tcPr>
            <w:tcW w:w="1863" w:type="dxa"/>
            <w:shd w:val="clear" w:color="auto" w:fill="DBDBDB"/>
            <w:vAlign w:val="center"/>
          </w:tcPr>
          <w:p w14:paraId="517C630B"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2BF080E1"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448CF01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DBDBDB"/>
            <w:vAlign w:val="center"/>
          </w:tcPr>
          <w:p w14:paraId="6DE3463E" w14:textId="77777777" w:rsidR="00FD0545" w:rsidRPr="00CD78CA" w:rsidRDefault="00FD0545" w:rsidP="00026782">
            <w:pPr>
              <w:jc w:val="center"/>
              <w:rPr>
                <w:rFonts w:eastAsia="Calibri"/>
                <w:b/>
                <w:bCs/>
                <w:color w:val="000000"/>
                <w:sz w:val="20"/>
                <w:szCs w:val="20"/>
              </w:rPr>
            </w:pPr>
          </w:p>
        </w:tc>
      </w:tr>
      <w:tr w:rsidR="00FD0545" w:rsidRPr="00C376DE" w14:paraId="272B41E5" w14:textId="77777777" w:rsidTr="00026782">
        <w:trPr>
          <w:trHeight w:val="20"/>
          <w:jc w:val="center"/>
        </w:trPr>
        <w:tc>
          <w:tcPr>
            <w:tcW w:w="2182" w:type="dxa"/>
            <w:vMerge/>
            <w:tcBorders>
              <w:left w:val="single" w:sz="4" w:space="0" w:color="FFFFFF"/>
            </w:tcBorders>
            <w:shd w:val="clear" w:color="auto" w:fill="A5A5A5"/>
          </w:tcPr>
          <w:p w14:paraId="0D662902"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233FE654" w14:textId="77777777" w:rsidR="00FD0545" w:rsidRPr="00CD78CA" w:rsidRDefault="00FD0545" w:rsidP="00026782">
            <w:pPr>
              <w:rPr>
                <w:rFonts w:eastAsia="Calibri"/>
                <w:b/>
                <w:bCs/>
                <w:sz w:val="20"/>
                <w:szCs w:val="20"/>
              </w:rPr>
            </w:pPr>
          </w:p>
        </w:tc>
        <w:tc>
          <w:tcPr>
            <w:tcW w:w="1863" w:type="dxa"/>
            <w:shd w:val="clear" w:color="auto" w:fill="EDEDED"/>
            <w:vAlign w:val="center"/>
          </w:tcPr>
          <w:p w14:paraId="6573EB9F"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2B231B10"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7CD208A7"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EDEDED"/>
            <w:vAlign w:val="center"/>
          </w:tcPr>
          <w:p w14:paraId="20A2F8B0" w14:textId="77777777" w:rsidR="00FD0545" w:rsidRPr="00CD78CA" w:rsidRDefault="00FD0545" w:rsidP="00026782">
            <w:pPr>
              <w:jc w:val="center"/>
              <w:rPr>
                <w:rFonts w:eastAsia="Calibri"/>
                <w:b/>
                <w:bCs/>
                <w:color w:val="000000"/>
                <w:sz w:val="20"/>
                <w:szCs w:val="20"/>
              </w:rPr>
            </w:pPr>
          </w:p>
        </w:tc>
      </w:tr>
      <w:tr w:rsidR="00FD0545" w:rsidRPr="00C376DE" w14:paraId="768581EB" w14:textId="77777777" w:rsidTr="00026782">
        <w:trPr>
          <w:trHeight w:val="20"/>
          <w:jc w:val="center"/>
        </w:trPr>
        <w:tc>
          <w:tcPr>
            <w:tcW w:w="2182" w:type="dxa"/>
            <w:vMerge/>
            <w:tcBorders>
              <w:left w:val="single" w:sz="4" w:space="0" w:color="FFFFFF"/>
            </w:tcBorders>
            <w:shd w:val="clear" w:color="auto" w:fill="A5A5A5"/>
          </w:tcPr>
          <w:p w14:paraId="418BAC62"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2660FC4D" w14:textId="77777777" w:rsidR="00FD0545" w:rsidRPr="00CD78CA" w:rsidRDefault="00FD0545" w:rsidP="00026782">
            <w:pPr>
              <w:rPr>
                <w:rFonts w:eastAsia="Calibri"/>
                <w:b/>
                <w:bCs/>
                <w:sz w:val="20"/>
                <w:szCs w:val="20"/>
              </w:rPr>
            </w:pPr>
          </w:p>
        </w:tc>
        <w:tc>
          <w:tcPr>
            <w:tcW w:w="1863" w:type="dxa"/>
            <w:shd w:val="clear" w:color="auto" w:fill="DBDBDB"/>
            <w:vAlign w:val="center"/>
          </w:tcPr>
          <w:p w14:paraId="71BBE17F"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4FC6C8EF"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1817662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0,25 pont</w:t>
            </w:r>
          </w:p>
        </w:tc>
        <w:tc>
          <w:tcPr>
            <w:tcW w:w="1293" w:type="dxa"/>
            <w:shd w:val="clear" w:color="auto" w:fill="DBDBDB"/>
            <w:vAlign w:val="center"/>
          </w:tcPr>
          <w:p w14:paraId="54B673CE"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61B22117" w14:textId="77777777" w:rsidTr="00026782">
        <w:trPr>
          <w:trHeight w:val="20"/>
          <w:jc w:val="center"/>
        </w:trPr>
        <w:tc>
          <w:tcPr>
            <w:tcW w:w="2182" w:type="dxa"/>
            <w:vMerge/>
            <w:tcBorders>
              <w:left w:val="single" w:sz="4" w:space="0" w:color="FFFFFF"/>
            </w:tcBorders>
            <w:shd w:val="clear" w:color="auto" w:fill="A5A5A5"/>
          </w:tcPr>
          <w:p w14:paraId="7AD61DA3"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033BED6E" w14:textId="77777777" w:rsidR="00FD0545" w:rsidRPr="00CD78CA" w:rsidRDefault="00FD0545" w:rsidP="00026782">
            <w:pPr>
              <w:rPr>
                <w:rFonts w:eastAsia="Calibri"/>
                <w:b/>
                <w:bCs/>
                <w:sz w:val="20"/>
                <w:szCs w:val="20"/>
              </w:rPr>
            </w:pPr>
          </w:p>
        </w:tc>
        <w:tc>
          <w:tcPr>
            <w:tcW w:w="1863" w:type="dxa"/>
            <w:shd w:val="clear" w:color="auto" w:fill="EDEDED"/>
            <w:vAlign w:val="center"/>
          </w:tcPr>
          <w:p w14:paraId="2D104823"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64AC42E1"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3F8E8C41"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EDEDED"/>
            <w:vAlign w:val="center"/>
          </w:tcPr>
          <w:p w14:paraId="5AA75D46" w14:textId="77777777" w:rsidR="00FD0545" w:rsidRPr="00CD78CA" w:rsidRDefault="00FD0545" w:rsidP="00026782">
            <w:pPr>
              <w:jc w:val="center"/>
              <w:rPr>
                <w:rFonts w:eastAsia="Calibri"/>
                <w:b/>
                <w:bCs/>
                <w:color w:val="000000"/>
                <w:sz w:val="20"/>
                <w:szCs w:val="20"/>
              </w:rPr>
            </w:pPr>
          </w:p>
        </w:tc>
      </w:tr>
      <w:tr w:rsidR="00FD0545" w:rsidRPr="00C376DE" w14:paraId="3EB16C17" w14:textId="77777777" w:rsidTr="00026782">
        <w:trPr>
          <w:trHeight w:val="20"/>
          <w:jc w:val="center"/>
        </w:trPr>
        <w:tc>
          <w:tcPr>
            <w:tcW w:w="2182" w:type="dxa"/>
            <w:vMerge/>
            <w:tcBorders>
              <w:left w:val="single" w:sz="4" w:space="0" w:color="FFFFFF"/>
            </w:tcBorders>
            <w:shd w:val="clear" w:color="auto" w:fill="A5A5A5"/>
          </w:tcPr>
          <w:p w14:paraId="09AC6752"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360460D9" w14:textId="77777777" w:rsidR="00FD0545" w:rsidRPr="00CD78CA" w:rsidRDefault="00FD0545" w:rsidP="00026782">
            <w:pPr>
              <w:rPr>
                <w:rFonts w:eastAsia="Calibri"/>
                <w:b/>
                <w:bCs/>
                <w:sz w:val="20"/>
                <w:szCs w:val="20"/>
              </w:rPr>
            </w:pPr>
          </w:p>
        </w:tc>
        <w:tc>
          <w:tcPr>
            <w:tcW w:w="1863" w:type="dxa"/>
            <w:shd w:val="clear" w:color="auto" w:fill="DBDBDB"/>
            <w:vAlign w:val="center"/>
          </w:tcPr>
          <w:p w14:paraId="6104372D"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79C5AB16"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2F4160D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0,5 pont</w:t>
            </w:r>
          </w:p>
        </w:tc>
        <w:tc>
          <w:tcPr>
            <w:tcW w:w="1293" w:type="dxa"/>
            <w:shd w:val="clear" w:color="auto" w:fill="DBDBDB"/>
            <w:vAlign w:val="center"/>
          </w:tcPr>
          <w:p w14:paraId="7A2D80C1" w14:textId="77777777" w:rsidR="00FD0545" w:rsidRPr="00CD78CA" w:rsidRDefault="00FD0545" w:rsidP="00026782">
            <w:pPr>
              <w:jc w:val="center"/>
              <w:rPr>
                <w:rFonts w:eastAsia="Calibri"/>
                <w:b/>
                <w:bCs/>
                <w:color w:val="000000"/>
                <w:sz w:val="20"/>
                <w:szCs w:val="20"/>
              </w:rPr>
            </w:pPr>
          </w:p>
        </w:tc>
      </w:tr>
      <w:tr w:rsidR="00FD0545" w:rsidRPr="00C376DE" w14:paraId="7F3C0847" w14:textId="77777777" w:rsidTr="00026782">
        <w:trPr>
          <w:trHeight w:val="20"/>
          <w:jc w:val="center"/>
        </w:trPr>
        <w:tc>
          <w:tcPr>
            <w:tcW w:w="2182" w:type="dxa"/>
            <w:vMerge/>
            <w:tcBorders>
              <w:left w:val="single" w:sz="4" w:space="0" w:color="FFFFFF"/>
            </w:tcBorders>
            <w:shd w:val="clear" w:color="auto" w:fill="A5A5A5"/>
          </w:tcPr>
          <w:p w14:paraId="378C917D"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26B627CD" w14:textId="77777777" w:rsidR="00FD0545" w:rsidRPr="00CD78CA" w:rsidRDefault="00FD0545" w:rsidP="00026782">
            <w:pPr>
              <w:rPr>
                <w:rFonts w:eastAsia="Calibri"/>
                <w:b/>
                <w:bCs/>
                <w:sz w:val="20"/>
                <w:szCs w:val="20"/>
              </w:rPr>
            </w:pPr>
          </w:p>
        </w:tc>
        <w:tc>
          <w:tcPr>
            <w:tcW w:w="1863" w:type="dxa"/>
            <w:shd w:val="clear" w:color="auto" w:fill="EDEDED"/>
            <w:vAlign w:val="center"/>
          </w:tcPr>
          <w:p w14:paraId="3521B093"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687FCDB8"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0A03EF47"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0,1</w:t>
            </w:r>
          </w:p>
        </w:tc>
        <w:tc>
          <w:tcPr>
            <w:tcW w:w="1293" w:type="dxa"/>
            <w:shd w:val="clear" w:color="auto" w:fill="EDEDED"/>
            <w:vAlign w:val="center"/>
          </w:tcPr>
          <w:p w14:paraId="53FF2BB1"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69109FFA" w14:textId="77777777" w:rsidTr="00026782">
        <w:trPr>
          <w:trHeight w:val="20"/>
          <w:jc w:val="center"/>
        </w:trPr>
        <w:tc>
          <w:tcPr>
            <w:tcW w:w="2182" w:type="dxa"/>
            <w:vMerge w:val="restart"/>
            <w:tcBorders>
              <w:left w:val="single" w:sz="4" w:space="0" w:color="FFFFFF"/>
            </w:tcBorders>
            <w:shd w:val="clear" w:color="auto" w:fill="A5A5A5"/>
          </w:tcPr>
          <w:p w14:paraId="3D1689F9" w14:textId="77777777" w:rsidR="00FD0545" w:rsidRPr="00CD78CA" w:rsidRDefault="00FD0545" w:rsidP="00026782">
            <w:pPr>
              <w:rPr>
                <w:rFonts w:eastAsia="Calibri"/>
                <w:b/>
                <w:bCs/>
                <w:sz w:val="20"/>
                <w:szCs w:val="20"/>
              </w:rPr>
            </w:pPr>
            <w:r w:rsidRPr="00CD78CA">
              <w:rPr>
                <w:rFonts w:eastAsia="Calibri"/>
                <w:b/>
                <w:bCs/>
                <w:sz w:val="20"/>
                <w:szCs w:val="20"/>
              </w:rPr>
              <w:t>III. Konferenciaközlemény (folyóiratban vagy konferenciakötetben)</w:t>
            </w:r>
          </w:p>
        </w:tc>
        <w:tc>
          <w:tcPr>
            <w:tcW w:w="1214" w:type="dxa"/>
            <w:vMerge w:val="restart"/>
            <w:shd w:val="clear" w:color="auto" w:fill="DBDBDB"/>
          </w:tcPr>
          <w:p w14:paraId="24B7EACD" w14:textId="77777777" w:rsidR="00FD0545" w:rsidRPr="00CD78CA" w:rsidRDefault="00FD0545" w:rsidP="00026782">
            <w:pPr>
              <w:rPr>
                <w:rFonts w:eastAsia="Calibri"/>
                <w:b/>
                <w:bCs/>
                <w:sz w:val="20"/>
                <w:szCs w:val="20"/>
              </w:rPr>
            </w:pPr>
            <w:r w:rsidRPr="00CD78CA">
              <w:rPr>
                <w:rFonts w:eastAsia="Calibri"/>
                <w:sz w:val="20"/>
                <w:szCs w:val="20"/>
              </w:rPr>
              <w:t>Idegen nyelven</w:t>
            </w:r>
          </w:p>
        </w:tc>
        <w:tc>
          <w:tcPr>
            <w:tcW w:w="1863" w:type="dxa"/>
            <w:shd w:val="clear" w:color="auto" w:fill="DBDBDB"/>
            <w:vAlign w:val="center"/>
          </w:tcPr>
          <w:p w14:paraId="3EB7900B"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231DBA1C"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46797BE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6 pont</w:t>
            </w:r>
          </w:p>
        </w:tc>
        <w:tc>
          <w:tcPr>
            <w:tcW w:w="1293" w:type="dxa"/>
            <w:shd w:val="clear" w:color="auto" w:fill="DBDBDB"/>
            <w:vAlign w:val="center"/>
          </w:tcPr>
          <w:p w14:paraId="3D93C59B" w14:textId="77777777" w:rsidR="00FD0545" w:rsidRPr="00CD78CA" w:rsidRDefault="00FD0545" w:rsidP="00026782">
            <w:pPr>
              <w:jc w:val="center"/>
              <w:rPr>
                <w:rFonts w:eastAsia="Calibri"/>
                <w:b/>
                <w:bCs/>
                <w:color w:val="000000"/>
                <w:sz w:val="20"/>
                <w:szCs w:val="20"/>
              </w:rPr>
            </w:pPr>
          </w:p>
        </w:tc>
      </w:tr>
      <w:tr w:rsidR="00FD0545" w:rsidRPr="00C376DE" w14:paraId="090AD7D5" w14:textId="77777777" w:rsidTr="00026782">
        <w:trPr>
          <w:trHeight w:val="20"/>
          <w:jc w:val="center"/>
        </w:trPr>
        <w:tc>
          <w:tcPr>
            <w:tcW w:w="2182" w:type="dxa"/>
            <w:vMerge/>
            <w:tcBorders>
              <w:left w:val="single" w:sz="4" w:space="0" w:color="FFFFFF"/>
            </w:tcBorders>
            <w:shd w:val="clear" w:color="auto" w:fill="A5A5A5"/>
          </w:tcPr>
          <w:p w14:paraId="3DD61D67"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5A32BB41" w14:textId="77777777" w:rsidR="00FD0545" w:rsidRPr="00CD78CA" w:rsidRDefault="00FD0545" w:rsidP="00026782">
            <w:pPr>
              <w:rPr>
                <w:rFonts w:eastAsia="Calibri"/>
                <w:b/>
                <w:bCs/>
                <w:sz w:val="20"/>
                <w:szCs w:val="20"/>
              </w:rPr>
            </w:pPr>
          </w:p>
        </w:tc>
        <w:tc>
          <w:tcPr>
            <w:tcW w:w="1863" w:type="dxa"/>
            <w:shd w:val="clear" w:color="auto" w:fill="EDEDED"/>
            <w:vAlign w:val="center"/>
          </w:tcPr>
          <w:p w14:paraId="67468759"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17C36043"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3D50B8A4"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3 pont</w:t>
            </w:r>
          </w:p>
        </w:tc>
        <w:tc>
          <w:tcPr>
            <w:tcW w:w="1293" w:type="dxa"/>
            <w:shd w:val="clear" w:color="auto" w:fill="EDEDED"/>
            <w:vAlign w:val="center"/>
          </w:tcPr>
          <w:p w14:paraId="5CC83E4C" w14:textId="77777777" w:rsidR="00FD0545" w:rsidRPr="00CD78CA" w:rsidRDefault="00FD0545" w:rsidP="00026782">
            <w:pPr>
              <w:jc w:val="center"/>
              <w:rPr>
                <w:rFonts w:eastAsia="Calibri"/>
                <w:b/>
                <w:bCs/>
                <w:color w:val="000000"/>
                <w:sz w:val="20"/>
                <w:szCs w:val="20"/>
              </w:rPr>
            </w:pPr>
          </w:p>
        </w:tc>
      </w:tr>
      <w:tr w:rsidR="00FD0545" w:rsidRPr="00C376DE" w14:paraId="278B72D4" w14:textId="77777777" w:rsidTr="00026782">
        <w:trPr>
          <w:trHeight w:val="20"/>
          <w:jc w:val="center"/>
        </w:trPr>
        <w:tc>
          <w:tcPr>
            <w:tcW w:w="2182" w:type="dxa"/>
            <w:vMerge/>
            <w:tcBorders>
              <w:left w:val="single" w:sz="4" w:space="0" w:color="FFFFFF"/>
            </w:tcBorders>
            <w:shd w:val="clear" w:color="auto" w:fill="A5A5A5"/>
          </w:tcPr>
          <w:p w14:paraId="0006C147"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1E316B6E" w14:textId="77777777" w:rsidR="00FD0545" w:rsidRPr="00CD78CA" w:rsidRDefault="00FD0545" w:rsidP="00026782">
            <w:pPr>
              <w:rPr>
                <w:rFonts w:eastAsia="Calibri"/>
                <w:b/>
                <w:bCs/>
                <w:sz w:val="20"/>
                <w:szCs w:val="20"/>
              </w:rPr>
            </w:pPr>
          </w:p>
        </w:tc>
        <w:tc>
          <w:tcPr>
            <w:tcW w:w="1863" w:type="dxa"/>
            <w:shd w:val="clear" w:color="auto" w:fill="DBDBDB"/>
            <w:vAlign w:val="center"/>
          </w:tcPr>
          <w:p w14:paraId="68F31BFF"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51860696"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1DB7997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DBDBDB"/>
            <w:vAlign w:val="center"/>
          </w:tcPr>
          <w:p w14:paraId="2788009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34D03F15" w14:textId="77777777" w:rsidTr="00026782">
        <w:trPr>
          <w:trHeight w:val="20"/>
          <w:jc w:val="center"/>
        </w:trPr>
        <w:tc>
          <w:tcPr>
            <w:tcW w:w="2182" w:type="dxa"/>
            <w:vMerge/>
            <w:tcBorders>
              <w:left w:val="single" w:sz="4" w:space="0" w:color="FFFFFF"/>
            </w:tcBorders>
            <w:shd w:val="clear" w:color="auto" w:fill="A5A5A5"/>
          </w:tcPr>
          <w:p w14:paraId="2BC0FDEB"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25D9DE1D" w14:textId="77777777" w:rsidR="00FD0545" w:rsidRPr="00CD78CA" w:rsidRDefault="00FD0545" w:rsidP="00026782">
            <w:pPr>
              <w:rPr>
                <w:rFonts w:eastAsia="Calibri"/>
                <w:b/>
                <w:bCs/>
                <w:sz w:val="20"/>
                <w:szCs w:val="20"/>
              </w:rPr>
            </w:pPr>
          </w:p>
        </w:tc>
        <w:tc>
          <w:tcPr>
            <w:tcW w:w="1863" w:type="dxa"/>
            <w:shd w:val="clear" w:color="auto" w:fill="EDEDED"/>
            <w:vAlign w:val="center"/>
          </w:tcPr>
          <w:p w14:paraId="322ACBCA"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2ED8C246"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4CA1D29E"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3 pont</w:t>
            </w:r>
          </w:p>
        </w:tc>
        <w:tc>
          <w:tcPr>
            <w:tcW w:w="1293" w:type="dxa"/>
            <w:shd w:val="clear" w:color="auto" w:fill="EDEDED"/>
            <w:vAlign w:val="center"/>
          </w:tcPr>
          <w:p w14:paraId="7719D368" w14:textId="77777777" w:rsidR="00FD0545" w:rsidRPr="00CD78CA" w:rsidRDefault="00FD0545" w:rsidP="00026782">
            <w:pPr>
              <w:jc w:val="center"/>
              <w:rPr>
                <w:rFonts w:eastAsia="Calibri"/>
                <w:b/>
                <w:bCs/>
                <w:color w:val="000000"/>
                <w:sz w:val="20"/>
                <w:szCs w:val="20"/>
              </w:rPr>
            </w:pPr>
          </w:p>
        </w:tc>
      </w:tr>
      <w:tr w:rsidR="00FD0545" w:rsidRPr="00C376DE" w14:paraId="7CA2A794" w14:textId="77777777" w:rsidTr="00026782">
        <w:trPr>
          <w:trHeight w:val="20"/>
          <w:jc w:val="center"/>
        </w:trPr>
        <w:tc>
          <w:tcPr>
            <w:tcW w:w="2182" w:type="dxa"/>
            <w:vMerge/>
            <w:tcBorders>
              <w:left w:val="single" w:sz="4" w:space="0" w:color="FFFFFF"/>
            </w:tcBorders>
            <w:shd w:val="clear" w:color="auto" w:fill="A5A5A5"/>
          </w:tcPr>
          <w:p w14:paraId="3410DDAC"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0614EF8C" w14:textId="77777777" w:rsidR="00FD0545" w:rsidRPr="00CD78CA" w:rsidRDefault="00FD0545" w:rsidP="00026782">
            <w:pPr>
              <w:rPr>
                <w:rFonts w:eastAsia="Calibri"/>
                <w:b/>
                <w:bCs/>
                <w:sz w:val="20"/>
                <w:szCs w:val="20"/>
              </w:rPr>
            </w:pPr>
          </w:p>
        </w:tc>
        <w:tc>
          <w:tcPr>
            <w:tcW w:w="1863" w:type="dxa"/>
            <w:shd w:val="clear" w:color="auto" w:fill="DBDBDB"/>
            <w:vAlign w:val="center"/>
          </w:tcPr>
          <w:p w14:paraId="6C367C16"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01435AF9"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1005A30E"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1,5 pont</w:t>
            </w:r>
          </w:p>
        </w:tc>
        <w:tc>
          <w:tcPr>
            <w:tcW w:w="1293" w:type="dxa"/>
            <w:shd w:val="clear" w:color="auto" w:fill="DBDBDB"/>
            <w:vAlign w:val="center"/>
          </w:tcPr>
          <w:p w14:paraId="434D0416" w14:textId="77777777" w:rsidR="00FD0545" w:rsidRPr="00CD78CA" w:rsidRDefault="00FD0545" w:rsidP="00026782">
            <w:pPr>
              <w:jc w:val="center"/>
              <w:rPr>
                <w:rFonts w:eastAsia="Calibri"/>
                <w:b/>
                <w:bCs/>
                <w:color w:val="000000"/>
                <w:sz w:val="20"/>
                <w:szCs w:val="20"/>
              </w:rPr>
            </w:pPr>
          </w:p>
        </w:tc>
      </w:tr>
      <w:tr w:rsidR="00FD0545" w:rsidRPr="00C376DE" w14:paraId="13865A59" w14:textId="77777777" w:rsidTr="00026782">
        <w:trPr>
          <w:trHeight w:val="20"/>
          <w:jc w:val="center"/>
        </w:trPr>
        <w:tc>
          <w:tcPr>
            <w:tcW w:w="2182" w:type="dxa"/>
            <w:vMerge/>
            <w:tcBorders>
              <w:left w:val="single" w:sz="4" w:space="0" w:color="FFFFFF"/>
            </w:tcBorders>
            <w:shd w:val="clear" w:color="auto" w:fill="A5A5A5"/>
          </w:tcPr>
          <w:p w14:paraId="0703CA5C"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3776ECFC" w14:textId="77777777" w:rsidR="00FD0545" w:rsidRPr="00CD78CA" w:rsidRDefault="00FD0545" w:rsidP="00026782">
            <w:pPr>
              <w:rPr>
                <w:rFonts w:eastAsia="Calibri"/>
                <w:b/>
                <w:bCs/>
                <w:sz w:val="20"/>
                <w:szCs w:val="20"/>
              </w:rPr>
            </w:pPr>
          </w:p>
        </w:tc>
        <w:tc>
          <w:tcPr>
            <w:tcW w:w="1863" w:type="dxa"/>
            <w:shd w:val="clear" w:color="auto" w:fill="EDEDED"/>
            <w:vAlign w:val="center"/>
          </w:tcPr>
          <w:p w14:paraId="686E56E9"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6C0920E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35402C37"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0,5 pont</w:t>
            </w:r>
          </w:p>
        </w:tc>
        <w:tc>
          <w:tcPr>
            <w:tcW w:w="1293" w:type="dxa"/>
            <w:shd w:val="clear" w:color="auto" w:fill="EDEDED"/>
            <w:vAlign w:val="center"/>
          </w:tcPr>
          <w:p w14:paraId="79ECFBD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7C35FCB3" w14:textId="77777777" w:rsidTr="00026782">
        <w:trPr>
          <w:trHeight w:val="20"/>
          <w:jc w:val="center"/>
        </w:trPr>
        <w:tc>
          <w:tcPr>
            <w:tcW w:w="2182" w:type="dxa"/>
            <w:vMerge/>
            <w:tcBorders>
              <w:left w:val="single" w:sz="4" w:space="0" w:color="FFFFFF"/>
            </w:tcBorders>
            <w:shd w:val="clear" w:color="auto" w:fill="A5A5A5"/>
          </w:tcPr>
          <w:p w14:paraId="2444C9E5" w14:textId="77777777" w:rsidR="00FD0545" w:rsidRPr="00CD78CA" w:rsidRDefault="00FD0545" w:rsidP="00026782">
            <w:pPr>
              <w:rPr>
                <w:rFonts w:eastAsia="Calibri"/>
                <w:b/>
                <w:bCs/>
                <w:color w:val="FFFFFF"/>
                <w:sz w:val="20"/>
                <w:szCs w:val="20"/>
              </w:rPr>
            </w:pPr>
          </w:p>
        </w:tc>
        <w:tc>
          <w:tcPr>
            <w:tcW w:w="1214" w:type="dxa"/>
            <w:vMerge w:val="restart"/>
            <w:shd w:val="clear" w:color="auto" w:fill="DBDBDB"/>
          </w:tcPr>
          <w:p w14:paraId="7E022D8E" w14:textId="77777777" w:rsidR="00FD0545" w:rsidRPr="00CD78CA" w:rsidRDefault="00FD0545" w:rsidP="00026782">
            <w:pPr>
              <w:rPr>
                <w:rFonts w:eastAsia="Calibri"/>
                <w:b/>
                <w:bCs/>
                <w:sz w:val="20"/>
                <w:szCs w:val="20"/>
              </w:rPr>
            </w:pPr>
            <w:r w:rsidRPr="00CD78CA">
              <w:rPr>
                <w:rFonts w:eastAsia="Calibri"/>
                <w:sz w:val="20"/>
                <w:szCs w:val="20"/>
              </w:rPr>
              <w:t>Magyar nyelven</w:t>
            </w:r>
          </w:p>
        </w:tc>
        <w:tc>
          <w:tcPr>
            <w:tcW w:w="1863" w:type="dxa"/>
            <w:shd w:val="clear" w:color="auto" w:fill="DBDBDB"/>
            <w:vAlign w:val="center"/>
          </w:tcPr>
          <w:p w14:paraId="349A98D9"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29E684D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0B82F4F0"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4 pont</w:t>
            </w:r>
          </w:p>
        </w:tc>
        <w:tc>
          <w:tcPr>
            <w:tcW w:w="1293" w:type="dxa"/>
            <w:shd w:val="clear" w:color="auto" w:fill="DBDBDB"/>
            <w:vAlign w:val="center"/>
          </w:tcPr>
          <w:p w14:paraId="39FB63F2" w14:textId="77777777" w:rsidR="00FD0545" w:rsidRPr="00CD78CA" w:rsidRDefault="00FD0545" w:rsidP="00026782">
            <w:pPr>
              <w:jc w:val="center"/>
              <w:rPr>
                <w:rFonts w:eastAsia="Calibri"/>
                <w:b/>
                <w:bCs/>
                <w:color w:val="000000"/>
                <w:sz w:val="20"/>
                <w:szCs w:val="20"/>
              </w:rPr>
            </w:pPr>
          </w:p>
        </w:tc>
      </w:tr>
      <w:tr w:rsidR="00FD0545" w:rsidRPr="00C376DE" w14:paraId="2E0B9E92" w14:textId="77777777" w:rsidTr="00026782">
        <w:trPr>
          <w:trHeight w:val="20"/>
          <w:jc w:val="center"/>
        </w:trPr>
        <w:tc>
          <w:tcPr>
            <w:tcW w:w="2182" w:type="dxa"/>
            <w:vMerge/>
            <w:tcBorders>
              <w:left w:val="single" w:sz="4" w:space="0" w:color="FFFFFF"/>
            </w:tcBorders>
            <w:shd w:val="clear" w:color="auto" w:fill="A5A5A5"/>
          </w:tcPr>
          <w:p w14:paraId="3E2C4B4D"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44518E95" w14:textId="77777777" w:rsidR="00FD0545" w:rsidRPr="00CD78CA" w:rsidRDefault="00FD0545" w:rsidP="00026782">
            <w:pPr>
              <w:rPr>
                <w:rFonts w:eastAsia="Calibri"/>
                <w:b/>
                <w:bCs/>
                <w:sz w:val="20"/>
                <w:szCs w:val="20"/>
              </w:rPr>
            </w:pPr>
          </w:p>
        </w:tc>
        <w:tc>
          <w:tcPr>
            <w:tcW w:w="1863" w:type="dxa"/>
            <w:shd w:val="clear" w:color="auto" w:fill="EDEDED"/>
            <w:vAlign w:val="center"/>
          </w:tcPr>
          <w:p w14:paraId="07D7BA28"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EDEDED"/>
            <w:vAlign w:val="center"/>
          </w:tcPr>
          <w:p w14:paraId="7A0D43B4"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69EB52EA"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EDEDED"/>
            <w:vAlign w:val="center"/>
          </w:tcPr>
          <w:p w14:paraId="03D8C509" w14:textId="77777777" w:rsidR="00FD0545" w:rsidRPr="00CD78CA" w:rsidRDefault="00FD0545" w:rsidP="00026782">
            <w:pPr>
              <w:jc w:val="center"/>
              <w:rPr>
                <w:rFonts w:eastAsia="Calibri"/>
                <w:b/>
                <w:bCs/>
                <w:color w:val="000000"/>
                <w:sz w:val="20"/>
                <w:szCs w:val="20"/>
              </w:rPr>
            </w:pPr>
          </w:p>
        </w:tc>
      </w:tr>
      <w:tr w:rsidR="00FD0545" w:rsidRPr="00C376DE" w14:paraId="434B5102" w14:textId="77777777" w:rsidTr="00026782">
        <w:trPr>
          <w:trHeight w:val="20"/>
          <w:jc w:val="center"/>
        </w:trPr>
        <w:tc>
          <w:tcPr>
            <w:tcW w:w="2182" w:type="dxa"/>
            <w:vMerge/>
            <w:tcBorders>
              <w:left w:val="single" w:sz="4" w:space="0" w:color="FFFFFF"/>
            </w:tcBorders>
            <w:shd w:val="clear" w:color="auto" w:fill="A5A5A5"/>
          </w:tcPr>
          <w:p w14:paraId="0ECF18A4"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39F0F7A3" w14:textId="77777777" w:rsidR="00FD0545" w:rsidRPr="00CD78CA" w:rsidRDefault="00FD0545" w:rsidP="00026782">
            <w:pPr>
              <w:rPr>
                <w:rFonts w:eastAsia="Calibri"/>
                <w:b/>
                <w:bCs/>
                <w:sz w:val="20"/>
                <w:szCs w:val="20"/>
              </w:rPr>
            </w:pPr>
          </w:p>
        </w:tc>
        <w:tc>
          <w:tcPr>
            <w:tcW w:w="1863" w:type="dxa"/>
            <w:shd w:val="clear" w:color="auto" w:fill="DBDBDB"/>
            <w:vAlign w:val="center"/>
          </w:tcPr>
          <w:p w14:paraId="6C58FA8F"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rendelkező</w:t>
            </w:r>
          </w:p>
        </w:tc>
        <w:tc>
          <w:tcPr>
            <w:tcW w:w="1309" w:type="dxa"/>
            <w:shd w:val="clear" w:color="auto" w:fill="DBDBDB"/>
            <w:vAlign w:val="center"/>
          </w:tcPr>
          <w:p w14:paraId="2C9131B1"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592C22F3"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0,5 pont</w:t>
            </w:r>
          </w:p>
        </w:tc>
        <w:tc>
          <w:tcPr>
            <w:tcW w:w="1293" w:type="dxa"/>
            <w:shd w:val="clear" w:color="auto" w:fill="DBDBDB"/>
            <w:vAlign w:val="center"/>
          </w:tcPr>
          <w:p w14:paraId="0D45A157"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36451E99" w14:textId="77777777" w:rsidTr="00026782">
        <w:trPr>
          <w:trHeight w:val="20"/>
          <w:jc w:val="center"/>
        </w:trPr>
        <w:tc>
          <w:tcPr>
            <w:tcW w:w="2182" w:type="dxa"/>
            <w:vMerge/>
            <w:tcBorders>
              <w:left w:val="single" w:sz="4" w:space="0" w:color="FFFFFF"/>
            </w:tcBorders>
            <w:shd w:val="clear" w:color="auto" w:fill="A5A5A5"/>
          </w:tcPr>
          <w:p w14:paraId="3B6FA1BA"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449C3AE8" w14:textId="77777777" w:rsidR="00FD0545" w:rsidRPr="00CD78CA" w:rsidRDefault="00FD0545" w:rsidP="00026782">
            <w:pPr>
              <w:rPr>
                <w:rFonts w:eastAsia="Calibri"/>
                <w:b/>
                <w:bCs/>
                <w:sz w:val="20"/>
                <w:szCs w:val="20"/>
              </w:rPr>
            </w:pPr>
          </w:p>
        </w:tc>
        <w:tc>
          <w:tcPr>
            <w:tcW w:w="1863" w:type="dxa"/>
            <w:shd w:val="clear" w:color="auto" w:fill="EDEDED"/>
            <w:vAlign w:val="center"/>
          </w:tcPr>
          <w:p w14:paraId="388CA40F"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Első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067E9BC2"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422A1FD1"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EDEDED"/>
            <w:vAlign w:val="center"/>
          </w:tcPr>
          <w:p w14:paraId="6513738F" w14:textId="77777777" w:rsidR="00FD0545" w:rsidRPr="00CD78CA" w:rsidRDefault="00FD0545" w:rsidP="00026782">
            <w:pPr>
              <w:jc w:val="center"/>
              <w:rPr>
                <w:rFonts w:eastAsia="Calibri"/>
                <w:b/>
                <w:bCs/>
                <w:color w:val="000000"/>
                <w:sz w:val="20"/>
                <w:szCs w:val="20"/>
              </w:rPr>
            </w:pPr>
          </w:p>
        </w:tc>
      </w:tr>
      <w:tr w:rsidR="00FD0545" w:rsidRPr="00C376DE" w14:paraId="3A1640C0" w14:textId="77777777" w:rsidTr="00026782">
        <w:trPr>
          <w:trHeight w:val="20"/>
          <w:jc w:val="center"/>
        </w:trPr>
        <w:tc>
          <w:tcPr>
            <w:tcW w:w="2182" w:type="dxa"/>
            <w:vMerge/>
            <w:tcBorders>
              <w:left w:val="single" w:sz="4" w:space="0" w:color="FFFFFF"/>
            </w:tcBorders>
            <w:shd w:val="clear" w:color="auto" w:fill="A5A5A5"/>
          </w:tcPr>
          <w:p w14:paraId="14B3B1C5"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4CB79268" w14:textId="77777777" w:rsidR="00FD0545" w:rsidRPr="00CD78CA" w:rsidRDefault="00FD0545" w:rsidP="00026782">
            <w:pPr>
              <w:rPr>
                <w:rFonts w:eastAsia="Calibri"/>
                <w:b/>
                <w:bCs/>
                <w:sz w:val="20"/>
                <w:szCs w:val="20"/>
              </w:rPr>
            </w:pPr>
          </w:p>
        </w:tc>
        <w:tc>
          <w:tcPr>
            <w:tcW w:w="1863" w:type="dxa"/>
            <w:shd w:val="clear" w:color="auto" w:fill="DBDBDB"/>
            <w:vAlign w:val="center"/>
          </w:tcPr>
          <w:p w14:paraId="39787054"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Utolsó 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DBDBDB"/>
            <w:vAlign w:val="center"/>
          </w:tcPr>
          <w:p w14:paraId="5C7A2A78"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DBDBDB"/>
            <w:vAlign w:val="center"/>
          </w:tcPr>
          <w:p w14:paraId="55BC234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DBDBDB"/>
            <w:vAlign w:val="center"/>
          </w:tcPr>
          <w:p w14:paraId="2DA1FA90" w14:textId="77777777" w:rsidR="00FD0545" w:rsidRPr="00CD78CA" w:rsidRDefault="00FD0545" w:rsidP="00026782">
            <w:pPr>
              <w:jc w:val="center"/>
              <w:rPr>
                <w:rFonts w:eastAsia="Calibri"/>
                <w:b/>
                <w:bCs/>
                <w:color w:val="000000"/>
                <w:sz w:val="20"/>
                <w:szCs w:val="20"/>
              </w:rPr>
            </w:pPr>
          </w:p>
        </w:tc>
      </w:tr>
      <w:tr w:rsidR="00FD0545" w:rsidRPr="00C376DE" w14:paraId="1E631F30" w14:textId="77777777" w:rsidTr="00026782">
        <w:trPr>
          <w:trHeight w:val="1225"/>
          <w:jc w:val="center"/>
        </w:trPr>
        <w:tc>
          <w:tcPr>
            <w:tcW w:w="2182" w:type="dxa"/>
            <w:vMerge/>
            <w:tcBorders>
              <w:left w:val="single" w:sz="4" w:space="0" w:color="FFFFFF"/>
            </w:tcBorders>
            <w:shd w:val="clear" w:color="auto" w:fill="A5A5A5"/>
          </w:tcPr>
          <w:p w14:paraId="02BEE8CF"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70F6059E" w14:textId="77777777" w:rsidR="00FD0545" w:rsidRPr="00CD78CA" w:rsidRDefault="00FD0545" w:rsidP="00026782">
            <w:pPr>
              <w:rPr>
                <w:rFonts w:eastAsia="Calibri"/>
                <w:b/>
                <w:bCs/>
                <w:sz w:val="20"/>
                <w:szCs w:val="20"/>
              </w:rPr>
            </w:pPr>
          </w:p>
        </w:tc>
        <w:tc>
          <w:tcPr>
            <w:tcW w:w="1863" w:type="dxa"/>
            <w:shd w:val="clear" w:color="auto" w:fill="EDEDED"/>
            <w:vAlign w:val="center"/>
          </w:tcPr>
          <w:p w14:paraId="294275FD" w14:textId="77777777" w:rsidR="00FD0545" w:rsidRPr="00CD78CA" w:rsidRDefault="00FD0545" w:rsidP="00026782">
            <w:pPr>
              <w:rPr>
                <w:rFonts w:eastAsia="Calibri"/>
                <w:b/>
                <w:bCs/>
                <w:color w:val="000000"/>
                <w:sz w:val="20"/>
                <w:szCs w:val="20"/>
              </w:rPr>
            </w:pPr>
            <w:r w:rsidRPr="00CD78CA">
              <w:rPr>
                <w:rFonts w:eastAsia="Calibri"/>
                <w:sz w:val="20"/>
                <w:szCs w:val="20"/>
              </w:rPr>
              <w:t xml:space="preserve">Társszerzős </w:t>
            </w:r>
            <w:proofErr w:type="spellStart"/>
            <w:r w:rsidRPr="00CD78CA">
              <w:rPr>
                <w:rFonts w:eastAsia="Calibri"/>
                <w:sz w:val="20"/>
                <w:szCs w:val="20"/>
              </w:rPr>
              <w:t>impakt</w:t>
            </w:r>
            <w:proofErr w:type="spellEnd"/>
            <w:r w:rsidRPr="00CD78CA">
              <w:rPr>
                <w:rFonts w:eastAsia="Calibri"/>
                <w:sz w:val="20"/>
                <w:szCs w:val="20"/>
              </w:rPr>
              <w:t xml:space="preserve"> </w:t>
            </w:r>
            <w:proofErr w:type="gramStart"/>
            <w:r w:rsidRPr="00CD78CA">
              <w:rPr>
                <w:rFonts w:eastAsia="Calibri"/>
                <w:sz w:val="20"/>
                <w:szCs w:val="20"/>
              </w:rPr>
              <w:t>faktorral</w:t>
            </w:r>
            <w:proofErr w:type="gramEnd"/>
            <w:r w:rsidRPr="00CD78CA">
              <w:rPr>
                <w:rFonts w:eastAsia="Calibri"/>
                <w:sz w:val="20"/>
                <w:szCs w:val="20"/>
              </w:rPr>
              <w:t xml:space="preserve"> NEM rendelkező</w:t>
            </w:r>
          </w:p>
        </w:tc>
        <w:tc>
          <w:tcPr>
            <w:tcW w:w="1309" w:type="dxa"/>
            <w:shd w:val="clear" w:color="auto" w:fill="EDEDED"/>
            <w:vAlign w:val="center"/>
          </w:tcPr>
          <w:p w14:paraId="75B53191" w14:textId="77777777" w:rsidR="00FD0545" w:rsidRPr="00CD78CA" w:rsidRDefault="00FD0545" w:rsidP="00026782">
            <w:pPr>
              <w:jc w:val="center"/>
              <w:rPr>
                <w:rFonts w:eastAsia="Calibri"/>
                <w:b/>
                <w:bCs/>
                <w:color w:val="000000"/>
                <w:sz w:val="20"/>
                <w:szCs w:val="20"/>
              </w:rPr>
            </w:pPr>
            <w:r w:rsidRPr="00CD78CA">
              <w:rPr>
                <w:rFonts w:eastAsia="Calibri"/>
                <w:sz w:val="20"/>
                <w:szCs w:val="20"/>
              </w:rPr>
              <w:t>db</w:t>
            </w:r>
          </w:p>
        </w:tc>
        <w:tc>
          <w:tcPr>
            <w:tcW w:w="1206" w:type="dxa"/>
            <w:shd w:val="clear" w:color="auto" w:fill="EDEDED"/>
            <w:vAlign w:val="center"/>
          </w:tcPr>
          <w:p w14:paraId="433B6C88"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0,3 pont</w:t>
            </w:r>
          </w:p>
        </w:tc>
        <w:tc>
          <w:tcPr>
            <w:tcW w:w="1293" w:type="dxa"/>
            <w:shd w:val="clear" w:color="auto" w:fill="EDEDED"/>
            <w:vAlign w:val="center"/>
          </w:tcPr>
          <w:p w14:paraId="59BF63C3" w14:textId="77777777" w:rsidR="00FD0545" w:rsidRPr="00CD78CA" w:rsidRDefault="00FD0545" w:rsidP="00026782">
            <w:pPr>
              <w:jc w:val="center"/>
              <w:rPr>
                <w:rFonts w:eastAsia="Calibri"/>
                <w:b/>
                <w:bCs/>
                <w:color w:val="000000"/>
                <w:sz w:val="20"/>
                <w:szCs w:val="20"/>
              </w:rPr>
            </w:pPr>
            <w:r w:rsidRPr="00CD78CA">
              <w:rPr>
                <w:rFonts w:eastAsia="Calibri"/>
                <w:sz w:val="20"/>
                <w:szCs w:val="20"/>
              </w:rPr>
              <w:t>(1)</w:t>
            </w:r>
          </w:p>
        </w:tc>
      </w:tr>
      <w:tr w:rsidR="00FD0545" w:rsidRPr="00C376DE" w14:paraId="4705C691" w14:textId="77777777" w:rsidTr="00026782">
        <w:trPr>
          <w:trHeight w:val="20"/>
          <w:jc w:val="center"/>
        </w:trPr>
        <w:tc>
          <w:tcPr>
            <w:tcW w:w="2182" w:type="dxa"/>
            <w:vMerge w:val="restart"/>
            <w:tcBorders>
              <w:left w:val="single" w:sz="4" w:space="0" w:color="FFFFFF"/>
            </w:tcBorders>
            <w:shd w:val="clear" w:color="auto" w:fill="A5A5A5"/>
          </w:tcPr>
          <w:p w14:paraId="5BB024C4" w14:textId="77777777" w:rsidR="00FD0545" w:rsidRPr="00CD78CA" w:rsidRDefault="00FD0545" w:rsidP="00026782">
            <w:pPr>
              <w:rPr>
                <w:rFonts w:eastAsia="Calibri"/>
                <w:b/>
                <w:bCs/>
                <w:sz w:val="20"/>
                <w:szCs w:val="20"/>
                <w:highlight w:val="yellow"/>
              </w:rPr>
            </w:pPr>
            <w:r w:rsidRPr="00CD78CA">
              <w:rPr>
                <w:rFonts w:eastAsia="Calibri"/>
                <w:b/>
                <w:bCs/>
                <w:sz w:val="20"/>
                <w:szCs w:val="20"/>
              </w:rPr>
              <w:lastRenderedPageBreak/>
              <w:t xml:space="preserve">IV. </w:t>
            </w:r>
            <w:proofErr w:type="spellStart"/>
            <w:r w:rsidRPr="00CD78CA">
              <w:rPr>
                <w:rFonts w:eastAsia="Calibri"/>
                <w:b/>
                <w:bCs/>
                <w:sz w:val="20"/>
                <w:szCs w:val="20"/>
              </w:rPr>
              <w:t>Impakt</w:t>
            </w:r>
            <w:proofErr w:type="spellEnd"/>
            <w:r w:rsidRPr="00CD78CA">
              <w:rPr>
                <w:rFonts w:eastAsia="Calibri"/>
                <w:b/>
                <w:bCs/>
                <w:sz w:val="20"/>
                <w:szCs w:val="20"/>
              </w:rPr>
              <w:t xml:space="preserve"> </w:t>
            </w:r>
            <w:proofErr w:type="gramStart"/>
            <w:r w:rsidRPr="00CD78CA">
              <w:rPr>
                <w:rFonts w:eastAsia="Calibri"/>
                <w:b/>
                <w:bCs/>
                <w:sz w:val="20"/>
                <w:szCs w:val="20"/>
              </w:rPr>
              <w:t>faktor</w:t>
            </w:r>
            <w:proofErr w:type="gramEnd"/>
          </w:p>
        </w:tc>
        <w:tc>
          <w:tcPr>
            <w:tcW w:w="3077" w:type="dxa"/>
            <w:gridSpan w:val="2"/>
            <w:shd w:val="clear" w:color="auto" w:fill="DBDBDB"/>
          </w:tcPr>
          <w:p w14:paraId="0F7F531D"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Az értékelésig szerzett </w:t>
            </w:r>
            <w:proofErr w:type="gramStart"/>
            <w:r w:rsidRPr="00CD78CA">
              <w:rPr>
                <w:rFonts w:eastAsia="Calibri"/>
                <w:color w:val="000000"/>
                <w:sz w:val="20"/>
                <w:szCs w:val="20"/>
              </w:rPr>
              <w:t>kumulatív</w:t>
            </w:r>
            <w:proofErr w:type="gramEnd"/>
            <w:r w:rsidRPr="00CD78CA">
              <w:rPr>
                <w:rFonts w:eastAsia="Calibri"/>
                <w:color w:val="000000"/>
                <w:sz w:val="20"/>
                <w:szCs w:val="20"/>
              </w:rPr>
              <w:t xml:space="preserve">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faktorok száma</w:t>
            </w:r>
          </w:p>
        </w:tc>
        <w:tc>
          <w:tcPr>
            <w:tcW w:w="1309" w:type="dxa"/>
            <w:shd w:val="clear" w:color="auto" w:fill="DBDBDB"/>
            <w:vAlign w:val="center"/>
          </w:tcPr>
          <w:p w14:paraId="22A44632"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IF</w:t>
            </w:r>
          </w:p>
        </w:tc>
        <w:tc>
          <w:tcPr>
            <w:tcW w:w="1206" w:type="dxa"/>
            <w:shd w:val="clear" w:color="auto" w:fill="DBDBDB"/>
            <w:vAlign w:val="center"/>
          </w:tcPr>
          <w:p w14:paraId="1325AAA8"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0,1 pont</w:t>
            </w:r>
          </w:p>
        </w:tc>
        <w:tc>
          <w:tcPr>
            <w:tcW w:w="1293" w:type="dxa"/>
            <w:shd w:val="clear" w:color="auto" w:fill="DBDBDB"/>
            <w:vAlign w:val="center"/>
          </w:tcPr>
          <w:p w14:paraId="2710B53E"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20 pont</w:t>
            </w:r>
          </w:p>
        </w:tc>
      </w:tr>
      <w:tr w:rsidR="00FD0545" w:rsidRPr="00C376DE" w14:paraId="10C27ED9" w14:textId="77777777" w:rsidTr="00026782">
        <w:trPr>
          <w:trHeight w:val="20"/>
          <w:jc w:val="center"/>
        </w:trPr>
        <w:tc>
          <w:tcPr>
            <w:tcW w:w="2182" w:type="dxa"/>
            <w:vMerge/>
            <w:tcBorders>
              <w:left w:val="single" w:sz="4" w:space="0" w:color="FFFFFF"/>
            </w:tcBorders>
            <w:shd w:val="clear" w:color="auto" w:fill="A5A5A5"/>
          </w:tcPr>
          <w:p w14:paraId="439F879C" w14:textId="77777777" w:rsidR="00FD0545" w:rsidRPr="00CD78CA" w:rsidRDefault="00FD0545" w:rsidP="00026782">
            <w:pPr>
              <w:rPr>
                <w:rFonts w:eastAsia="Calibri"/>
                <w:b/>
                <w:bCs/>
                <w:sz w:val="20"/>
                <w:szCs w:val="20"/>
              </w:rPr>
            </w:pPr>
          </w:p>
        </w:tc>
        <w:tc>
          <w:tcPr>
            <w:tcW w:w="3077" w:type="dxa"/>
            <w:gridSpan w:val="2"/>
            <w:shd w:val="clear" w:color="auto" w:fill="EDEDED"/>
          </w:tcPr>
          <w:p w14:paraId="5A224AD4"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A vizsgált időszakban mérhető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w:t>
            </w:r>
            <w:proofErr w:type="gramEnd"/>
            <w:r w:rsidRPr="00CD78CA">
              <w:rPr>
                <w:rFonts w:eastAsia="Calibri"/>
                <w:color w:val="000000"/>
                <w:sz w:val="20"/>
                <w:szCs w:val="20"/>
              </w:rPr>
              <w:t xml:space="preserve"> növekmény</w:t>
            </w:r>
          </w:p>
        </w:tc>
        <w:tc>
          <w:tcPr>
            <w:tcW w:w="1309" w:type="dxa"/>
            <w:shd w:val="clear" w:color="auto" w:fill="EDEDED"/>
            <w:vAlign w:val="center"/>
          </w:tcPr>
          <w:p w14:paraId="709D9B14"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ΔIF</w:t>
            </w:r>
          </w:p>
        </w:tc>
        <w:tc>
          <w:tcPr>
            <w:tcW w:w="1206" w:type="dxa"/>
            <w:shd w:val="clear" w:color="auto" w:fill="EDEDED"/>
            <w:vAlign w:val="center"/>
          </w:tcPr>
          <w:p w14:paraId="695335F7"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20 pont</w:t>
            </w:r>
          </w:p>
        </w:tc>
        <w:tc>
          <w:tcPr>
            <w:tcW w:w="1293" w:type="dxa"/>
            <w:shd w:val="clear" w:color="auto" w:fill="EDEDED"/>
            <w:vAlign w:val="center"/>
          </w:tcPr>
          <w:p w14:paraId="384A2D8E" w14:textId="77777777" w:rsidR="00FD0545" w:rsidRPr="00CD78CA" w:rsidRDefault="00FD0545" w:rsidP="00026782">
            <w:pPr>
              <w:jc w:val="center"/>
              <w:rPr>
                <w:rFonts w:eastAsia="Calibri"/>
                <w:b/>
                <w:bCs/>
                <w:color w:val="000000"/>
                <w:sz w:val="20"/>
                <w:szCs w:val="20"/>
              </w:rPr>
            </w:pPr>
          </w:p>
        </w:tc>
      </w:tr>
      <w:tr w:rsidR="00FD0545" w:rsidRPr="00C376DE" w14:paraId="14F93FE6" w14:textId="77777777" w:rsidTr="00026782">
        <w:trPr>
          <w:trHeight w:val="20"/>
          <w:jc w:val="center"/>
        </w:trPr>
        <w:tc>
          <w:tcPr>
            <w:tcW w:w="2182" w:type="dxa"/>
            <w:tcBorders>
              <w:left w:val="single" w:sz="4" w:space="0" w:color="FFFFFF"/>
            </w:tcBorders>
            <w:shd w:val="clear" w:color="auto" w:fill="A5A5A5"/>
          </w:tcPr>
          <w:p w14:paraId="108911A4" w14:textId="77777777" w:rsidR="00FD0545" w:rsidRPr="00CD78CA" w:rsidRDefault="00FD0545" w:rsidP="00026782">
            <w:pPr>
              <w:rPr>
                <w:rFonts w:eastAsia="Calibri"/>
                <w:b/>
                <w:bCs/>
                <w:sz w:val="20"/>
                <w:szCs w:val="20"/>
              </w:rPr>
            </w:pPr>
            <w:r w:rsidRPr="00CD78CA">
              <w:rPr>
                <w:rFonts w:eastAsia="Calibri"/>
                <w:b/>
                <w:bCs/>
                <w:sz w:val="20"/>
                <w:szCs w:val="20"/>
              </w:rPr>
              <w:t>V. Hirsch index</w:t>
            </w:r>
          </w:p>
        </w:tc>
        <w:tc>
          <w:tcPr>
            <w:tcW w:w="3077" w:type="dxa"/>
            <w:gridSpan w:val="2"/>
            <w:shd w:val="clear" w:color="auto" w:fill="DBDBDB"/>
          </w:tcPr>
          <w:p w14:paraId="75768D01" w14:textId="77777777" w:rsidR="00FD0545" w:rsidRPr="00CD78CA" w:rsidRDefault="00FD0545" w:rsidP="00026782">
            <w:pPr>
              <w:rPr>
                <w:rFonts w:eastAsia="Calibri"/>
                <w:color w:val="000000"/>
                <w:sz w:val="20"/>
                <w:szCs w:val="20"/>
              </w:rPr>
            </w:pPr>
            <w:r w:rsidRPr="00CD78CA">
              <w:rPr>
                <w:rFonts w:eastAsia="Calibri"/>
                <w:color w:val="000000"/>
                <w:sz w:val="20"/>
                <w:szCs w:val="20"/>
              </w:rPr>
              <w:t>A vizsgált időszakban mérhető H index növekmény</w:t>
            </w:r>
          </w:p>
        </w:tc>
        <w:tc>
          <w:tcPr>
            <w:tcW w:w="1309" w:type="dxa"/>
            <w:shd w:val="clear" w:color="auto" w:fill="DBDBDB"/>
            <w:vAlign w:val="center"/>
          </w:tcPr>
          <w:p w14:paraId="600C43B1"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ΔH</w:t>
            </w:r>
          </w:p>
        </w:tc>
        <w:tc>
          <w:tcPr>
            <w:tcW w:w="1206" w:type="dxa"/>
            <w:shd w:val="clear" w:color="auto" w:fill="DBDBDB"/>
            <w:vAlign w:val="center"/>
          </w:tcPr>
          <w:p w14:paraId="518DBF88"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20 pont</w:t>
            </w:r>
          </w:p>
        </w:tc>
        <w:tc>
          <w:tcPr>
            <w:tcW w:w="1293" w:type="dxa"/>
            <w:shd w:val="clear" w:color="auto" w:fill="DBDBDB"/>
            <w:vAlign w:val="center"/>
          </w:tcPr>
          <w:p w14:paraId="45F9A344" w14:textId="77777777" w:rsidR="00FD0545" w:rsidRPr="00CD78CA" w:rsidRDefault="00FD0545" w:rsidP="00026782">
            <w:pPr>
              <w:jc w:val="center"/>
              <w:rPr>
                <w:rFonts w:eastAsia="Calibri"/>
                <w:b/>
                <w:bCs/>
                <w:color w:val="000000"/>
                <w:sz w:val="20"/>
                <w:szCs w:val="20"/>
              </w:rPr>
            </w:pPr>
          </w:p>
        </w:tc>
      </w:tr>
      <w:tr w:rsidR="00FD0545" w:rsidRPr="00C376DE" w14:paraId="5766AF5A" w14:textId="77777777" w:rsidTr="00026782">
        <w:trPr>
          <w:trHeight w:val="20"/>
          <w:jc w:val="center"/>
        </w:trPr>
        <w:tc>
          <w:tcPr>
            <w:tcW w:w="2182" w:type="dxa"/>
            <w:vMerge w:val="restart"/>
            <w:tcBorders>
              <w:left w:val="single" w:sz="4" w:space="0" w:color="FFFFFF"/>
            </w:tcBorders>
            <w:shd w:val="clear" w:color="auto" w:fill="A5A5A5"/>
          </w:tcPr>
          <w:p w14:paraId="39150604" w14:textId="77777777" w:rsidR="00FD0545" w:rsidRPr="00CD78CA" w:rsidRDefault="00FD0545" w:rsidP="00026782">
            <w:pPr>
              <w:rPr>
                <w:rFonts w:eastAsia="Calibri"/>
                <w:b/>
                <w:bCs/>
                <w:sz w:val="20"/>
                <w:szCs w:val="20"/>
              </w:rPr>
            </w:pPr>
            <w:r w:rsidRPr="00CD78CA">
              <w:rPr>
                <w:rFonts w:eastAsia="Calibri"/>
                <w:b/>
                <w:bCs/>
                <w:sz w:val="20"/>
                <w:szCs w:val="20"/>
              </w:rPr>
              <w:t xml:space="preserve">VI. </w:t>
            </w:r>
            <w:proofErr w:type="spellStart"/>
            <w:r w:rsidRPr="00CD78CA">
              <w:rPr>
                <w:rFonts w:eastAsia="Calibri"/>
                <w:b/>
                <w:bCs/>
                <w:sz w:val="20"/>
                <w:szCs w:val="20"/>
              </w:rPr>
              <w:t>Citáció</w:t>
            </w:r>
            <w:proofErr w:type="spellEnd"/>
          </w:p>
        </w:tc>
        <w:tc>
          <w:tcPr>
            <w:tcW w:w="3077" w:type="dxa"/>
            <w:gridSpan w:val="2"/>
            <w:shd w:val="clear" w:color="auto" w:fill="EDEDED"/>
          </w:tcPr>
          <w:p w14:paraId="7694886A"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Független </w:t>
            </w:r>
            <w:proofErr w:type="spellStart"/>
            <w:r w:rsidRPr="00CD78CA">
              <w:rPr>
                <w:rFonts w:eastAsia="Calibri"/>
                <w:color w:val="000000"/>
                <w:sz w:val="20"/>
                <w:szCs w:val="20"/>
              </w:rPr>
              <w:t>idézetek</w:t>
            </w:r>
            <w:proofErr w:type="spellEnd"/>
            <w:r w:rsidRPr="00CD78CA">
              <w:rPr>
                <w:rFonts w:eastAsia="Calibri"/>
                <w:color w:val="000000"/>
                <w:sz w:val="20"/>
                <w:szCs w:val="20"/>
              </w:rPr>
              <w:t xml:space="preserve"> a vizsgált időszakban</w:t>
            </w:r>
          </w:p>
        </w:tc>
        <w:tc>
          <w:tcPr>
            <w:tcW w:w="1309" w:type="dxa"/>
            <w:shd w:val="clear" w:color="auto" w:fill="EDEDED"/>
            <w:vAlign w:val="center"/>
          </w:tcPr>
          <w:p w14:paraId="3B4236DB" w14:textId="77777777" w:rsidR="00FD0545" w:rsidRPr="00CD78CA" w:rsidRDefault="00FD0545" w:rsidP="00026782">
            <w:pPr>
              <w:jc w:val="center"/>
              <w:rPr>
                <w:rFonts w:eastAsia="Calibri"/>
                <w:color w:val="000000"/>
                <w:sz w:val="20"/>
                <w:szCs w:val="20"/>
              </w:rPr>
            </w:pPr>
            <w:proofErr w:type="spellStart"/>
            <w:r w:rsidRPr="00CD78CA">
              <w:rPr>
                <w:rFonts w:eastAsia="Calibri"/>
                <w:color w:val="000000"/>
                <w:sz w:val="20"/>
                <w:szCs w:val="20"/>
              </w:rPr>
              <w:t>Δcitáció</w:t>
            </w:r>
            <w:proofErr w:type="spellEnd"/>
          </w:p>
        </w:tc>
        <w:tc>
          <w:tcPr>
            <w:tcW w:w="1206" w:type="dxa"/>
            <w:shd w:val="clear" w:color="auto" w:fill="EDEDED"/>
            <w:vAlign w:val="center"/>
          </w:tcPr>
          <w:p w14:paraId="763F3C3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EDEDED"/>
            <w:vAlign w:val="center"/>
          </w:tcPr>
          <w:p w14:paraId="72F5B67C" w14:textId="77777777" w:rsidR="00FD0545" w:rsidRPr="00CD78CA" w:rsidRDefault="00FD0545" w:rsidP="00026782">
            <w:pPr>
              <w:jc w:val="center"/>
              <w:rPr>
                <w:rFonts w:eastAsia="Calibri"/>
                <w:b/>
                <w:bCs/>
                <w:color w:val="000000"/>
                <w:sz w:val="20"/>
                <w:szCs w:val="20"/>
              </w:rPr>
            </w:pPr>
          </w:p>
        </w:tc>
      </w:tr>
      <w:tr w:rsidR="00FD0545" w:rsidRPr="00C376DE" w14:paraId="0EEDC473" w14:textId="77777777" w:rsidTr="00026782">
        <w:trPr>
          <w:trHeight w:val="20"/>
          <w:jc w:val="center"/>
        </w:trPr>
        <w:tc>
          <w:tcPr>
            <w:tcW w:w="2182" w:type="dxa"/>
            <w:vMerge/>
            <w:tcBorders>
              <w:left w:val="single" w:sz="4" w:space="0" w:color="FFFFFF"/>
            </w:tcBorders>
            <w:shd w:val="clear" w:color="auto" w:fill="A5A5A5"/>
          </w:tcPr>
          <w:p w14:paraId="1961F6B9" w14:textId="77777777" w:rsidR="00FD0545" w:rsidRPr="00CD78CA" w:rsidRDefault="00FD0545" w:rsidP="00026782">
            <w:pPr>
              <w:rPr>
                <w:rFonts w:eastAsia="Calibri"/>
                <w:b/>
                <w:bCs/>
                <w:sz w:val="20"/>
                <w:szCs w:val="20"/>
              </w:rPr>
            </w:pPr>
          </w:p>
        </w:tc>
        <w:tc>
          <w:tcPr>
            <w:tcW w:w="3077" w:type="dxa"/>
            <w:gridSpan w:val="2"/>
            <w:shd w:val="clear" w:color="auto" w:fill="DBDBDB"/>
          </w:tcPr>
          <w:p w14:paraId="5E42E7AE"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Függő </w:t>
            </w:r>
            <w:proofErr w:type="spellStart"/>
            <w:r w:rsidRPr="00CD78CA">
              <w:rPr>
                <w:rFonts w:eastAsia="Calibri"/>
                <w:color w:val="000000"/>
                <w:sz w:val="20"/>
                <w:szCs w:val="20"/>
              </w:rPr>
              <w:t>idézetek</w:t>
            </w:r>
            <w:proofErr w:type="spellEnd"/>
            <w:r w:rsidRPr="00CD78CA">
              <w:rPr>
                <w:rFonts w:eastAsia="Calibri"/>
                <w:color w:val="000000"/>
                <w:sz w:val="20"/>
                <w:szCs w:val="20"/>
              </w:rPr>
              <w:t xml:space="preserve"> a vizsgált időszakban</w:t>
            </w:r>
          </w:p>
        </w:tc>
        <w:tc>
          <w:tcPr>
            <w:tcW w:w="1309" w:type="dxa"/>
            <w:shd w:val="clear" w:color="auto" w:fill="DBDBDB"/>
            <w:vAlign w:val="center"/>
          </w:tcPr>
          <w:p w14:paraId="47BEDB32" w14:textId="77777777" w:rsidR="00FD0545" w:rsidRPr="00CD78CA" w:rsidRDefault="00FD0545" w:rsidP="00026782">
            <w:pPr>
              <w:jc w:val="center"/>
              <w:rPr>
                <w:rFonts w:eastAsia="Calibri"/>
                <w:color w:val="000000"/>
                <w:sz w:val="20"/>
                <w:szCs w:val="20"/>
              </w:rPr>
            </w:pPr>
            <w:proofErr w:type="spellStart"/>
            <w:r w:rsidRPr="00CD78CA">
              <w:rPr>
                <w:rFonts w:eastAsia="Calibri"/>
                <w:color w:val="000000"/>
                <w:sz w:val="20"/>
                <w:szCs w:val="20"/>
              </w:rPr>
              <w:t>Δcitáció</w:t>
            </w:r>
            <w:proofErr w:type="spellEnd"/>
          </w:p>
        </w:tc>
        <w:tc>
          <w:tcPr>
            <w:tcW w:w="1206" w:type="dxa"/>
            <w:shd w:val="clear" w:color="auto" w:fill="DBDBDB"/>
            <w:vAlign w:val="center"/>
          </w:tcPr>
          <w:p w14:paraId="7FEBF6F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DBDBDB"/>
            <w:vAlign w:val="center"/>
          </w:tcPr>
          <w:p w14:paraId="1A6E277E" w14:textId="77777777" w:rsidR="00FD0545" w:rsidRPr="00CD78CA" w:rsidRDefault="00FD0545" w:rsidP="00026782">
            <w:pPr>
              <w:jc w:val="center"/>
              <w:rPr>
                <w:rFonts w:eastAsia="Calibri"/>
                <w:b/>
                <w:bCs/>
                <w:color w:val="000000"/>
                <w:sz w:val="20"/>
                <w:szCs w:val="20"/>
              </w:rPr>
            </w:pPr>
          </w:p>
        </w:tc>
      </w:tr>
      <w:tr w:rsidR="00FD0545" w:rsidRPr="00C376DE" w14:paraId="1B08D726" w14:textId="77777777" w:rsidTr="00026782">
        <w:trPr>
          <w:trHeight w:val="20"/>
          <w:jc w:val="center"/>
        </w:trPr>
        <w:tc>
          <w:tcPr>
            <w:tcW w:w="2182" w:type="dxa"/>
            <w:vMerge w:val="restart"/>
            <w:tcBorders>
              <w:left w:val="single" w:sz="4" w:space="0" w:color="FFFFFF"/>
            </w:tcBorders>
            <w:shd w:val="clear" w:color="auto" w:fill="A5A5A5"/>
          </w:tcPr>
          <w:p w14:paraId="529621AE" w14:textId="77777777" w:rsidR="00FD0545" w:rsidRPr="00CD78CA" w:rsidRDefault="00FD0545" w:rsidP="00026782">
            <w:pPr>
              <w:rPr>
                <w:rFonts w:eastAsia="Calibri"/>
                <w:b/>
                <w:bCs/>
                <w:sz w:val="20"/>
                <w:szCs w:val="20"/>
              </w:rPr>
            </w:pPr>
            <w:r w:rsidRPr="00CD78CA">
              <w:rPr>
                <w:rFonts w:eastAsia="Calibri"/>
                <w:b/>
                <w:bCs/>
                <w:sz w:val="20"/>
                <w:szCs w:val="20"/>
              </w:rPr>
              <w:t>VII. Presztízsfaktor</w:t>
            </w:r>
          </w:p>
        </w:tc>
        <w:tc>
          <w:tcPr>
            <w:tcW w:w="3077" w:type="dxa"/>
            <w:gridSpan w:val="2"/>
            <w:shd w:val="clear" w:color="auto" w:fill="EDEDED"/>
          </w:tcPr>
          <w:p w14:paraId="6496E900" w14:textId="77777777" w:rsidR="00FD0545" w:rsidRPr="00CD78CA" w:rsidRDefault="00FD0545" w:rsidP="00026782">
            <w:pPr>
              <w:rPr>
                <w:rFonts w:eastAsia="Calibri"/>
                <w:color w:val="000000"/>
                <w:sz w:val="20"/>
                <w:szCs w:val="20"/>
              </w:rPr>
            </w:pPr>
            <w:r w:rsidRPr="00CD78CA">
              <w:rPr>
                <w:rFonts w:eastAsia="Calibri"/>
                <w:color w:val="000000"/>
                <w:sz w:val="20"/>
                <w:szCs w:val="20"/>
              </w:rPr>
              <w:t>Q1</w:t>
            </w:r>
          </w:p>
        </w:tc>
        <w:tc>
          <w:tcPr>
            <w:tcW w:w="1309" w:type="dxa"/>
            <w:shd w:val="clear" w:color="auto" w:fill="EDEDED"/>
            <w:vAlign w:val="center"/>
          </w:tcPr>
          <w:p w14:paraId="0C75883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13F71F9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20 pont</w:t>
            </w:r>
          </w:p>
        </w:tc>
        <w:tc>
          <w:tcPr>
            <w:tcW w:w="1293" w:type="dxa"/>
            <w:shd w:val="clear" w:color="auto" w:fill="EDEDED"/>
            <w:vAlign w:val="center"/>
          </w:tcPr>
          <w:p w14:paraId="0A849305" w14:textId="77777777" w:rsidR="00FD0545" w:rsidRPr="00CD78CA" w:rsidRDefault="00FD0545" w:rsidP="00026782">
            <w:pPr>
              <w:jc w:val="center"/>
              <w:rPr>
                <w:rFonts w:eastAsia="Calibri"/>
                <w:color w:val="000000"/>
                <w:sz w:val="20"/>
                <w:szCs w:val="20"/>
              </w:rPr>
            </w:pPr>
          </w:p>
        </w:tc>
      </w:tr>
      <w:tr w:rsidR="00FD0545" w:rsidRPr="00C376DE" w14:paraId="7C9CC314" w14:textId="77777777" w:rsidTr="00026782">
        <w:trPr>
          <w:trHeight w:val="20"/>
          <w:jc w:val="center"/>
        </w:trPr>
        <w:tc>
          <w:tcPr>
            <w:tcW w:w="2182" w:type="dxa"/>
            <w:vMerge/>
            <w:tcBorders>
              <w:left w:val="single" w:sz="4" w:space="0" w:color="FFFFFF"/>
            </w:tcBorders>
            <w:shd w:val="clear" w:color="auto" w:fill="A5A5A5"/>
          </w:tcPr>
          <w:p w14:paraId="3D32865A" w14:textId="77777777" w:rsidR="00FD0545" w:rsidRPr="00CD78CA" w:rsidRDefault="00FD0545" w:rsidP="00026782">
            <w:pPr>
              <w:rPr>
                <w:rFonts w:eastAsia="Calibri"/>
                <w:b/>
                <w:bCs/>
                <w:sz w:val="20"/>
                <w:szCs w:val="20"/>
              </w:rPr>
            </w:pPr>
          </w:p>
        </w:tc>
        <w:tc>
          <w:tcPr>
            <w:tcW w:w="3077" w:type="dxa"/>
            <w:gridSpan w:val="2"/>
            <w:shd w:val="clear" w:color="auto" w:fill="DBDBDB"/>
          </w:tcPr>
          <w:p w14:paraId="5658F15A" w14:textId="77777777" w:rsidR="00FD0545" w:rsidRPr="00CD78CA" w:rsidRDefault="00FD0545" w:rsidP="00026782">
            <w:pPr>
              <w:rPr>
                <w:rFonts w:eastAsia="Calibri"/>
                <w:color w:val="000000"/>
                <w:sz w:val="20"/>
                <w:szCs w:val="20"/>
              </w:rPr>
            </w:pPr>
            <w:r w:rsidRPr="00CD78CA">
              <w:rPr>
                <w:rFonts w:eastAsia="Calibri"/>
                <w:color w:val="000000"/>
                <w:sz w:val="20"/>
                <w:szCs w:val="20"/>
              </w:rPr>
              <w:t>Q2</w:t>
            </w:r>
          </w:p>
        </w:tc>
        <w:tc>
          <w:tcPr>
            <w:tcW w:w="1309" w:type="dxa"/>
            <w:shd w:val="clear" w:color="auto" w:fill="DBDBDB"/>
            <w:vAlign w:val="center"/>
          </w:tcPr>
          <w:p w14:paraId="2D2FEE8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22DF5D6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15 pont</w:t>
            </w:r>
          </w:p>
        </w:tc>
        <w:tc>
          <w:tcPr>
            <w:tcW w:w="1293" w:type="dxa"/>
            <w:shd w:val="clear" w:color="auto" w:fill="DBDBDB"/>
            <w:vAlign w:val="center"/>
          </w:tcPr>
          <w:p w14:paraId="6E10265D" w14:textId="77777777" w:rsidR="00FD0545" w:rsidRPr="00CD78CA" w:rsidRDefault="00FD0545" w:rsidP="00026782">
            <w:pPr>
              <w:jc w:val="center"/>
              <w:rPr>
                <w:rFonts w:eastAsia="Calibri"/>
                <w:color w:val="000000"/>
                <w:sz w:val="20"/>
                <w:szCs w:val="20"/>
              </w:rPr>
            </w:pPr>
          </w:p>
        </w:tc>
      </w:tr>
      <w:tr w:rsidR="00FD0545" w:rsidRPr="00C376DE" w14:paraId="027D2A9B" w14:textId="77777777" w:rsidTr="00026782">
        <w:trPr>
          <w:trHeight w:val="20"/>
          <w:jc w:val="center"/>
        </w:trPr>
        <w:tc>
          <w:tcPr>
            <w:tcW w:w="2182" w:type="dxa"/>
            <w:vMerge/>
            <w:tcBorders>
              <w:left w:val="single" w:sz="4" w:space="0" w:color="FFFFFF"/>
            </w:tcBorders>
            <w:shd w:val="clear" w:color="auto" w:fill="A5A5A5"/>
          </w:tcPr>
          <w:p w14:paraId="24F4DBDD" w14:textId="77777777" w:rsidR="00FD0545" w:rsidRPr="00CD78CA" w:rsidRDefault="00FD0545" w:rsidP="00026782">
            <w:pPr>
              <w:rPr>
                <w:rFonts w:eastAsia="Calibri"/>
                <w:b/>
                <w:bCs/>
                <w:sz w:val="20"/>
                <w:szCs w:val="20"/>
              </w:rPr>
            </w:pPr>
          </w:p>
        </w:tc>
        <w:tc>
          <w:tcPr>
            <w:tcW w:w="3077" w:type="dxa"/>
            <w:gridSpan w:val="2"/>
            <w:shd w:val="clear" w:color="auto" w:fill="EDEDED"/>
          </w:tcPr>
          <w:p w14:paraId="60A38207" w14:textId="77777777" w:rsidR="00FD0545" w:rsidRPr="00CD78CA" w:rsidRDefault="00FD0545" w:rsidP="00026782">
            <w:pPr>
              <w:rPr>
                <w:rFonts w:eastAsia="Calibri"/>
                <w:color w:val="000000"/>
                <w:sz w:val="20"/>
                <w:szCs w:val="20"/>
              </w:rPr>
            </w:pPr>
            <w:r w:rsidRPr="00CD78CA">
              <w:rPr>
                <w:rFonts w:eastAsia="Calibri"/>
                <w:color w:val="000000"/>
                <w:sz w:val="20"/>
                <w:szCs w:val="20"/>
              </w:rPr>
              <w:t>Q3</w:t>
            </w:r>
          </w:p>
        </w:tc>
        <w:tc>
          <w:tcPr>
            <w:tcW w:w="1309" w:type="dxa"/>
            <w:shd w:val="clear" w:color="auto" w:fill="EDEDED"/>
            <w:vAlign w:val="center"/>
          </w:tcPr>
          <w:p w14:paraId="7BC0311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17282470"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10 pont</w:t>
            </w:r>
          </w:p>
        </w:tc>
        <w:tc>
          <w:tcPr>
            <w:tcW w:w="1293" w:type="dxa"/>
            <w:shd w:val="clear" w:color="auto" w:fill="EDEDED"/>
            <w:vAlign w:val="center"/>
          </w:tcPr>
          <w:p w14:paraId="7A0A9182" w14:textId="77777777" w:rsidR="00FD0545" w:rsidRPr="00CD78CA" w:rsidRDefault="00FD0545" w:rsidP="00026782">
            <w:pPr>
              <w:jc w:val="center"/>
              <w:rPr>
                <w:rFonts w:eastAsia="Calibri"/>
                <w:color w:val="000000"/>
                <w:sz w:val="20"/>
                <w:szCs w:val="20"/>
              </w:rPr>
            </w:pPr>
          </w:p>
        </w:tc>
      </w:tr>
      <w:tr w:rsidR="00FD0545" w:rsidRPr="00C376DE" w14:paraId="29E94DB8" w14:textId="77777777" w:rsidTr="00026782">
        <w:trPr>
          <w:trHeight w:val="20"/>
          <w:jc w:val="center"/>
        </w:trPr>
        <w:tc>
          <w:tcPr>
            <w:tcW w:w="2182" w:type="dxa"/>
            <w:vMerge/>
            <w:tcBorders>
              <w:left w:val="single" w:sz="4" w:space="0" w:color="FFFFFF"/>
            </w:tcBorders>
            <w:shd w:val="clear" w:color="auto" w:fill="A5A5A5"/>
          </w:tcPr>
          <w:p w14:paraId="16D831E3" w14:textId="77777777" w:rsidR="00FD0545" w:rsidRPr="00CD78CA" w:rsidRDefault="00FD0545" w:rsidP="00026782">
            <w:pPr>
              <w:rPr>
                <w:rFonts w:eastAsia="Calibri"/>
                <w:b/>
                <w:bCs/>
                <w:sz w:val="20"/>
                <w:szCs w:val="20"/>
              </w:rPr>
            </w:pPr>
          </w:p>
        </w:tc>
        <w:tc>
          <w:tcPr>
            <w:tcW w:w="3077" w:type="dxa"/>
            <w:gridSpan w:val="2"/>
            <w:shd w:val="clear" w:color="auto" w:fill="DBDBDB"/>
          </w:tcPr>
          <w:p w14:paraId="7EFE8012" w14:textId="77777777" w:rsidR="00FD0545" w:rsidRPr="00CD78CA" w:rsidRDefault="00FD0545" w:rsidP="00026782">
            <w:pPr>
              <w:rPr>
                <w:rFonts w:eastAsia="Calibri"/>
                <w:color w:val="000000"/>
                <w:sz w:val="20"/>
                <w:szCs w:val="20"/>
              </w:rPr>
            </w:pPr>
            <w:r w:rsidRPr="00CD78CA">
              <w:rPr>
                <w:rFonts w:eastAsia="Calibri"/>
                <w:color w:val="000000"/>
                <w:sz w:val="20"/>
                <w:szCs w:val="20"/>
              </w:rPr>
              <w:t>Q4</w:t>
            </w:r>
          </w:p>
        </w:tc>
        <w:tc>
          <w:tcPr>
            <w:tcW w:w="1309" w:type="dxa"/>
            <w:shd w:val="clear" w:color="auto" w:fill="DBDBDB"/>
            <w:vAlign w:val="center"/>
          </w:tcPr>
          <w:p w14:paraId="048422A3"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5C317080"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5 pont</w:t>
            </w:r>
          </w:p>
        </w:tc>
        <w:tc>
          <w:tcPr>
            <w:tcW w:w="1293" w:type="dxa"/>
            <w:shd w:val="clear" w:color="auto" w:fill="DBDBDB"/>
            <w:vAlign w:val="center"/>
          </w:tcPr>
          <w:p w14:paraId="6FB5BB8F" w14:textId="77777777" w:rsidR="00FD0545" w:rsidRPr="00CD78CA" w:rsidRDefault="00FD0545" w:rsidP="00026782">
            <w:pPr>
              <w:jc w:val="center"/>
              <w:rPr>
                <w:rFonts w:eastAsia="Calibri"/>
                <w:color w:val="000000"/>
                <w:sz w:val="20"/>
                <w:szCs w:val="20"/>
              </w:rPr>
            </w:pPr>
          </w:p>
        </w:tc>
      </w:tr>
      <w:tr w:rsidR="00FD0545" w:rsidRPr="00C376DE" w14:paraId="34CB749A" w14:textId="77777777" w:rsidTr="00026782">
        <w:trPr>
          <w:trHeight w:val="20"/>
          <w:jc w:val="center"/>
        </w:trPr>
        <w:tc>
          <w:tcPr>
            <w:tcW w:w="2182" w:type="dxa"/>
            <w:vMerge w:val="restart"/>
            <w:tcBorders>
              <w:left w:val="single" w:sz="4" w:space="0" w:color="FFFFFF"/>
            </w:tcBorders>
            <w:shd w:val="clear" w:color="auto" w:fill="A5A5A5"/>
            <w:hideMark/>
          </w:tcPr>
          <w:p w14:paraId="76574D8E" w14:textId="77777777" w:rsidR="00FD0545" w:rsidRPr="00CD78CA" w:rsidRDefault="00FD0545" w:rsidP="00026782">
            <w:pPr>
              <w:rPr>
                <w:rFonts w:eastAsia="Calibri"/>
                <w:b/>
                <w:bCs/>
                <w:sz w:val="20"/>
                <w:szCs w:val="20"/>
              </w:rPr>
            </w:pPr>
            <w:r w:rsidRPr="00CD78CA">
              <w:rPr>
                <w:rFonts w:eastAsia="Calibri"/>
                <w:b/>
                <w:bCs/>
                <w:sz w:val="20"/>
                <w:szCs w:val="20"/>
              </w:rPr>
              <w:t>VIII. Könyv / könyvrészlet</w:t>
            </w:r>
          </w:p>
        </w:tc>
        <w:tc>
          <w:tcPr>
            <w:tcW w:w="1214" w:type="dxa"/>
            <w:vMerge w:val="restart"/>
            <w:shd w:val="clear" w:color="auto" w:fill="EDEDED"/>
            <w:hideMark/>
          </w:tcPr>
          <w:p w14:paraId="0E4725E4" w14:textId="77777777" w:rsidR="00FD0545" w:rsidRPr="00CD78CA" w:rsidRDefault="00FD0545" w:rsidP="00026782">
            <w:pPr>
              <w:rPr>
                <w:rFonts w:eastAsia="Calibri"/>
                <w:sz w:val="20"/>
                <w:szCs w:val="20"/>
              </w:rPr>
            </w:pPr>
            <w:r w:rsidRPr="00CD78CA">
              <w:rPr>
                <w:rFonts w:eastAsia="Calibri"/>
                <w:sz w:val="20"/>
                <w:szCs w:val="20"/>
              </w:rPr>
              <w:t>Szerzőként, idegen nyelvű</w:t>
            </w:r>
          </w:p>
        </w:tc>
        <w:tc>
          <w:tcPr>
            <w:tcW w:w="1863" w:type="dxa"/>
            <w:shd w:val="clear" w:color="auto" w:fill="EDEDED"/>
            <w:vAlign w:val="center"/>
            <w:hideMark/>
          </w:tcPr>
          <w:p w14:paraId="5A85657B" w14:textId="77777777" w:rsidR="00FD0545" w:rsidRPr="00CD78CA" w:rsidRDefault="00FD0545" w:rsidP="00026782">
            <w:pPr>
              <w:rPr>
                <w:rFonts w:eastAsia="Calibri"/>
                <w:color w:val="000000"/>
                <w:sz w:val="20"/>
                <w:szCs w:val="20"/>
              </w:rPr>
            </w:pPr>
            <w:r w:rsidRPr="00CD78CA">
              <w:rPr>
                <w:rFonts w:eastAsia="Calibri"/>
                <w:color w:val="000000"/>
                <w:sz w:val="20"/>
                <w:szCs w:val="20"/>
              </w:rPr>
              <w:t>Első szerző</w:t>
            </w:r>
          </w:p>
        </w:tc>
        <w:tc>
          <w:tcPr>
            <w:tcW w:w="1309" w:type="dxa"/>
            <w:shd w:val="clear" w:color="auto" w:fill="EDEDED"/>
            <w:vAlign w:val="center"/>
          </w:tcPr>
          <w:p w14:paraId="4A930EBA"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EDEDED"/>
            <w:vAlign w:val="center"/>
          </w:tcPr>
          <w:p w14:paraId="06A8D6C2"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8 pont</w:t>
            </w:r>
          </w:p>
        </w:tc>
        <w:tc>
          <w:tcPr>
            <w:tcW w:w="1293" w:type="dxa"/>
            <w:shd w:val="clear" w:color="auto" w:fill="EDEDED"/>
            <w:vAlign w:val="center"/>
          </w:tcPr>
          <w:p w14:paraId="16437425" w14:textId="77777777" w:rsidR="00FD0545" w:rsidRPr="00CD78CA" w:rsidRDefault="00FD0545" w:rsidP="00026782">
            <w:pPr>
              <w:jc w:val="center"/>
              <w:rPr>
                <w:rFonts w:eastAsia="Calibri"/>
                <w:color w:val="000000"/>
                <w:sz w:val="20"/>
                <w:szCs w:val="20"/>
              </w:rPr>
            </w:pPr>
          </w:p>
        </w:tc>
      </w:tr>
      <w:tr w:rsidR="00FD0545" w:rsidRPr="00C376DE" w14:paraId="4706611B" w14:textId="77777777" w:rsidTr="00026782">
        <w:trPr>
          <w:trHeight w:val="20"/>
          <w:jc w:val="center"/>
        </w:trPr>
        <w:tc>
          <w:tcPr>
            <w:tcW w:w="2182" w:type="dxa"/>
            <w:vMerge/>
            <w:tcBorders>
              <w:left w:val="single" w:sz="4" w:space="0" w:color="FFFFFF"/>
            </w:tcBorders>
            <w:shd w:val="clear" w:color="auto" w:fill="A5A5A5"/>
          </w:tcPr>
          <w:p w14:paraId="7C450485" w14:textId="77777777" w:rsidR="00FD0545" w:rsidRPr="00CD78CA" w:rsidRDefault="00FD0545" w:rsidP="00026782">
            <w:pPr>
              <w:rPr>
                <w:rFonts w:eastAsia="Calibri"/>
                <w:b/>
                <w:bCs/>
                <w:sz w:val="20"/>
                <w:szCs w:val="20"/>
              </w:rPr>
            </w:pPr>
          </w:p>
        </w:tc>
        <w:tc>
          <w:tcPr>
            <w:tcW w:w="1214" w:type="dxa"/>
            <w:vMerge/>
            <w:shd w:val="clear" w:color="auto" w:fill="DBDBDB"/>
          </w:tcPr>
          <w:p w14:paraId="7ECB5494" w14:textId="77777777" w:rsidR="00FD0545" w:rsidRPr="00CD78CA" w:rsidRDefault="00FD0545" w:rsidP="00026782">
            <w:pPr>
              <w:rPr>
                <w:rFonts w:eastAsia="Calibri"/>
                <w:sz w:val="20"/>
                <w:szCs w:val="20"/>
              </w:rPr>
            </w:pPr>
          </w:p>
        </w:tc>
        <w:tc>
          <w:tcPr>
            <w:tcW w:w="1863" w:type="dxa"/>
            <w:shd w:val="clear" w:color="auto" w:fill="DBDBDB"/>
            <w:vAlign w:val="center"/>
          </w:tcPr>
          <w:p w14:paraId="5978B21E" w14:textId="77777777" w:rsidR="00FD0545" w:rsidRPr="00CD78CA" w:rsidRDefault="00FD0545" w:rsidP="00026782">
            <w:pPr>
              <w:rPr>
                <w:rFonts w:eastAsia="Calibri"/>
                <w:color w:val="000000"/>
                <w:sz w:val="20"/>
                <w:szCs w:val="20"/>
              </w:rPr>
            </w:pPr>
            <w:r w:rsidRPr="00CD78CA">
              <w:rPr>
                <w:rFonts w:eastAsia="Calibri"/>
                <w:color w:val="000000"/>
                <w:sz w:val="20"/>
                <w:szCs w:val="20"/>
              </w:rPr>
              <w:t>Utolsó szerző</w:t>
            </w:r>
          </w:p>
        </w:tc>
        <w:tc>
          <w:tcPr>
            <w:tcW w:w="1309" w:type="dxa"/>
            <w:shd w:val="clear" w:color="auto" w:fill="DBDBDB"/>
            <w:vAlign w:val="center"/>
          </w:tcPr>
          <w:p w14:paraId="0656089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DBDBDB"/>
            <w:vAlign w:val="center"/>
          </w:tcPr>
          <w:p w14:paraId="2D94143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4 pont</w:t>
            </w:r>
          </w:p>
        </w:tc>
        <w:tc>
          <w:tcPr>
            <w:tcW w:w="1293" w:type="dxa"/>
            <w:shd w:val="clear" w:color="auto" w:fill="DBDBDB"/>
            <w:vAlign w:val="center"/>
          </w:tcPr>
          <w:p w14:paraId="24D97FBE" w14:textId="77777777" w:rsidR="00FD0545" w:rsidRPr="00CD78CA" w:rsidRDefault="00FD0545" w:rsidP="00026782">
            <w:pPr>
              <w:jc w:val="center"/>
              <w:rPr>
                <w:rFonts w:eastAsia="Calibri"/>
                <w:color w:val="000000"/>
                <w:sz w:val="20"/>
                <w:szCs w:val="20"/>
              </w:rPr>
            </w:pPr>
          </w:p>
        </w:tc>
      </w:tr>
      <w:tr w:rsidR="00FD0545" w:rsidRPr="00C376DE" w14:paraId="4763CFB5" w14:textId="77777777" w:rsidTr="00026782">
        <w:trPr>
          <w:trHeight w:val="20"/>
          <w:jc w:val="center"/>
        </w:trPr>
        <w:tc>
          <w:tcPr>
            <w:tcW w:w="2182" w:type="dxa"/>
            <w:vMerge/>
            <w:tcBorders>
              <w:left w:val="single" w:sz="4" w:space="0" w:color="FFFFFF"/>
            </w:tcBorders>
            <w:shd w:val="clear" w:color="auto" w:fill="A5A5A5"/>
            <w:hideMark/>
          </w:tcPr>
          <w:p w14:paraId="5AC834C7" w14:textId="77777777" w:rsidR="00FD0545" w:rsidRPr="00CD78CA" w:rsidRDefault="00FD0545" w:rsidP="00026782">
            <w:pPr>
              <w:rPr>
                <w:rFonts w:eastAsia="Calibri"/>
                <w:b/>
                <w:bCs/>
                <w:sz w:val="20"/>
                <w:szCs w:val="20"/>
              </w:rPr>
            </w:pPr>
          </w:p>
        </w:tc>
        <w:tc>
          <w:tcPr>
            <w:tcW w:w="1214" w:type="dxa"/>
            <w:vMerge/>
            <w:shd w:val="clear" w:color="auto" w:fill="EDEDED"/>
            <w:hideMark/>
          </w:tcPr>
          <w:p w14:paraId="4D9DACAE" w14:textId="77777777" w:rsidR="00FD0545" w:rsidRPr="00CD78CA" w:rsidRDefault="00FD0545" w:rsidP="00026782">
            <w:pPr>
              <w:rPr>
                <w:rFonts w:eastAsia="Calibri"/>
                <w:sz w:val="20"/>
                <w:szCs w:val="20"/>
              </w:rPr>
            </w:pPr>
          </w:p>
        </w:tc>
        <w:tc>
          <w:tcPr>
            <w:tcW w:w="1863" w:type="dxa"/>
            <w:shd w:val="clear" w:color="auto" w:fill="EDEDED"/>
            <w:vAlign w:val="center"/>
            <w:hideMark/>
          </w:tcPr>
          <w:p w14:paraId="34F668C0" w14:textId="77777777" w:rsidR="00FD0545" w:rsidRPr="00CD78CA" w:rsidRDefault="00FD0545" w:rsidP="00026782">
            <w:pPr>
              <w:rPr>
                <w:rFonts w:eastAsia="Calibri"/>
                <w:color w:val="000000"/>
                <w:sz w:val="20"/>
                <w:szCs w:val="20"/>
              </w:rPr>
            </w:pPr>
            <w:r w:rsidRPr="00CD78CA">
              <w:rPr>
                <w:rFonts w:eastAsia="Calibri"/>
                <w:color w:val="000000"/>
                <w:sz w:val="20"/>
                <w:szCs w:val="20"/>
              </w:rPr>
              <w:t>Társszerző</w:t>
            </w:r>
          </w:p>
        </w:tc>
        <w:tc>
          <w:tcPr>
            <w:tcW w:w="1309" w:type="dxa"/>
            <w:shd w:val="clear" w:color="auto" w:fill="EDEDED"/>
            <w:vAlign w:val="center"/>
          </w:tcPr>
          <w:p w14:paraId="6C1D69E9"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EDEDED"/>
            <w:vAlign w:val="center"/>
          </w:tcPr>
          <w:p w14:paraId="3F74F98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EDEDED"/>
            <w:vAlign w:val="center"/>
          </w:tcPr>
          <w:p w14:paraId="0595301F" w14:textId="77777777" w:rsidR="00FD0545" w:rsidRPr="00CD78CA" w:rsidRDefault="00FD0545" w:rsidP="00026782">
            <w:pPr>
              <w:jc w:val="center"/>
              <w:rPr>
                <w:rFonts w:eastAsia="Calibri"/>
                <w:color w:val="000000"/>
                <w:sz w:val="20"/>
                <w:szCs w:val="20"/>
              </w:rPr>
            </w:pPr>
            <w:r w:rsidRPr="00CD78CA">
              <w:rPr>
                <w:rFonts w:eastAsia="Calibri"/>
                <w:sz w:val="20"/>
                <w:szCs w:val="20"/>
              </w:rPr>
              <w:t>(1)</w:t>
            </w:r>
          </w:p>
        </w:tc>
      </w:tr>
      <w:tr w:rsidR="00FD0545" w:rsidRPr="00C376DE" w14:paraId="6843C9E8" w14:textId="77777777" w:rsidTr="00026782">
        <w:trPr>
          <w:trHeight w:val="20"/>
          <w:jc w:val="center"/>
        </w:trPr>
        <w:tc>
          <w:tcPr>
            <w:tcW w:w="2182" w:type="dxa"/>
            <w:vMerge/>
            <w:tcBorders>
              <w:left w:val="single" w:sz="4" w:space="0" w:color="FFFFFF"/>
            </w:tcBorders>
            <w:shd w:val="clear" w:color="auto" w:fill="A5A5A5"/>
            <w:hideMark/>
          </w:tcPr>
          <w:p w14:paraId="5B24204E" w14:textId="77777777" w:rsidR="00FD0545" w:rsidRPr="00CD78CA" w:rsidRDefault="00FD0545" w:rsidP="00026782">
            <w:pPr>
              <w:rPr>
                <w:rFonts w:eastAsia="Calibri"/>
                <w:b/>
                <w:bCs/>
                <w:sz w:val="20"/>
                <w:szCs w:val="20"/>
              </w:rPr>
            </w:pPr>
          </w:p>
        </w:tc>
        <w:tc>
          <w:tcPr>
            <w:tcW w:w="1214" w:type="dxa"/>
            <w:vMerge w:val="restart"/>
            <w:shd w:val="clear" w:color="auto" w:fill="DBDBDB"/>
            <w:hideMark/>
          </w:tcPr>
          <w:p w14:paraId="13F82A1A" w14:textId="77777777" w:rsidR="00FD0545" w:rsidRPr="00CD78CA" w:rsidRDefault="00FD0545" w:rsidP="00026782">
            <w:pPr>
              <w:rPr>
                <w:rFonts w:eastAsia="Calibri"/>
                <w:sz w:val="20"/>
                <w:szCs w:val="20"/>
              </w:rPr>
            </w:pPr>
            <w:r w:rsidRPr="00CD78CA">
              <w:rPr>
                <w:rFonts w:eastAsia="Calibri"/>
                <w:sz w:val="20"/>
                <w:szCs w:val="20"/>
              </w:rPr>
              <w:t>Szerzőként, magyar nyelvű</w:t>
            </w:r>
          </w:p>
        </w:tc>
        <w:tc>
          <w:tcPr>
            <w:tcW w:w="1863" w:type="dxa"/>
            <w:shd w:val="clear" w:color="auto" w:fill="DBDBDB"/>
            <w:vAlign w:val="center"/>
            <w:hideMark/>
          </w:tcPr>
          <w:p w14:paraId="3273F226" w14:textId="77777777" w:rsidR="00FD0545" w:rsidRPr="00CD78CA" w:rsidRDefault="00FD0545" w:rsidP="00026782">
            <w:pPr>
              <w:rPr>
                <w:rFonts w:eastAsia="Calibri"/>
                <w:color w:val="000000"/>
                <w:sz w:val="20"/>
                <w:szCs w:val="20"/>
              </w:rPr>
            </w:pPr>
            <w:r w:rsidRPr="00CD78CA">
              <w:rPr>
                <w:rFonts w:eastAsia="Calibri"/>
                <w:color w:val="000000"/>
                <w:sz w:val="20"/>
                <w:szCs w:val="20"/>
              </w:rPr>
              <w:t>Első szerző</w:t>
            </w:r>
          </w:p>
        </w:tc>
        <w:tc>
          <w:tcPr>
            <w:tcW w:w="1309" w:type="dxa"/>
            <w:shd w:val="clear" w:color="auto" w:fill="DBDBDB"/>
            <w:vAlign w:val="center"/>
          </w:tcPr>
          <w:p w14:paraId="251D7951"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DBDBDB"/>
            <w:vAlign w:val="center"/>
          </w:tcPr>
          <w:p w14:paraId="76C3E64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6 pont</w:t>
            </w:r>
          </w:p>
        </w:tc>
        <w:tc>
          <w:tcPr>
            <w:tcW w:w="1293" w:type="dxa"/>
            <w:shd w:val="clear" w:color="auto" w:fill="DBDBDB"/>
            <w:vAlign w:val="center"/>
          </w:tcPr>
          <w:p w14:paraId="54660111" w14:textId="77777777" w:rsidR="00FD0545" w:rsidRPr="00CD78CA" w:rsidRDefault="00FD0545" w:rsidP="00026782">
            <w:pPr>
              <w:jc w:val="center"/>
              <w:rPr>
                <w:rFonts w:eastAsia="Calibri"/>
                <w:color w:val="000000"/>
                <w:sz w:val="20"/>
                <w:szCs w:val="20"/>
              </w:rPr>
            </w:pPr>
          </w:p>
        </w:tc>
      </w:tr>
      <w:tr w:rsidR="00FD0545" w:rsidRPr="00C376DE" w14:paraId="5E95F78C" w14:textId="77777777" w:rsidTr="00026782">
        <w:trPr>
          <w:trHeight w:val="20"/>
          <w:jc w:val="center"/>
        </w:trPr>
        <w:tc>
          <w:tcPr>
            <w:tcW w:w="2182" w:type="dxa"/>
            <w:vMerge/>
            <w:tcBorders>
              <w:left w:val="single" w:sz="4" w:space="0" w:color="FFFFFF"/>
            </w:tcBorders>
            <w:shd w:val="clear" w:color="auto" w:fill="A5A5A5"/>
          </w:tcPr>
          <w:p w14:paraId="0BA5B63B" w14:textId="77777777" w:rsidR="00FD0545" w:rsidRPr="00CD78CA" w:rsidRDefault="00FD0545" w:rsidP="00026782">
            <w:pPr>
              <w:rPr>
                <w:rFonts w:eastAsia="Calibri"/>
                <w:b/>
                <w:bCs/>
                <w:sz w:val="20"/>
                <w:szCs w:val="20"/>
              </w:rPr>
            </w:pPr>
          </w:p>
        </w:tc>
        <w:tc>
          <w:tcPr>
            <w:tcW w:w="1214" w:type="dxa"/>
            <w:vMerge/>
            <w:shd w:val="clear" w:color="auto" w:fill="EDEDED"/>
          </w:tcPr>
          <w:p w14:paraId="6F4CACF4" w14:textId="77777777" w:rsidR="00FD0545" w:rsidRPr="00CD78CA" w:rsidRDefault="00FD0545" w:rsidP="00026782">
            <w:pPr>
              <w:rPr>
                <w:rFonts w:eastAsia="Calibri"/>
                <w:sz w:val="20"/>
                <w:szCs w:val="20"/>
              </w:rPr>
            </w:pPr>
          </w:p>
        </w:tc>
        <w:tc>
          <w:tcPr>
            <w:tcW w:w="1863" w:type="dxa"/>
            <w:shd w:val="clear" w:color="auto" w:fill="EDEDED"/>
            <w:vAlign w:val="center"/>
          </w:tcPr>
          <w:p w14:paraId="6B93FD55" w14:textId="77777777" w:rsidR="00FD0545" w:rsidRPr="00CD78CA" w:rsidRDefault="00FD0545" w:rsidP="00026782">
            <w:pPr>
              <w:rPr>
                <w:rFonts w:eastAsia="Calibri"/>
                <w:color w:val="000000"/>
                <w:sz w:val="20"/>
                <w:szCs w:val="20"/>
              </w:rPr>
            </w:pPr>
            <w:r w:rsidRPr="00CD78CA">
              <w:rPr>
                <w:rFonts w:eastAsia="Calibri"/>
                <w:color w:val="000000"/>
                <w:sz w:val="20"/>
                <w:szCs w:val="20"/>
              </w:rPr>
              <w:t>Utolsó szerző</w:t>
            </w:r>
          </w:p>
        </w:tc>
        <w:tc>
          <w:tcPr>
            <w:tcW w:w="1309" w:type="dxa"/>
            <w:shd w:val="clear" w:color="auto" w:fill="EDEDED"/>
            <w:vAlign w:val="center"/>
          </w:tcPr>
          <w:p w14:paraId="276A86EA"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EDEDED"/>
            <w:vAlign w:val="center"/>
          </w:tcPr>
          <w:p w14:paraId="3CC67B2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3 pont</w:t>
            </w:r>
          </w:p>
        </w:tc>
        <w:tc>
          <w:tcPr>
            <w:tcW w:w="1293" w:type="dxa"/>
            <w:shd w:val="clear" w:color="auto" w:fill="EDEDED"/>
            <w:vAlign w:val="center"/>
          </w:tcPr>
          <w:p w14:paraId="257041B8" w14:textId="77777777" w:rsidR="00FD0545" w:rsidRPr="00CD78CA" w:rsidRDefault="00FD0545" w:rsidP="00026782">
            <w:pPr>
              <w:jc w:val="center"/>
              <w:rPr>
                <w:rFonts w:eastAsia="Calibri"/>
                <w:color w:val="000000"/>
                <w:sz w:val="20"/>
                <w:szCs w:val="20"/>
              </w:rPr>
            </w:pPr>
          </w:p>
        </w:tc>
      </w:tr>
      <w:tr w:rsidR="00FD0545" w:rsidRPr="00C376DE" w14:paraId="4130EC43" w14:textId="77777777" w:rsidTr="00026782">
        <w:trPr>
          <w:trHeight w:val="20"/>
          <w:jc w:val="center"/>
        </w:trPr>
        <w:tc>
          <w:tcPr>
            <w:tcW w:w="2182" w:type="dxa"/>
            <w:vMerge/>
            <w:tcBorders>
              <w:left w:val="single" w:sz="4" w:space="0" w:color="FFFFFF"/>
            </w:tcBorders>
            <w:shd w:val="clear" w:color="auto" w:fill="A5A5A5"/>
            <w:hideMark/>
          </w:tcPr>
          <w:p w14:paraId="3A46AF8B" w14:textId="77777777" w:rsidR="00FD0545" w:rsidRPr="00CD78CA" w:rsidRDefault="00FD0545" w:rsidP="00026782">
            <w:pPr>
              <w:rPr>
                <w:rFonts w:eastAsia="Calibri"/>
                <w:b/>
                <w:bCs/>
                <w:sz w:val="20"/>
                <w:szCs w:val="20"/>
              </w:rPr>
            </w:pPr>
          </w:p>
        </w:tc>
        <w:tc>
          <w:tcPr>
            <w:tcW w:w="1214" w:type="dxa"/>
            <w:vMerge/>
            <w:shd w:val="clear" w:color="auto" w:fill="DBDBDB"/>
            <w:hideMark/>
          </w:tcPr>
          <w:p w14:paraId="44C940BC" w14:textId="77777777" w:rsidR="00FD0545" w:rsidRPr="00CD78CA" w:rsidRDefault="00FD0545" w:rsidP="00026782">
            <w:pPr>
              <w:rPr>
                <w:rFonts w:eastAsia="Calibri"/>
                <w:sz w:val="20"/>
                <w:szCs w:val="20"/>
              </w:rPr>
            </w:pPr>
          </w:p>
        </w:tc>
        <w:tc>
          <w:tcPr>
            <w:tcW w:w="1863" w:type="dxa"/>
            <w:shd w:val="clear" w:color="auto" w:fill="DBDBDB"/>
            <w:vAlign w:val="center"/>
            <w:hideMark/>
          </w:tcPr>
          <w:p w14:paraId="77C552F2" w14:textId="77777777" w:rsidR="00FD0545" w:rsidRPr="00CD78CA" w:rsidRDefault="00FD0545" w:rsidP="00026782">
            <w:pPr>
              <w:rPr>
                <w:rFonts w:eastAsia="Calibri"/>
                <w:color w:val="000000"/>
                <w:sz w:val="20"/>
                <w:szCs w:val="20"/>
              </w:rPr>
            </w:pPr>
            <w:r w:rsidRPr="00CD78CA">
              <w:rPr>
                <w:rFonts w:eastAsia="Calibri"/>
                <w:color w:val="000000"/>
                <w:sz w:val="20"/>
                <w:szCs w:val="20"/>
              </w:rPr>
              <w:t>Társszerző</w:t>
            </w:r>
          </w:p>
        </w:tc>
        <w:tc>
          <w:tcPr>
            <w:tcW w:w="1309" w:type="dxa"/>
            <w:shd w:val="clear" w:color="auto" w:fill="DBDBDB"/>
            <w:vAlign w:val="center"/>
          </w:tcPr>
          <w:p w14:paraId="680C084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DBDBDB"/>
            <w:vAlign w:val="center"/>
          </w:tcPr>
          <w:p w14:paraId="30A630BC"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0,75 pont</w:t>
            </w:r>
          </w:p>
        </w:tc>
        <w:tc>
          <w:tcPr>
            <w:tcW w:w="1293" w:type="dxa"/>
            <w:shd w:val="clear" w:color="auto" w:fill="DBDBDB"/>
            <w:vAlign w:val="center"/>
          </w:tcPr>
          <w:p w14:paraId="72A864D3" w14:textId="77777777" w:rsidR="00FD0545" w:rsidRPr="00CD78CA" w:rsidRDefault="00FD0545" w:rsidP="00026782">
            <w:pPr>
              <w:jc w:val="center"/>
              <w:rPr>
                <w:rFonts w:eastAsia="Calibri"/>
                <w:color w:val="000000"/>
                <w:sz w:val="20"/>
                <w:szCs w:val="20"/>
              </w:rPr>
            </w:pPr>
            <w:r w:rsidRPr="00CD78CA">
              <w:rPr>
                <w:rFonts w:eastAsia="Calibri"/>
                <w:sz w:val="20"/>
                <w:szCs w:val="20"/>
              </w:rPr>
              <w:t>(1)</w:t>
            </w:r>
          </w:p>
        </w:tc>
      </w:tr>
      <w:tr w:rsidR="00FD0545" w:rsidRPr="00C376DE" w14:paraId="77F7E4F2" w14:textId="77777777" w:rsidTr="00026782">
        <w:trPr>
          <w:trHeight w:val="20"/>
          <w:jc w:val="center"/>
        </w:trPr>
        <w:tc>
          <w:tcPr>
            <w:tcW w:w="2182" w:type="dxa"/>
            <w:vMerge/>
            <w:tcBorders>
              <w:left w:val="single" w:sz="4" w:space="0" w:color="FFFFFF"/>
            </w:tcBorders>
            <w:shd w:val="clear" w:color="auto" w:fill="A5A5A5"/>
            <w:hideMark/>
          </w:tcPr>
          <w:p w14:paraId="0CE498B1" w14:textId="77777777" w:rsidR="00FD0545" w:rsidRPr="00CD78CA" w:rsidRDefault="00FD0545" w:rsidP="00026782">
            <w:pPr>
              <w:rPr>
                <w:rFonts w:eastAsia="Calibri"/>
                <w:b/>
                <w:bCs/>
                <w:sz w:val="20"/>
                <w:szCs w:val="20"/>
              </w:rPr>
            </w:pPr>
          </w:p>
        </w:tc>
        <w:tc>
          <w:tcPr>
            <w:tcW w:w="3077" w:type="dxa"/>
            <w:gridSpan w:val="2"/>
            <w:shd w:val="clear" w:color="auto" w:fill="EDEDED"/>
            <w:hideMark/>
          </w:tcPr>
          <w:p w14:paraId="38C26351" w14:textId="77777777" w:rsidR="00FD0545" w:rsidRPr="00CD78CA" w:rsidRDefault="00FD0545" w:rsidP="00026782">
            <w:pPr>
              <w:rPr>
                <w:rFonts w:eastAsia="Calibri"/>
                <w:color w:val="000000"/>
                <w:sz w:val="20"/>
                <w:szCs w:val="20"/>
              </w:rPr>
            </w:pPr>
            <w:r w:rsidRPr="00CD78CA">
              <w:rPr>
                <w:rFonts w:eastAsia="Calibri"/>
                <w:sz w:val="20"/>
                <w:szCs w:val="20"/>
              </w:rPr>
              <w:t>Szerkesztőként, idegen nyelvű</w:t>
            </w:r>
          </w:p>
        </w:tc>
        <w:tc>
          <w:tcPr>
            <w:tcW w:w="1309" w:type="dxa"/>
            <w:shd w:val="clear" w:color="auto" w:fill="EDEDED"/>
            <w:vAlign w:val="center"/>
          </w:tcPr>
          <w:p w14:paraId="1468E9E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EDEDED"/>
            <w:vAlign w:val="center"/>
          </w:tcPr>
          <w:p w14:paraId="17E2F83A"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 pont</w:t>
            </w:r>
          </w:p>
        </w:tc>
        <w:tc>
          <w:tcPr>
            <w:tcW w:w="1293" w:type="dxa"/>
            <w:shd w:val="clear" w:color="auto" w:fill="EDEDED"/>
            <w:vAlign w:val="center"/>
          </w:tcPr>
          <w:p w14:paraId="7959755A" w14:textId="77777777" w:rsidR="00FD0545" w:rsidRPr="00CD78CA" w:rsidRDefault="00FD0545" w:rsidP="00026782">
            <w:pPr>
              <w:jc w:val="center"/>
              <w:rPr>
                <w:rFonts w:eastAsia="Calibri"/>
                <w:color w:val="000000"/>
                <w:sz w:val="20"/>
                <w:szCs w:val="20"/>
              </w:rPr>
            </w:pPr>
          </w:p>
        </w:tc>
      </w:tr>
      <w:tr w:rsidR="00FD0545" w:rsidRPr="00C376DE" w14:paraId="128F6DBC" w14:textId="77777777" w:rsidTr="00026782">
        <w:trPr>
          <w:trHeight w:val="20"/>
          <w:jc w:val="center"/>
        </w:trPr>
        <w:tc>
          <w:tcPr>
            <w:tcW w:w="2182" w:type="dxa"/>
            <w:vMerge/>
            <w:tcBorders>
              <w:left w:val="single" w:sz="4" w:space="0" w:color="FFFFFF"/>
            </w:tcBorders>
            <w:shd w:val="clear" w:color="auto" w:fill="A5A5A5"/>
            <w:hideMark/>
          </w:tcPr>
          <w:p w14:paraId="7C16FD70" w14:textId="77777777" w:rsidR="00FD0545" w:rsidRPr="00CD78CA" w:rsidRDefault="00FD0545" w:rsidP="00026782">
            <w:pPr>
              <w:rPr>
                <w:rFonts w:eastAsia="Calibri"/>
                <w:b/>
                <w:bCs/>
                <w:sz w:val="20"/>
                <w:szCs w:val="20"/>
              </w:rPr>
            </w:pPr>
          </w:p>
        </w:tc>
        <w:tc>
          <w:tcPr>
            <w:tcW w:w="3077" w:type="dxa"/>
            <w:gridSpan w:val="2"/>
            <w:shd w:val="clear" w:color="auto" w:fill="DBDBDB"/>
            <w:hideMark/>
          </w:tcPr>
          <w:p w14:paraId="1905B6B0" w14:textId="77777777" w:rsidR="00FD0545" w:rsidRPr="00CD78CA" w:rsidRDefault="00FD0545" w:rsidP="00026782">
            <w:pPr>
              <w:rPr>
                <w:rFonts w:eastAsia="Calibri"/>
                <w:color w:val="000000"/>
                <w:sz w:val="20"/>
                <w:szCs w:val="20"/>
              </w:rPr>
            </w:pPr>
            <w:r w:rsidRPr="00CD78CA">
              <w:rPr>
                <w:rFonts w:eastAsia="Calibri"/>
                <w:sz w:val="20"/>
                <w:szCs w:val="20"/>
              </w:rPr>
              <w:t>Szerkesztőként, magyar nyelvű</w:t>
            </w:r>
          </w:p>
        </w:tc>
        <w:tc>
          <w:tcPr>
            <w:tcW w:w="1309" w:type="dxa"/>
            <w:shd w:val="clear" w:color="auto" w:fill="DBDBDB"/>
            <w:vAlign w:val="center"/>
          </w:tcPr>
          <w:p w14:paraId="0B3E414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DBDBDB"/>
            <w:vAlign w:val="center"/>
          </w:tcPr>
          <w:p w14:paraId="6E5BE5C3"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DBDBDB"/>
            <w:vAlign w:val="center"/>
          </w:tcPr>
          <w:p w14:paraId="568A4BEC" w14:textId="77777777" w:rsidR="00FD0545" w:rsidRPr="00CD78CA" w:rsidRDefault="00FD0545" w:rsidP="00026782">
            <w:pPr>
              <w:jc w:val="center"/>
              <w:rPr>
                <w:rFonts w:eastAsia="Calibri"/>
                <w:color w:val="000000"/>
                <w:sz w:val="20"/>
                <w:szCs w:val="20"/>
              </w:rPr>
            </w:pPr>
          </w:p>
        </w:tc>
      </w:tr>
      <w:tr w:rsidR="00FD0545" w:rsidRPr="00C376DE" w14:paraId="0EFB7A61" w14:textId="77777777" w:rsidTr="00026782">
        <w:trPr>
          <w:trHeight w:val="20"/>
          <w:jc w:val="center"/>
        </w:trPr>
        <w:tc>
          <w:tcPr>
            <w:tcW w:w="2182" w:type="dxa"/>
            <w:vMerge w:val="restart"/>
            <w:tcBorders>
              <w:left w:val="single" w:sz="4" w:space="0" w:color="FFFFFF"/>
            </w:tcBorders>
            <w:shd w:val="clear" w:color="auto" w:fill="A5A5A5"/>
            <w:hideMark/>
          </w:tcPr>
          <w:p w14:paraId="23718656" w14:textId="77777777" w:rsidR="00FD0545" w:rsidRPr="00CD78CA" w:rsidRDefault="00FD0545" w:rsidP="00026782">
            <w:pPr>
              <w:rPr>
                <w:rFonts w:eastAsia="Calibri"/>
                <w:b/>
                <w:bCs/>
                <w:sz w:val="20"/>
                <w:szCs w:val="20"/>
              </w:rPr>
            </w:pPr>
            <w:r w:rsidRPr="00CD78CA">
              <w:rPr>
                <w:rFonts w:eastAsia="Calibri"/>
                <w:b/>
                <w:bCs/>
                <w:sz w:val="20"/>
                <w:szCs w:val="20"/>
              </w:rPr>
              <w:t>IX. Konferencia-kiadvány szerkesztése</w:t>
            </w:r>
          </w:p>
        </w:tc>
        <w:tc>
          <w:tcPr>
            <w:tcW w:w="3077" w:type="dxa"/>
            <w:gridSpan w:val="2"/>
            <w:shd w:val="clear" w:color="auto" w:fill="EDEDED"/>
            <w:hideMark/>
          </w:tcPr>
          <w:p w14:paraId="553B5E31" w14:textId="77777777" w:rsidR="00FD0545" w:rsidRPr="00CD78CA" w:rsidRDefault="00FD0545" w:rsidP="00026782">
            <w:pPr>
              <w:rPr>
                <w:rFonts w:eastAsia="Calibri"/>
                <w:color w:val="000000"/>
                <w:sz w:val="20"/>
                <w:szCs w:val="20"/>
              </w:rPr>
            </w:pPr>
            <w:r w:rsidRPr="00CD78CA">
              <w:rPr>
                <w:rFonts w:eastAsia="Calibri"/>
                <w:color w:val="000000"/>
                <w:sz w:val="20"/>
                <w:szCs w:val="20"/>
              </w:rPr>
              <w:t>Idegen nyelvű</w:t>
            </w:r>
          </w:p>
        </w:tc>
        <w:tc>
          <w:tcPr>
            <w:tcW w:w="1309" w:type="dxa"/>
            <w:shd w:val="clear" w:color="auto" w:fill="EDEDED"/>
            <w:vAlign w:val="center"/>
          </w:tcPr>
          <w:p w14:paraId="61996C8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EDEDED"/>
            <w:vAlign w:val="center"/>
          </w:tcPr>
          <w:p w14:paraId="55E5FC2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 pont</w:t>
            </w:r>
          </w:p>
        </w:tc>
        <w:tc>
          <w:tcPr>
            <w:tcW w:w="1293" w:type="dxa"/>
            <w:shd w:val="clear" w:color="auto" w:fill="EDEDED"/>
            <w:vAlign w:val="center"/>
          </w:tcPr>
          <w:p w14:paraId="7307D822" w14:textId="77777777" w:rsidR="00FD0545" w:rsidRPr="00CD78CA" w:rsidRDefault="00FD0545" w:rsidP="00026782">
            <w:pPr>
              <w:jc w:val="center"/>
              <w:rPr>
                <w:rFonts w:eastAsia="Calibri"/>
                <w:color w:val="000000"/>
                <w:sz w:val="20"/>
                <w:szCs w:val="20"/>
              </w:rPr>
            </w:pPr>
          </w:p>
        </w:tc>
      </w:tr>
      <w:tr w:rsidR="00FD0545" w:rsidRPr="00C376DE" w14:paraId="304C0531" w14:textId="77777777" w:rsidTr="00026782">
        <w:trPr>
          <w:trHeight w:val="20"/>
          <w:jc w:val="center"/>
        </w:trPr>
        <w:tc>
          <w:tcPr>
            <w:tcW w:w="2182" w:type="dxa"/>
            <w:vMerge/>
            <w:tcBorders>
              <w:left w:val="single" w:sz="4" w:space="0" w:color="FFFFFF"/>
            </w:tcBorders>
            <w:shd w:val="clear" w:color="auto" w:fill="A5A5A5"/>
            <w:hideMark/>
          </w:tcPr>
          <w:p w14:paraId="60928F9D" w14:textId="77777777" w:rsidR="00FD0545" w:rsidRPr="00CD78CA" w:rsidRDefault="00FD0545" w:rsidP="00026782">
            <w:pPr>
              <w:rPr>
                <w:rFonts w:eastAsia="Calibri"/>
                <w:b/>
                <w:bCs/>
                <w:sz w:val="20"/>
                <w:szCs w:val="20"/>
              </w:rPr>
            </w:pPr>
          </w:p>
        </w:tc>
        <w:tc>
          <w:tcPr>
            <w:tcW w:w="3077" w:type="dxa"/>
            <w:gridSpan w:val="2"/>
            <w:shd w:val="clear" w:color="auto" w:fill="DBDBDB"/>
            <w:hideMark/>
          </w:tcPr>
          <w:p w14:paraId="719C5299" w14:textId="77777777" w:rsidR="00FD0545" w:rsidRPr="00CD78CA" w:rsidRDefault="00FD0545" w:rsidP="00026782">
            <w:pPr>
              <w:rPr>
                <w:rFonts w:eastAsia="Calibri"/>
                <w:color w:val="000000"/>
                <w:sz w:val="20"/>
                <w:szCs w:val="20"/>
              </w:rPr>
            </w:pPr>
            <w:r w:rsidRPr="00CD78CA">
              <w:rPr>
                <w:rFonts w:eastAsia="Calibri"/>
                <w:color w:val="000000"/>
                <w:sz w:val="20"/>
                <w:szCs w:val="20"/>
              </w:rPr>
              <w:t>Magyar nyelvű</w:t>
            </w:r>
          </w:p>
        </w:tc>
        <w:tc>
          <w:tcPr>
            <w:tcW w:w="1309" w:type="dxa"/>
            <w:shd w:val="clear" w:color="auto" w:fill="DBDBDB"/>
            <w:vAlign w:val="center"/>
          </w:tcPr>
          <w:p w14:paraId="1519AC40"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ív*</w:t>
            </w:r>
          </w:p>
        </w:tc>
        <w:tc>
          <w:tcPr>
            <w:tcW w:w="1206" w:type="dxa"/>
            <w:shd w:val="clear" w:color="auto" w:fill="DBDBDB"/>
            <w:vAlign w:val="center"/>
          </w:tcPr>
          <w:p w14:paraId="14F1BFA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0,5 pont</w:t>
            </w:r>
          </w:p>
        </w:tc>
        <w:tc>
          <w:tcPr>
            <w:tcW w:w="1293" w:type="dxa"/>
            <w:shd w:val="clear" w:color="auto" w:fill="DBDBDB"/>
            <w:vAlign w:val="center"/>
          </w:tcPr>
          <w:p w14:paraId="19536B67" w14:textId="77777777" w:rsidR="00FD0545" w:rsidRPr="00CD78CA" w:rsidRDefault="00FD0545" w:rsidP="00026782">
            <w:pPr>
              <w:jc w:val="center"/>
              <w:rPr>
                <w:rFonts w:eastAsia="Calibri"/>
                <w:color w:val="000000"/>
                <w:sz w:val="20"/>
                <w:szCs w:val="20"/>
              </w:rPr>
            </w:pPr>
          </w:p>
        </w:tc>
      </w:tr>
      <w:tr w:rsidR="00FD0545" w:rsidRPr="00C376DE" w14:paraId="5197700C" w14:textId="77777777" w:rsidTr="00026782">
        <w:trPr>
          <w:trHeight w:val="20"/>
          <w:jc w:val="center"/>
        </w:trPr>
        <w:tc>
          <w:tcPr>
            <w:tcW w:w="2182" w:type="dxa"/>
            <w:vMerge w:val="restart"/>
            <w:tcBorders>
              <w:left w:val="single" w:sz="4" w:space="0" w:color="FFFFFF"/>
            </w:tcBorders>
            <w:shd w:val="clear" w:color="auto" w:fill="A5A5A5"/>
          </w:tcPr>
          <w:p w14:paraId="6F6FFA2C" w14:textId="77777777" w:rsidR="00FD0545" w:rsidRPr="00CD78CA" w:rsidRDefault="00FD0545" w:rsidP="00026782">
            <w:pPr>
              <w:rPr>
                <w:rFonts w:eastAsia="Calibri"/>
                <w:b/>
                <w:bCs/>
                <w:sz w:val="20"/>
                <w:szCs w:val="20"/>
              </w:rPr>
            </w:pPr>
            <w:r w:rsidRPr="00CD78CA">
              <w:rPr>
                <w:rFonts w:eastAsia="Calibri"/>
                <w:b/>
                <w:bCs/>
                <w:sz w:val="20"/>
                <w:szCs w:val="20"/>
              </w:rPr>
              <w:t>X. Tudományos folyóirat szerkesztése</w:t>
            </w:r>
          </w:p>
        </w:tc>
        <w:tc>
          <w:tcPr>
            <w:tcW w:w="1214" w:type="dxa"/>
            <w:vMerge w:val="restart"/>
            <w:shd w:val="clear" w:color="auto" w:fill="EDEDED"/>
          </w:tcPr>
          <w:p w14:paraId="35DD4DDD" w14:textId="77777777" w:rsidR="00FD0545" w:rsidRPr="00CD78CA" w:rsidRDefault="00FD0545" w:rsidP="00026782">
            <w:pPr>
              <w:rPr>
                <w:rFonts w:eastAsia="Calibri"/>
                <w:color w:val="000000"/>
                <w:sz w:val="20"/>
                <w:szCs w:val="20"/>
              </w:rPr>
            </w:pPr>
            <w:r w:rsidRPr="00CD78CA">
              <w:rPr>
                <w:rFonts w:eastAsia="Calibri"/>
                <w:color w:val="000000"/>
                <w:sz w:val="20"/>
                <w:szCs w:val="20"/>
              </w:rPr>
              <w:t>Magyar</w:t>
            </w:r>
          </w:p>
        </w:tc>
        <w:tc>
          <w:tcPr>
            <w:tcW w:w="1863" w:type="dxa"/>
            <w:shd w:val="clear" w:color="auto" w:fill="EDEDED"/>
            <w:vAlign w:val="center"/>
          </w:tcPr>
          <w:p w14:paraId="0600F613"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Szerkesztőbizottsági tag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rendelkező folyóiratban</w:t>
            </w:r>
          </w:p>
        </w:tc>
        <w:tc>
          <w:tcPr>
            <w:tcW w:w="1309" w:type="dxa"/>
            <w:shd w:val="clear" w:color="auto" w:fill="EDEDED"/>
            <w:vAlign w:val="center"/>
          </w:tcPr>
          <w:p w14:paraId="6DECE1C2"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339DCBC9"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10 pont</w:t>
            </w:r>
          </w:p>
        </w:tc>
        <w:tc>
          <w:tcPr>
            <w:tcW w:w="1293" w:type="dxa"/>
            <w:shd w:val="clear" w:color="auto" w:fill="EDEDED"/>
            <w:vAlign w:val="center"/>
          </w:tcPr>
          <w:p w14:paraId="479F9EAF" w14:textId="77777777" w:rsidR="00FD0545" w:rsidRPr="00CD78CA" w:rsidRDefault="00FD0545" w:rsidP="00026782">
            <w:pPr>
              <w:jc w:val="center"/>
              <w:rPr>
                <w:rFonts w:eastAsia="Calibri"/>
                <w:color w:val="000000"/>
                <w:sz w:val="20"/>
                <w:szCs w:val="20"/>
              </w:rPr>
            </w:pPr>
          </w:p>
        </w:tc>
      </w:tr>
      <w:tr w:rsidR="00FD0545" w:rsidRPr="00C376DE" w14:paraId="522D69B6" w14:textId="77777777" w:rsidTr="00026782">
        <w:trPr>
          <w:trHeight w:val="20"/>
          <w:jc w:val="center"/>
        </w:trPr>
        <w:tc>
          <w:tcPr>
            <w:tcW w:w="2182" w:type="dxa"/>
            <w:vMerge/>
            <w:tcBorders>
              <w:left w:val="single" w:sz="4" w:space="0" w:color="FFFFFF"/>
            </w:tcBorders>
            <w:shd w:val="clear" w:color="auto" w:fill="A5A5A5"/>
          </w:tcPr>
          <w:p w14:paraId="39B25959"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0A1A6EC5" w14:textId="77777777" w:rsidR="00FD0545" w:rsidRPr="00CD78CA" w:rsidRDefault="00FD0545" w:rsidP="00026782">
            <w:pPr>
              <w:rPr>
                <w:rFonts w:eastAsia="Calibri"/>
                <w:color w:val="000000"/>
                <w:sz w:val="20"/>
                <w:szCs w:val="20"/>
              </w:rPr>
            </w:pPr>
          </w:p>
        </w:tc>
        <w:tc>
          <w:tcPr>
            <w:tcW w:w="1863" w:type="dxa"/>
            <w:shd w:val="clear" w:color="auto" w:fill="DBDBDB"/>
            <w:vAlign w:val="center"/>
          </w:tcPr>
          <w:p w14:paraId="33184153"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Szerkesztőbizottsági tag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NEM rendelkező folyóiratban</w:t>
            </w:r>
          </w:p>
        </w:tc>
        <w:tc>
          <w:tcPr>
            <w:tcW w:w="1309" w:type="dxa"/>
            <w:shd w:val="clear" w:color="auto" w:fill="DBDBDB"/>
            <w:vAlign w:val="center"/>
          </w:tcPr>
          <w:p w14:paraId="448EEB1D"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39DE88D5"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5 pont</w:t>
            </w:r>
          </w:p>
        </w:tc>
        <w:tc>
          <w:tcPr>
            <w:tcW w:w="1293" w:type="dxa"/>
            <w:shd w:val="clear" w:color="auto" w:fill="DBDBDB"/>
            <w:vAlign w:val="center"/>
          </w:tcPr>
          <w:p w14:paraId="2934304B" w14:textId="77777777" w:rsidR="00FD0545" w:rsidRPr="00CD78CA" w:rsidRDefault="00FD0545" w:rsidP="00026782">
            <w:pPr>
              <w:jc w:val="center"/>
              <w:rPr>
                <w:rFonts w:eastAsia="Calibri"/>
                <w:color w:val="000000"/>
                <w:sz w:val="20"/>
                <w:szCs w:val="20"/>
              </w:rPr>
            </w:pPr>
          </w:p>
        </w:tc>
      </w:tr>
      <w:tr w:rsidR="00FD0545" w:rsidRPr="00C376DE" w14:paraId="455B426E" w14:textId="77777777" w:rsidTr="00026782">
        <w:trPr>
          <w:trHeight w:val="20"/>
          <w:jc w:val="center"/>
        </w:trPr>
        <w:tc>
          <w:tcPr>
            <w:tcW w:w="2182" w:type="dxa"/>
            <w:vMerge/>
            <w:tcBorders>
              <w:left w:val="single" w:sz="4" w:space="0" w:color="FFFFFF"/>
            </w:tcBorders>
            <w:shd w:val="clear" w:color="auto" w:fill="A5A5A5"/>
          </w:tcPr>
          <w:p w14:paraId="333D5B5C"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53E6B602" w14:textId="77777777" w:rsidR="00FD0545" w:rsidRPr="00CD78CA" w:rsidRDefault="00FD0545" w:rsidP="00026782">
            <w:pPr>
              <w:rPr>
                <w:rFonts w:eastAsia="Calibri"/>
                <w:color w:val="000000"/>
                <w:sz w:val="20"/>
                <w:szCs w:val="20"/>
              </w:rPr>
            </w:pPr>
          </w:p>
        </w:tc>
        <w:tc>
          <w:tcPr>
            <w:tcW w:w="1863" w:type="dxa"/>
            <w:shd w:val="clear" w:color="auto" w:fill="EDEDED"/>
            <w:vAlign w:val="center"/>
          </w:tcPr>
          <w:p w14:paraId="54E13F8B"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Főszerkesztő vagy </w:t>
            </w:r>
            <w:proofErr w:type="spellStart"/>
            <w:r w:rsidRPr="00CD78CA">
              <w:rPr>
                <w:rFonts w:eastAsia="Calibri"/>
                <w:color w:val="000000"/>
                <w:sz w:val="20"/>
                <w:szCs w:val="20"/>
              </w:rPr>
              <w:t>szekesztőbizottság</w:t>
            </w:r>
            <w:proofErr w:type="spellEnd"/>
            <w:r w:rsidRPr="00CD78CA">
              <w:rPr>
                <w:rFonts w:eastAsia="Calibri"/>
                <w:color w:val="000000"/>
                <w:sz w:val="20"/>
                <w:szCs w:val="20"/>
              </w:rPr>
              <w:t xml:space="preserve"> elnőke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rendelkező folyóiratban</w:t>
            </w:r>
          </w:p>
        </w:tc>
        <w:tc>
          <w:tcPr>
            <w:tcW w:w="1309" w:type="dxa"/>
            <w:shd w:val="clear" w:color="auto" w:fill="EDEDED"/>
            <w:vAlign w:val="center"/>
          </w:tcPr>
          <w:p w14:paraId="604FA903"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6B13B90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20 pont</w:t>
            </w:r>
          </w:p>
        </w:tc>
        <w:tc>
          <w:tcPr>
            <w:tcW w:w="1293" w:type="dxa"/>
            <w:shd w:val="clear" w:color="auto" w:fill="EDEDED"/>
            <w:vAlign w:val="center"/>
          </w:tcPr>
          <w:p w14:paraId="6EAEDCD8" w14:textId="77777777" w:rsidR="00FD0545" w:rsidRPr="00CD78CA" w:rsidRDefault="00FD0545" w:rsidP="00026782">
            <w:pPr>
              <w:jc w:val="center"/>
              <w:rPr>
                <w:rFonts w:eastAsia="Calibri"/>
                <w:color w:val="000000"/>
                <w:sz w:val="20"/>
                <w:szCs w:val="20"/>
              </w:rPr>
            </w:pPr>
          </w:p>
        </w:tc>
      </w:tr>
      <w:tr w:rsidR="00FD0545" w:rsidRPr="00C376DE" w14:paraId="52D3B413" w14:textId="77777777" w:rsidTr="00026782">
        <w:trPr>
          <w:trHeight w:val="20"/>
          <w:jc w:val="center"/>
        </w:trPr>
        <w:tc>
          <w:tcPr>
            <w:tcW w:w="2182" w:type="dxa"/>
            <w:vMerge/>
            <w:tcBorders>
              <w:left w:val="single" w:sz="4" w:space="0" w:color="FFFFFF"/>
            </w:tcBorders>
            <w:shd w:val="clear" w:color="auto" w:fill="A5A5A5"/>
          </w:tcPr>
          <w:p w14:paraId="59104875"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60B889D1" w14:textId="77777777" w:rsidR="00FD0545" w:rsidRPr="00CD78CA" w:rsidRDefault="00FD0545" w:rsidP="00026782">
            <w:pPr>
              <w:rPr>
                <w:rFonts w:eastAsia="Calibri"/>
                <w:color w:val="000000"/>
                <w:sz w:val="20"/>
                <w:szCs w:val="20"/>
              </w:rPr>
            </w:pPr>
          </w:p>
        </w:tc>
        <w:tc>
          <w:tcPr>
            <w:tcW w:w="1863" w:type="dxa"/>
            <w:shd w:val="clear" w:color="auto" w:fill="DBDBDB"/>
            <w:vAlign w:val="center"/>
          </w:tcPr>
          <w:p w14:paraId="228C048C"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Főszerkesztő vagy </w:t>
            </w:r>
            <w:proofErr w:type="spellStart"/>
            <w:r w:rsidRPr="00CD78CA">
              <w:rPr>
                <w:rFonts w:eastAsia="Calibri"/>
                <w:color w:val="000000"/>
                <w:sz w:val="20"/>
                <w:szCs w:val="20"/>
              </w:rPr>
              <w:t>szekesztőbizottság</w:t>
            </w:r>
            <w:proofErr w:type="spellEnd"/>
            <w:r w:rsidRPr="00CD78CA">
              <w:rPr>
                <w:rFonts w:eastAsia="Calibri"/>
                <w:color w:val="000000"/>
                <w:sz w:val="20"/>
                <w:szCs w:val="20"/>
              </w:rPr>
              <w:t xml:space="preserve"> elnőke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NEM rendelkező folyóiratban</w:t>
            </w:r>
          </w:p>
        </w:tc>
        <w:tc>
          <w:tcPr>
            <w:tcW w:w="1309" w:type="dxa"/>
            <w:shd w:val="clear" w:color="auto" w:fill="DBDBDB"/>
            <w:vAlign w:val="center"/>
          </w:tcPr>
          <w:p w14:paraId="70973EBB"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754E7DE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10 pont</w:t>
            </w:r>
          </w:p>
        </w:tc>
        <w:tc>
          <w:tcPr>
            <w:tcW w:w="1293" w:type="dxa"/>
            <w:shd w:val="clear" w:color="auto" w:fill="DBDBDB"/>
            <w:vAlign w:val="center"/>
          </w:tcPr>
          <w:p w14:paraId="5F40C508" w14:textId="77777777" w:rsidR="00FD0545" w:rsidRPr="00CD78CA" w:rsidRDefault="00FD0545" w:rsidP="00026782">
            <w:pPr>
              <w:jc w:val="center"/>
              <w:rPr>
                <w:rFonts w:eastAsia="Calibri"/>
                <w:color w:val="000000"/>
                <w:sz w:val="20"/>
                <w:szCs w:val="20"/>
              </w:rPr>
            </w:pPr>
          </w:p>
        </w:tc>
      </w:tr>
      <w:tr w:rsidR="00FD0545" w:rsidRPr="00C376DE" w14:paraId="49B95A3C" w14:textId="77777777" w:rsidTr="00026782">
        <w:trPr>
          <w:trHeight w:val="20"/>
          <w:jc w:val="center"/>
        </w:trPr>
        <w:tc>
          <w:tcPr>
            <w:tcW w:w="2182" w:type="dxa"/>
            <w:vMerge/>
            <w:tcBorders>
              <w:left w:val="single" w:sz="4" w:space="0" w:color="FFFFFF"/>
            </w:tcBorders>
            <w:shd w:val="clear" w:color="auto" w:fill="A5A5A5"/>
          </w:tcPr>
          <w:p w14:paraId="1EB01386" w14:textId="77777777" w:rsidR="00FD0545" w:rsidRPr="00CD78CA" w:rsidRDefault="00FD0545" w:rsidP="00026782">
            <w:pPr>
              <w:rPr>
                <w:rFonts w:eastAsia="Calibri"/>
                <w:b/>
                <w:bCs/>
                <w:color w:val="FFFFFF"/>
                <w:sz w:val="20"/>
                <w:szCs w:val="20"/>
              </w:rPr>
            </w:pPr>
          </w:p>
        </w:tc>
        <w:tc>
          <w:tcPr>
            <w:tcW w:w="1214" w:type="dxa"/>
            <w:vMerge w:val="restart"/>
            <w:shd w:val="clear" w:color="auto" w:fill="EDEDED"/>
          </w:tcPr>
          <w:p w14:paraId="63E9AE41" w14:textId="77777777" w:rsidR="00FD0545" w:rsidRPr="00CD78CA" w:rsidRDefault="00FD0545" w:rsidP="00026782">
            <w:pPr>
              <w:rPr>
                <w:rFonts w:eastAsia="Calibri"/>
                <w:color w:val="000000"/>
                <w:sz w:val="20"/>
                <w:szCs w:val="20"/>
              </w:rPr>
            </w:pPr>
            <w:r w:rsidRPr="00CD78CA">
              <w:rPr>
                <w:rFonts w:eastAsia="Calibri"/>
                <w:color w:val="000000"/>
                <w:sz w:val="20"/>
                <w:szCs w:val="20"/>
              </w:rPr>
              <w:t>Nemzetközi</w:t>
            </w:r>
          </w:p>
        </w:tc>
        <w:tc>
          <w:tcPr>
            <w:tcW w:w="1863" w:type="dxa"/>
            <w:shd w:val="clear" w:color="auto" w:fill="EDEDED"/>
            <w:vAlign w:val="center"/>
          </w:tcPr>
          <w:p w14:paraId="16CEE4C2"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Szerkesztőbizottsági tag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rendelkező folyóiratban</w:t>
            </w:r>
          </w:p>
        </w:tc>
        <w:tc>
          <w:tcPr>
            <w:tcW w:w="1309" w:type="dxa"/>
            <w:shd w:val="clear" w:color="auto" w:fill="EDEDED"/>
            <w:vAlign w:val="center"/>
          </w:tcPr>
          <w:p w14:paraId="1A2AA498"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70F924F2"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15 pont</w:t>
            </w:r>
          </w:p>
        </w:tc>
        <w:tc>
          <w:tcPr>
            <w:tcW w:w="1293" w:type="dxa"/>
            <w:shd w:val="clear" w:color="auto" w:fill="EDEDED"/>
            <w:vAlign w:val="center"/>
          </w:tcPr>
          <w:p w14:paraId="210B4DEE" w14:textId="77777777" w:rsidR="00FD0545" w:rsidRPr="00CD78CA" w:rsidRDefault="00FD0545" w:rsidP="00026782">
            <w:pPr>
              <w:jc w:val="center"/>
              <w:rPr>
                <w:rFonts w:eastAsia="Calibri"/>
                <w:color w:val="000000"/>
                <w:sz w:val="20"/>
                <w:szCs w:val="20"/>
              </w:rPr>
            </w:pPr>
          </w:p>
        </w:tc>
      </w:tr>
      <w:tr w:rsidR="00FD0545" w:rsidRPr="00C376DE" w14:paraId="66AA17B5" w14:textId="77777777" w:rsidTr="00026782">
        <w:trPr>
          <w:trHeight w:val="20"/>
          <w:jc w:val="center"/>
        </w:trPr>
        <w:tc>
          <w:tcPr>
            <w:tcW w:w="2182" w:type="dxa"/>
            <w:vMerge/>
            <w:tcBorders>
              <w:left w:val="single" w:sz="4" w:space="0" w:color="FFFFFF"/>
            </w:tcBorders>
            <w:shd w:val="clear" w:color="auto" w:fill="A5A5A5"/>
          </w:tcPr>
          <w:p w14:paraId="66C7812B"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0EB33281" w14:textId="77777777" w:rsidR="00FD0545" w:rsidRPr="00CD78CA" w:rsidRDefault="00FD0545" w:rsidP="00026782">
            <w:pPr>
              <w:rPr>
                <w:rFonts w:eastAsia="Calibri"/>
                <w:color w:val="000000"/>
                <w:sz w:val="20"/>
                <w:szCs w:val="20"/>
              </w:rPr>
            </w:pPr>
          </w:p>
        </w:tc>
        <w:tc>
          <w:tcPr>
            <w:tcW w:w="1863" w:type="dxa"/>
            <w:shd w:val="clear" w:color="auto" w:fill="DBDBDB"/>
            <w:vAlign w:val="center"/>
          </w:tcPr>
          <w:p w14:paraId="0BA53736"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Szerkesztőbizottsági tag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NEM rendelkező folyóiratban</w:t>
            </w:r>
          </w:p>
        </w:tc>
        <w:tc>
          <w:tcPr>
            <w:tcW w:w="1309" w:type="dxa"/>
            <w:shd w:val="clear" w:color="auto" w:fill="DBDBDB"/>
            <w:vAlign w:val="center"/>
          </w:tcPr>
          <w:p w14:paraId="5C43DCD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327D3114"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7,5 pont</w:t>
            </w:r>
          </w:p>
        </w:tc>
        <w:tc>
          <w:tcPr>
            <w:tcW w:w="1293" w:type="dxa"/>
            <w:shd w:val="clear" w:color="auto" w:fill="DBDBDB"/>
            <w:vAlign w:val="center"/>
          </w:tcPr>
          <w:p w14:paraId="07D08C7C" w14:textId="77777777" w:rsidR="00FD0545" w:rsidRPr="00CD78CA" w:rsidRDefault="00FD0545" w:rsidP="00026782">
            <w:pPr>
              <w:jc w:val="center"/>
              <w:rPr>
                <w:rFonts w:eastAsia="Calibri"/>
                <w:color w:val="000000"/>
                <w:sz w:val="20"/>
                <w:szCs w:val="20"/>
              </w:rPr>
            </w:pPr>
          </w:p>
        </w:tc>
      </w:tr>
      <w:tr w:rsidR="00FD0545" w:rsidRPr="00C376DE" w14:paraId="5CB2048C" w14:textId="77777777" w:rsidTr="00026782">
        <w:trPr>
          <w:trHeight w:val="20"/>
          <w:jc w:val="center"/>
        </w:trPr>
        <w:tc>
          <w:tcPr>
            <w:tcW w:w="2182" w:type="dxa"/>
            <w:vMerge/>
            <w:tcBorders>
              <w:left w:val="single" w:sz="4" w:space="0" w:color="FFFFFF"/>
            </w:tcBorders>
            <w:shd w:val="clear" w:color="auto" w:fill="A5A5A5"/>
          </w:tcPr>
          <w:p w14:paraId="265C7078" w14:textId="77777777" w:rsidR="00FD0545" w:rsidRPr="00CD78CA" w:rsidRDefault="00FD0545" w:rsidP="00026782">
            <w:pPr>
              <w:rPr>
                <w:rFonts w:eastAsia="Calibri"/>
                <w:b/>
                <w:bCs/>
                <w:color w:val="FFFFFF"/>
                <w:sz w:val="20"/>
                <w:szCs w:val="20"/>
              </w:rPr>
            </w:pPr>
          </w:p>
        </w:tc>
        <w:tc>
          <w:tcPr>
            <w:tcW w:w="1214" w:type="dxa"/>
            <w:vMerge/>
            <w:shd w:val="clear" w:color="auto" w:fill="EDEDED"/>
          </w:tcPr>
          <w:p w14:paraId="43536CC8" w14:textId="77777777" w:rsidR="00FD0545" w:rsidRPr="00CD78CA" w:rsidRDefault="00FD0545" w:rsidP="00026782">
            <w:pPr>
              <w:rPr>
                <w:rFonts w:eastAsia="Calibri"/>
                <w:color w:val="000000"/>
                <w:sz w:val="20"/>
                <w:szCs w:val="20"/>
              </w:rPr>
            </w:pPr>
          </w:p>
        </w:tc>
        <w:tc>
          <w:tcPr>
            <w:tcW w:w="1863" w:type="dxa"/>
            <w:shd w:val="clear" w:color="auto" w:fill="EDEDED"/>
            <w:vAlign w:val="center"/>
          </w:tcPr>
          <w:p w14:paraId="72810F8B"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Főszerkesztő vagy </w:t>
            </w:r>
            <w:proofErr w:type="spellStart"/>
            <w:r w:rsidRPr="00CD78CA">
              <w:rPr>
                <w:rFonts w:eastAsia="Calibri"/>
                <w:color w:val="000000"/>
                <w:sz w:val="20"/>
                <w:szCs w:val="20"/>
              </w:rPr>
              <w:t>szekesztőbizottság</w:t>
            </w:r>
            <w:proofErr w:type="spellEnd"/>
            <w:r w:rsidRPr="00CD78CA">
              <w:rPr>
                <w:rFonts w:eastAsia="Calibri"/>
                <w:color w:val="000000"/>
                <w:sz w:val="20"/>
                <w:szCs w:val="20"/>
              </w:rPr>
              <w:t xml:space="preserve"> elnőke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rendelkező folyóiratban</w:t>
            </w:r>
          </w:p>
        </w:tc>
        <w:tc>
          <w:tcPr>
            <w:tcW w:w="1309" w:type="dxa"/>
            <w:shd w:val="clear" w:color="auto" w:fill="EDEDED"/>
            <w:vAlign w:val="center"/>
          </w:tcPr>
          <w:p w14:paraId="5C3E2DF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EDEDED"/>
            <w:vAlign w:val="center"/>
          </w:tcPr>
          <w:p w14:paraId="58777C0F"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30 pont</w:t>
            </w:r>
          </w:p>
        </w:tc>
        <w:tc>
          <w:tcPr>
            <w:tcW w:w="1293" w:type="dxa"/>
            <w:shd w:val="clear" w:color="auto" w:fill="EDEDED"/>
            <w:vAlign w:val="center"/>
          </w:tcPr>
          <w:p w14:paraId="7ADF1EEB" w14:textId="77777777" w:rsidR="00FD0545" w:rsidRPr="00CD78CA" w:rsidRDefault="00FD0545" w:rsidP="00026782">
            <w:pPr>
              <w:jc w:val="center"/>
              <w:rPr>
                <w:rFonts w:eastAsia="Calibri"/>
                <w:color w:val="000000"/>
                <w:sz w:val="20"/>
                <w:szCs w:val="20"/>
              </w:rPr>
            </w:pPr>
          </w:p>
        </w:tc>
      </w:tr>
      <w:tr w:rsidR="00FD0545" w:rsidRPr="00C376DE" w14:paraId="4CCE1B4D" w14:textId="77777777" w:rsidTr="00026782">
        <w:trPr>
          <w:trHeight w:val="20"/>
          <w:jc w:val="center"/>
        </w:trPr>
        <w:tc>
          <w:tcPr>
            <w:tcW w:w="2182" w:type="dxa"/>
            <w:vMerge/>
            <w:tcBorders>
              <w:left w:val="single" w:sz="4" w:space="0" w:color="FFFFFF"/>
              <w:bottom w:val="single" w:sz="4" w:space="0" w:color="FFFFFF"/>
            </w:tcBorders>
            <w:shd w:val="clear" w:color="auto" w:fill="A5A5A5"/>
          </w:tcPr>
          <w:p w14:paraId="34654D58" w14:textId="77777777" w:rsidR="00FD0545" w:rsidRPr="00CD78CA" w:rsidRDefault="00FD0545" w:rsidP="00026782">
            <w:pPr>
              <w:rPr>
                <w:rFonts w:eastAsia="Calibri"/>
                <w:b/>
                <w:bCs/>
                <w:color w:val="FFFFFF"/>
                <w:sz w:val="20"/>
                <w:szCs w:val="20"/>
              </w:rPr>
            </w:pPr>
          </w:p>
        </w:tc>
        <w:tc>
          <w:tcPr>
            <w:tcW w:w="1214" w:type="dxa"/>
            <w:vMerge/>
            <w:shd w:val="clear" w:color="auto" w:fill="DBDBDB"/>
          </w:tcPr>
          <w:p w14:paraId="2D5504AF" w14:textId="77777777" w:rsidR="00FD0545" w:rsidRPr="00CD78CA" w:rsidRDefault="00FD0545" w:rsidP="00026782">
            <w:pPr>
              <w:rPr>
                <w:rFonts w:eastAsia="Calibri"/>
                <w:color w:val="000000"/>
                <w:sz w:val="20"/>
                <w:szCs w:val="20"/>
              </w:rPr>
            </w:pPr>
          </w:p>
        </w:tc>
        <w:tc>
          <w:tcPr>
            <w:tcW w:w="1863" w:type="dxa"/>
            <w:shd w:val="clear" w:color="auto" w:fill="DBDBDB"/>
            <w:vAlign w:val="center"/>
          </w:tcPr>
          <w:p w14:paraId="31A16DA4" w14:textId="77777777" w:rsidR="00FD0545" w:rsidRPr="00CD78CA" w:rsidRDefault="00FD0545" w:rsidP="00026782">
            <w:pPr>
              <w:rPr>
                <w:rFonts w:eastAsia="Calibri"/>
                <w:color w:val="000000"/>
                <w:sz w:val="20"/>
                <w:szCs w:val="20"/>
              </w:rPr>
            </w:pPr>
            <w:r w:rsidRPr="00CD78CA">
              <w:rPr>
                <w:rFonts w:eastAsia="Calibri"/>
                <w:color w:val="000000"/>
                <w:sz w:val="20"/>
                <w:szCs w:val="20"/>
              </w:rPr>
              <w:t xml:space="preserve">Főszerkesztő vagy </w:t>
            </w:r>
            <w:proofErr w:type="spellStart"/>
            <w:r w:rsidRPr="00CD78CA">
              <w:rPr>
                <w:rFonts w:eastAsia="Calibri"/>
                <w:color w:val="000000"/>
                <w:sz w:val="20"/>
                <w:szCs w:val="20"/>
              </w:rPr>
              <w:t>szekesztőbizottság</w:t>
            </w:r>
            <w:proofErr w:type="spellEnd"/>
            <w:r w:rsidRPr="00CD78CA">
              <w:rPr>
                <w:rFonts w:eastAsia="Calibri"/>
                <w:color w:val="000000"/>
                <w:sz w:val="20"/>
                <w:szCs w:val="20"/>
              </w:rPr>
              <w:t xml:space="preserve"> elnőke </w:t>
            </w:r>
            <w:proofErr w:type="spellStart"/>
            <w:r w:rsidRPr="00CD78CA">
              <w:rPr>
                <w:rFonts w:eastAsia="Calibri"/>
                <w:color w:val="000000"/>
                <w:sz w:val="20"/>
                <w:szCs w:val="20"/>
              </w:rPr>
              <w:t>impakt</w:t>
            </w:r>
            <w:proofErr w:type="spellEnd"/>
            <w:r w:rsidRPr="00CD78CA">
              <w:rPr>
                <w:rFonts w:eastAsia="Calibri"/>
                <w:color w:val="000000"/>
                <w:sz w:val="20"/>
                <w:szCs w:val="20"/>
              </w:rPr>
              <w:t xml:space="preserve"> </w:t>
            </w:r>
            <w:proofErr w:type="gramStart"/>
            <w:r w:rsidRPr="00CD78CA">
              <w:rPr>
                <w:rFonts w:eastAsia="Calibri"/>
                <w:color w:val="000000"/>
                <w:sz w:val="20"/>
                <w:szCs w:val="20"/>
              </w:rPr>
              <w:t>faktorral</w:t>
            </w:r>
            <w:proofErr w:type="gramEnd"/>
            <w:r w:rsidRPr="00CD78CA">
              <w:rPr>
                <w:rFonts w:eastAsia="Calibri"/>
                <w:color w:val="000000"/>
                <w:sz w:val="20"/>
                <w:szCs w:val="20"/>
              </w:rPr>
              <w:t xml:space="preserve"> NEM rendelkező folyóiratban</w:t>
            </w:r>
          </w:p>
        </w:tc>
        <w:tc>
          <w:tcPr>
            <w:tcW w:w="1309" w:type="dxa"/>
            <w:shd w:val="clear" w:color="auto" w:fill="DBDBDB"/>
            <w:vAlign w:val="center"/>
          </w:tcPr>
          <w:p w14:paraId="18F7EBAC"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db</w:t>
            </w:r>
          </w:p>
        </w:tc>
        <w:tc>
          <w:tcPr>
            <w:tcW w:w="1206" w:type="dxa"/>
            <w:shd w:val="clear" w:color="auto" w:fill="DBDBDB"/>
            <w:vAlign w:val="center"/>
          </w:tcPr>
          <w:p w14:paraId="7A18D6B6" w14:textId="77777777" w:rsidR="00FD0545" w:rsidRPr="00CD78CA" w:rsidRDefault="00FD0545" w:rsidP="00026782">
            <w:pPr>
              <w:jc w:val="center"/>
              <w:rPr>
                <w:rFonts w:eastAsia="Calibri"/>
                <w:color w:val="000000"/>
                <w:sz w:val="20"/>
                <w:szCs w:val="20"/>
              </w:rPr>
            </w:pPr>
            <w:r w:rsidRPr="00CD78CA">
              <w:rPr>
                <w:rFonts w:eastAsia="Calibri"/>
                <w:color w:val="000000"/>
                <w:sz w:val="20"/>
                <w:szCs w:val="20"/>
              </w:rPr>
              <w:t>15 pont</w:t>
            </w:r>
          </w:p>
        </w:tc>
        <w:tc>
          <w:tcPr>
            <w:tcW w:w="1293" w:type="dxa"/>
            <w:shd w:val="clear" w:color="auto" w:fill="DBDBDB"/>
            <w:vAlign w:val="center"/>
          </w:tcPr>
          <w:p w14:paraId="25F1EAEC" w14:textId="77777777" w:rsidR="00FD0545" w:rsidRPr="00CD78CA" w:rsidRDefault="00FD0545" w:rsidP="00026782">
            <w:pPr>
              <w:jc w:val="center"/>
              <w:rPr>
                <w:rFonts w:eastAsia="Calibri"/>
                <w:color w:val="000000"/>
                <w:sz w:val="20"/>
                <w:szCs w:val="20"/>
              </w:rPr>
            </w:pPr>
          </w:p>
        </w:tc>
      </w:tr>
    </w:tbl>
    <w:p w14:paraId="19FA4253" w14:textId="77777777" w:rsidR="00FD0545" w:rsidRPr="00E13CE5" w:rsidRDefault="00FD0545" w:rsidP="00FD0545">
      <w:pPr>
        <w:rPr>
          <w:rFonts w:eastAsia="Calibri"/>
          <w:sz w:val="22"/>
          <w:szCs w:val="22"/>
        </w:rPr>
      </w:pPr>
      <w:r w:rsidRPr="00E13CE5">
        <w:rPr>
          <w:rFonts w:eastAsia="Calibri"/>
          <w:sz w:val="22"/>
          <w:szCs w:val="22"/>
        </w:rPr>
        <w:lastRenderedPageBreak/>
        <w:t>(1): Vizsgált időszakban társszerzőként összesen 15 pont szerezhető!</w:t>
      </w:r>
    </w:p>
    <w:p w14:paraId="30CF2C77" w14:textId="77777777" w:rsidR="00FD0545" w:rsidRPr="00E13CE5" w:rsidRDefault="00FD0545" w:rsidP="00FD0545">
      <w:pPr>
        <w:rPr>
          <w:rFonts w:eastAsia="Calibri"/>
          <w:sz w:val="22"/>
          <w:szCs w:val="22"/>
        </w:rPr>
      </w:pPr>
      <w:r w:rsidRPr="00E13CE5">
        <w:rPr>
          <w:rFonts w:eastAsia="Calibri"/>
          <w:sz w:val="22"/>
          <w:szCs w:val="22"/>
        </w:rPr>
        <w:t xml:space="preserve">*: 1 szerzői ív: 40.000 </w:t>
      </w:r>
      <w:proofErr w:type="gramStart"/>
      <w:r w:rsidRPr="00E13CE5">
        <w:rPr>
          <w:rFonts w:eastAsia="Calibri"/>
          <w:sz w:val="22"/>
          <w:szCs w:val="22"/>
        </w:rPr>
        <w:t>karakter</w:t>
      </w:r>
      <w:proofErr w:type="gramEnd"/>
      <w:r w:rsidRPr="00E13CE5">
        <w:rPr>
          <w:rFonts w:eastAsia="Calibri"/>
          <w:sz w:val="22"/>
          <w:szCs w:val="22"/>
        </w:rPr>
        <w:t xml:space="preserve"> (körülbelül 16 gépelt A/4 oldal)</w:t>
      </w:r>
    </w:p>
    <w:p w14:paraId="16E9A18E" w14:textId="77777777" w:rsidR="00FD0545" w:rsidRPr="00E13CE5" w:rsidRDefault="00FD0545" w:rsidP="00FD0545">
      <w:pPr>
        <w:spacing w:before="160"/>
        <w:rPr>
          <w:rFonts w:eastAsia="Calibri"/>
          <w:sz w:val="22"/>
          <w:szCs w:val="22"/>
        </w:rPr>
      </w:pPr>
      <w:r w:rsidRPr="00E13CE5">
        <w:rPr>
          <w:rFonts w:eastAsia="Calibri"/>
          <w:sz w:val="22"/>
          <w:szCs w:val="22"/>
        </w:rPr>
        <w:t xml:space="preserve">Amennyiben az ívben értékelt mű terjedelme az 1 szerzői ívet (40.000 </w:t>
      </w:r>
      <w:proofErr w:type="gramStart"/>
      <w:r w:rsidRPr="00E13CE5">
        <w:rPr>
          <w:rFonts w:eastAsia="Calibri"/>
          <w:sz w:val="22"/>
          <w:szCs w:val="22"/>
        </w:rPr>
        <w:t>karakter</w:t>
      </w:r>
      <w:proofErr w:type="gramEnd"/>
      <w:r w:rsidRPr="00E13CE5">
        <w:rPr>
          <w:rFonts w:eastAsia="Calibri"/>
          <w:sz w:val="22"/>
          <w:szCs w:val="22"/>
        </w:rPr>
        <w:t xml:space="preserve"> A/4 gépelt oldal) nem éri el, TÉR pont nem adható. Az ívszám karakterszámból történő meghatározása minden esetben lefele kerekítéssel történik!</w:t>
      </w:r>
    </w:p>
    <w:p w14:paraId="1BE793A3" w14:textId="77777777" w:rsidR="00FD0545" w:rsidRPr="00E13CE5" w:rsidRDefault="00FD0545" w:rsidP="00FD0545">
      <w:pPr>
        <w:spacing w:before="160"/>
        <w:rPr>
          <w:rFonts w:eastAsia="Calibri"/>
          <w:sz w:val="22"/>
          <w:szCs w:val="22"/>
        </w:rPr>
      </w:pPr>
      <w:r w:rsidRPr="00E13CE5">
        <w:rPr>
          <w:rFonts w:eastAsia="Calibri"/>
          <w:sz w:val="22"/>
          <w:szCs w:val="22"/>
        </w:rPr>
        <w:t>Abban az esetben, amennyiben az MTMT adatbázis, működésénél fogva időszaki adat szolgáltatására nem, csak naptári évre vonatkozó adat kinyerésére alkalmas, az értékelési időszakba eső utolsó teljes év adatait kell figyelembe venni.</w:t>
      </w:r>
    </w:p>
    <w:p w14:paraId="1E179FE5" w14:textId="77777777" w:rsidR="00FD0545" w:rsidRPr="00E13CE5" w:rsidRDefault="00FD0545" w:rsidP="00FD0545">
      <w:pPr>
        <w:spacing w:before="160"/>
        <w:rPr>
          <w:rFonts w:eastAsia="Calibri"/>
          <w:sz w:val="22"/>
          <w:szCs w:val="22"/>
        </w:rPr>
      </w:pPr>
    </w:p>
    <w:p w14:paraId="0B5DD934" w14:textId="77777777" w:rsidR="00FD0545" w:rsidRPr="00E13CE5" w:rsidRDefault="00FD0545" w:rsidP="00FD0545">
      <w:pPr>
        <w:rPr>
          <w:rFonts w:eastAsia="Calibri"/>
          <w:sz w:val="22"/>
          <w:szCs w:val="22"/>
        </w:rPr>
      </w:pPr>
      <w:r w:rsidRPr="00E13CE5">
        <w:rPr>
          <w:rFonts w:eastAsia="Calibri"/>
          <w:sz w:val="22"/>
          <w:szCs w:val="22"/>
        </w:rPr>
        <w:t>A pontszámítás paraméterei:</w:t>
      </w:r>
    </w:p>
    <w:p w14:paraId="2A625E88"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PESZ TÉR= </m:t>
          </m:r>
          <m:nary>
            <m:naryPr>
              <m:chr m:val="∑"/>
              <m:limLoc m:val="undOvr"/>
              <m:subHide m:val="1"/>
              <m:supHide m:val="1"/>
              <m:ctrlPr>
                <w:rPr>
                  <w:rFonts w:ascii="Cambria Math" w:eastAsia="Calibri" w:hAnsi="Cambria Math"/>
                  <w:i/>
                  <w:sz w:val="22"/>
                  <w:szCs w:val="22"/>
                </w:rPr>
              </m:ctrlPr>
            </m:naryPr>
            <m:sub/>
            <m:sup/>
            <m:e>
              <m:sSub>
                <m:sSubPr>
                  <m:ctrlPr>
                    <w:rPr>
                      <w:rFonts w:ascii="Cambria Math" w:eastAsia="Calibri" w:hAnsi="Cambria Math"/>
                      <w:i/>
                      <w:sz w:val="22"/>
                      <w:szCs w:val="22"/>
                    </w:rPr>
                  </m:ctrlPr>
                </m:sSubPr>
                <m:e>
                  <m:r>
                    <w:rPr>
                      <w:rFonts w:ascii="Cambria Math" w:eastAsia="Calibri" w:hAnsi="Cambria Math"/>
                      <w:sz w:val="22"/>
                      <w:szCs w:val="22"/>
                    </w:rPr>
                    <m:t>MÉRÉSEGYSÉG</m:t>
                  </m:r>
                </m:e>
                <m:sub>
                  <m:r>
                    <w:rPr>
                      <w:rFonts w:ascii="Cambria Math" w:eastAsia="Calibri" w:hAnsi="Cambria Math"/>
                      <w:sz w:val="22"/>
                      <w:szCs w:val="22"/>
                    </w:rPr>
                    <m:t>ELSŐ SZERZŐ</m:t>
                  </m:r>
                </m:sub>
              </m:sSub>
              <m:r>
                <w:rPr>
                  <w:rFonts w:ascii="Cambria Math" w:eastAsia="Calibri" w:hAnsi="Cambria Math"/>
                  <w:sz w:val="22"/>
                  <w:szCs w:val="22"/>
                </w:rPr>
                <m:t xml:space="preserve"> ×EGYSÉGPONT</m:t>
              </m:r>
            </m:e>
          </m:nary>
        </m:oMath>
      </m:oMathPara>
    </w:p>
    <w:p w14:paraId="1AD15B8E" w14:textId="77777777" w:rsidR="00FD0545" w:rsidRPr="00E13CE5" w:rsidRDefault="00FD0545" w:rsidP="00FD0545">
      <w:pPr>
        <w:rPr>
          <w:rFonts w:eastAsia="Calibri"/>
          <w:sz w:val="22"/>
          <w:szCs w:val="22"/>
        </w:rPr>
      </w:pPr>
      <w:r w:rsidRPr="00E13CE5">
        <w:rPr>
          <w:rFonts w:eastAsia="Calibri"/>
          <w:sz w:val="22"/>
          <w:szCs w:val="22"/>
        </w:rPr>
        <w:t>Ahol PESZ TÉR a publikáció első szerzőjeként szerezhető pontok összege.</w:t>
      </w:r>
    </w:p>
    <w:p w14:paraId="6CB20963" w14:textId="77777777" w:rsidR="00FD0545" w:rsidRPr="00E13CE5" w:rsidRDefault="00FD0545" w:rsidP="00FD0545">
      <w:pPr>
        <w:rPr>
          <w:rFonts w:eastAsia="Calibri"/>
          <w:sz w:val="22"/>
          <w:szCs w:val="22"/>
        </w:rPr>
      </w:pPr>
    </w:p>
    <w:p w14:paraId="051EFAA7"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PUSZ TÉR= </m:t>
          </m:r>
          <m:nary>
            <m:naryPr>
              <m:chr m:val="∑"/>
              <m:limLoc m:val="undOvr"/>
              <m:subHide m:val="1"/>
              <m:supHide m:val="1"/>
              <m:ctrlPr>
                <w:rPr>
                  <w:rFonts w:ascii="Cambria Math" w:eastAsia="Calibri" w:hAnsi="Cambria Math"/>
                  <w:i/>
                  <w:sz w:val="22"/>
                  <w:szCs w:val="22"/>
                </w:rPr>
              </m:ctrlPr>
            </m:naryPr>
            <m:sub/>
            <m:sup/>
            <m:e>
              <m:sSub>
                <m:sSubPr>
                  <m:ctrlPr>
                    <w:rPr>
                      <w:rFonts w:ascii="Cambria Math" w:eastAsia="Calibri" w:hAnsi="Cambria Math"/>
                      <w:i/>
                      <w:sz w:val="22"/>
                      <w:szCs w:val="22"/>
                    </w:rPr>
                  </m:ctrlPr>
                </m:sSubPr>
                <m:e>
                  <m:r>
                    <w:rPr>
                      <w:rFonts w:ascii="Cambria Math" w:eastAsia="Calibri" w:hAnsi="Cambria Math"/>
                      <w:sz w:val="22"/>
                      <w:szCs w:val="22"/>
                    </w:rPr>
                    <m:t>MÉRÉSEGYSÉG</m:t>
                  </m:r>
                </m:e>
                <m:sub>
                  <m:r>
                    <w:rPr>
                      <w:rFonts w:ascii="Cambria Math" w:eastAsia="Calibri" w:hAnsi="Cambria Math"/>
                      <w:sz w:val="22"/>
                      <w:szCs w:val="22"/>
                    </w:rPr>
                    <m:t>UTOLSÓ SZERZŐ</m:t>
                  </m:r>
                </m:sub>
              </m:sSub>
              <m:r>
                <w:rPr>
                  <w:rFonts w:ascii="Cambria Math" w:eastAsia="Calibri" w:hAnsi="Cambria Math"/>
                  <w:sz w:val="22"/>
                  <w:szCs w:val="22"/>
                </w:rPr>
                <m:t xml:space="preserve"> ×EGYSÉGPONT</m:t>
              </m:r>
            </m:e>
          </m:nary>
        </m:oMath>
      </m:oMathPara>
    </w:p>
    <w:p w14:paraId="10828A80" w14:textId="77777777" w:rsidR="00FD0545" w:rsidRPr="00E13CE5" w:rsidRDefault="00FD0545" w:rsidP="00FD0545">
      <w:pPr>
        <w:rPr>
          <w:rFonts w:eastAsia="Calibri"/>
          <w:sz w:val="22"/>
          <w:szCs w:val="22"/>
        </w:rPr>
      </w:pPr>
      <w:r w:rsidRPr="00E13CE5">
        <w:rPr>
          <w:rFonts w:eastAsia="Calibri"/>
          <w:sz w:val="22"/>
          <w:szCs w:val="22"/>
        </w:rPr>
        <w:t>Ahol PUSZ TÉR a publikáció utolsó szerzőjeként szerezhető pontok összege.</w:t>
      </w:r>
    </w:p>
    <w:p w14:paraId="7B07FBF5" w14:textId="77777777" w:rsidR="00FD0545" w:rsidRPr="00E13CE5" w:rsidRDefault="00FD0545" w:rsidP="00FD0545">
      <w:pPr>
        <w:rPr>
          <w:rFonts w:eastAsia="Calibri"/>
          <w:sz w:val="22"/>
          <w:szCs w:val="22"/>
        </w:rPr>
      </w:pPr>
    </w:p>
    <w:p w14:paraId="7C59CD54"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PTSZ TÉR= </m:t>
          </m:r>
          <m:nary>
            <m:naryPr>
              <m:chr m:val="∑"/>
              <m:limLoc m:val="undOvr"/>
              <m:subHide m:val="1"/>
              <m:supHide m:val="1"/>
              <m:ctrlPr>
                <w:rPr>
                  <w:rFonts w:ascii="Cambria Math" w:eastAsia="Calibri" w:hAnsi="Cambria Math"/>
                  <w:i/>
                  <w:sz w:val="22"/>
                  <w:szCs w:val="22"/>
                </w:rPr>
              </m:ctrlPr>
            </m:naryPr>
            <m:sub/>
            <m:sup/>
            <m:e>
              <m:sSub>
                <m:sSubPr>
                  <m:ctrlPr>
                    <w:rPr>
                      <w:rFonts w:ascii="Cambria Math" w:eastAsia="Calibri" w:hAnsi="Cambria Math"/>
                      <w:i/>
                      <w:sz w:val="22"/>
                      <w:szCs w:val="22"/>
                    </w:rPr>
                  </m:ctrlPr>
                </m:sSubPr>
                <m:e>
                  <m:r>
                    <w:rPr>
                      <w:rFonts w:ascii="Cambria Math" w:eastAsia="Calibri" w:hAnsi="Cambria Math"/>
                      <w:sz w:val="22"/>
                      <w:szCs w:val="22"/>
                    </w:rPr>
                    <m:t>MÉRÉSEGYSÉG</m:t>
                  </m:r>
                </m:e>
                <m:sub>
                  <m:r>
                    <w:rPr>
                      <w:rFonts w:ascii="Cambria Math" w:eastAsia="Calibri" w:hAnsi="Cambria Math"/>
                      <w:sz w:val="22"/>
                      <w:szCs w:val="22"/>
                    </w:rPr>
                    <m:t>TÁRSSZERZŐ</m:t>
                  </m:r>
                </m:sub>
              </m:sSub>
              <m:r>
                <w:rPr>
                  <w:rFonts w:ascii="Cambria Math" w:eastAsia="Calibri" w:hAnsi="Cambria Math"/>
                  <w:sz w:val="22"/>
                  <w:szCs w:val="22"/>
                </w:rPr>
                <m:t xml:space="preserve"> ×EGYSÉGPONT</m:t>
              </m:r>
            </m:e>
          </m:nary>
        </m:oMath>
      </m:oMathPara>
    </w:p>
    <w:p w14:paraId="1C26FBF0" w14:textId="77777777" w:rsidR="00FD0545" w:rsidRPr="00E13CE5" w:rsidRDefault="00FD0545" w:rsidP="00FD0545">
      <w:pPr>
        <w:rPr>
          <w:rFonts w:eastAsia="Calibri"/>
          <w:sz w:val="22"/>
          <w:szCs w:val="22"/>
        </w:rPr>
      </w:pPr>
      <w:r w:rsidRPr="00E13CE5">
        <w:rPr>
          <w:rFonts w:eastAsia="Calibri"/>
          <w:sz w:val="22"/>
          <w:szCs w:val="22"/>
        </w:rPr>
        <w:t>Ahol PTSZ TÉR a publikáció társzerzőjeként szerezhető pontok összege.</w:t>
      </w:r>
    </w:p>
    <w:p w14:paraId="1E9BF9BC" w14:textId="77777777" w:rsidR="00FD0545" w:rsidRPr="00E13CE5" w:rsidRDefault="00FD0545" w:rsidP="00FD0545">
      <w:pPr>
        <w:rPr>
          <w:b/>
          <w:bCs/>
          <w:sz w:val="22"/>
          <w:szCs w:val="22"/>
        </w:rPr>
      </w:pPr>
    </w:p>
    <w:p w14:paraId="60C86914" w14:textId="77777777" w:rsidR="00FD0545" w:rsidRPr="00E13CE5" w:rsidRDefault="00FD0545" w:rsidP="00FD0545">
      <w:pPr>
        <w:jc w:val="both"/>
        <w:rPr>
          <w:rFonts w:eastAsia="Calibri"/>
          <w:b/>
          <w:bCs/>
          <w:sz w:val="22"/>
          <w:szCs w:val="22"/>
        </w:rPr>
      </w:pPr>
      <w:r w:rsidRPr="00E13CE5">
        <w:rPr>
          <w:b/>
          <w:bCs/>
          <w:sz w:val="22"/>
          <w:szCs w:val="22"/>
        </w:rPr>
        <w:t>Publikáció társszerzőjeként (amennyiben az nem utolsó szerzőség) valamennyi publikációs forma figyelembevételével legfeljebb 15 pont mértékig vehető figyelembe.</w:t>
      </w:r>
      <w:r w:rsidRPr="00E13CE5">
        <w:rPr>
          <w:rFonts w:eastAsia="Calibri"/>
          <w:b/>
          <w:bCs/>
          <w:sz w:val="22"/>
          <w:szCs w:val="22"/>
        </w:rPr>
        <w:t xml:space="preserve"> </w:t>
      </w:r>
    </w:p>
    <w:p w14:paraId="0373FE8F"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IF TÉR= IF×0,1+ ∆IF ×20</m:t>
          </m:r>
        </m:oMath>
      </m:oMathPara>
    </w:p>
    <w:p w14:paraId="13F962B5" w14:textId="77777777" w:rsidR="00FD0545" w:rsidRPr="00E13CE5" w:rsidRDefault="00FD0545" w:rsidP="00FD0545">
      <w:pPr>
        <w:rPr>
          <w:rFonts w:eastAsia="Calibri"/>
          <w:sz w:val="22"/>
          <w:szCs w:val="22"/>
        </w:rPr>
      </w:pPr>
      <w:r w:rsidRPr="00E13CE5">
        <w:rPr>
          <w:rFonts w:eastAsia="Calibri"/>
          <w:sz w:val="22"/>
          <w:szCs w:val="22"/>
        </w:rPr>
        <w:t xml:space="preserve">Ahol IF TÉR az </w:t>
      </w:r>
      <w:proofErr w:type="spellStart"/>
      <w:r w:rsidRPr="00E13CE5">
        <w:rPr>
          <w:rFonts w:eastAsia="Calibri"/>
          <w:sz w:val="22"/>
          <w:szCs w:val="22"/>
        </w:rPr>
        <w:t>impakt</w:t>
      </w:r>
      <w:proofErr w:type="spellEnd"/>
      <w:r w:rsidRPr="00E13CE5">
        <w:rPr>
          <w:rFonts w:eastAsia="Calibri"/>
          <w:sz w:val="22"/>
          <w:szCs w:val="22"/>
        </w:rPr>
        <w:t xml:space="preserve"> </w:t>
      </w:r>
      <w:proofErr w:type="gramStart"/>
      <w:r w:rsidRPr="00E13CE5">
        <w:rPr>
          <w:rFonts w:eastAsia="Calibri"/>
          <w:sz w:val="22"/>
          <w:szCs w:val="22"/>
        </w:rPr>
        <w:t>faktor</w:t>
      </w:r>
      <w:proofErr w:type="gramEnd"/>
      <w:r w:rsidRPr="00E13CE5">
        <w:rPr>
          <w:rFonts w:eastAsia="Calibri"/>
          <w:sz w:val="22"/>
          <w:szCs w:val="22"/>
        </w:rPr>
        <w:t xml:space="preserve"> vizsgált időszakban történő változásával (ΔIF) megszerezhető pont.</w:t>
      </w:r>
    </w:p>
    <w:p w14:paraId="614C7A6A" w14:textId="77777777" w:rsidR="00FD0545" w:rsidRPr="00E13CE5" w:rsidRDefault="00FD0545" w:rsidP="00FD0545">
      <w:pPr>
        <w:rPr>
          <w:rFonts w:eastAsia="Calibri"/>
          <w:sz w:val="22"/>
          <w:szCs w:val="22"/>
        </w:rPr>
      </w:pPr>
    </w:p>
    <w:p w14:paraId="4E012B58"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H TÉR= ∆H ×20</m:t>
          </m:r>
        </m:oMath>
      </m:oMathPara>
    </w:p>
    <w:p w14:paraId="1DE8ABF5" w14:textId="77777777" w:rsidR="00FD0545" w:rsidRPr="00E13CE5" w:rsidRDefault="00FD0545" w:rsidP="00FD0545">
      <w:pPr>
        <w:rPr>
          <w:rFonts w:eastAsia="Calibri"/>
          <w:sz w:val="22"/>
          <w:szCs w:val="22"/>
        </w:rPr>
      </w:pPr>
      <w:r w:rsidRPr="00E13CE5">
        <w:rPr>
          <w:rFonts w:eastAsia="Calibri"/>
          <w:sz w:val="22"/>
          <w:szCs w:val="22"/>
        </w:rPr>
        <w:t>Ahol H TÉR a Hirsch index vizsgált időszakban történő változásával (ΔH) megszerezhető pont.</w:t>
      </w:r>
    </w:p>
    <w:p w14:paraId="02199972" w14:textId="77777777" w:rsidR="00FD0545" w:rsidRPr="00E13CE5" w:rsidRDefault="00FD0545" w:rsidP="00FD0545">
      <w:pPr>
        <w:rPr>
          <w:rFonts w:eastAsia="Calibri"/>
          <w:sz w:val="22"/>
          <w:szCs w:val="22"/>
        </w:rPr>
      </w:pPr>
    </w:p>
    <w:p w14:paraId="2B2049D0" w14:textId="77777777" w:rsidR="00FD0545" w:rsidRPr="00E13CE5" w:rsidRDefault="00FD0545" w:rsidP="00FD0545">
      <w:pPr>
        <w:rPr>
          <w:rFonts w:eastAsia="Calibri"/>
          <w:sz w:val="22"/>
          <w:szCs w:val="22"/>
        </w:rPr>
      </w:pPr>
    </w:p>
    <w:p w14:paraId="10BC682A"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C TÉR= </m:t>
          </m:r>
          <m:sSub>
            <m:sSubPr>
              <m:ctrlPr>
                <w:rPr>
                  <w:rFonts w:ascii="Cambria Math" w:eastAsia="Calibri" w:hAnsi="Cambria Math"/>
                  <w:i/>
                  <w:sz w:val="22"/>
                  <w:szCs w:val="22"/>
                </w:rPr>
              </m:ctrlPr>
            </m:sSubPr>
            <m:e>
              <m:r>
                <w:rPr>
                  <w:rFonts w:ascii="Cambria Math" w:eastAsia="Calibri" w:hAnsi="Cambria Math"/>
                  <w:sz w:val="22"/>
                  <w:szCs w:val="22"/>
                </w:rPr>
                <m:t>(∆CITÁCIÓ</m:t>
              </m:r>
            </m:e>
            <m:sub>
              <m:r>
                <w:rPr>
                  <w:rFonts w:ascii="Cambria Math" w:eastAsia="Calibri" w:hAnsi="Cambria Math"/>
                  <w:sz w:val="22"/>
                  <w:szCs w:val="22"/>
                </w:rPr>
                <m:t>FÜGGŐ</m:t>
              </m:r>
            </m:sub>
          </m:sSub>
          <m:r>
            <w:rPr>
              <w:rFonts w:ascii="Cambria Math" w:eastAsia="Calibri" w:hAnsi="Cambria Math"/>
              <w:sz w:val="22"/>
              <w:szCs w:val="22"/>
            </w:rPr>
            <m:t xml:space="preserve"> ×1)+(</m:t>
          </m:r>
          <m:sSub>
            <m:sSubPr>
              <m:ctrlPr>
                <w:rPr>
                  <w:rFonts w:ascii="Cambria Math" w:eastAsia="Calibri" w:hAnsi="Cambria Math"/>
                  <w:i/>
                  <w:sz w:val="22"/>
                  <w:szCs w:val="22"/>
                </w:rPr>
              </m:ctrlPr>
            </m:sSubPr>
            <m:e>
              <m:r>
                <w:rPr>
                  <w:rFonts w:ascii="Cambria Math" w:eastAsia="Calibri" w:hAnsi="Cambria Math"/>
                  <w:sz w:val="22"/>
                  <w:szCs w:val="22"/>
                </w:rPr>
                <m:t>∆CITÁCIÓ</m:t>
              </m:r>
            </m:e>
            <m:sub>
              <m:r>
                <w:rPr>
                  <w:rFonts w:ascii="Cambria Math" w:eastAsia="Calibri" w:hAnsi="Cambria Math"/>
                  <w:sz w:val="22"/>
                  <w:szCs w:val="22"/>
                </w:rPr>
                <m:t>FÜGGETLEN</m:t>
              </m:r>
            </m:sub>
          </m:sSub>
          <m:r>
            <w:rPr>
              <w:rFonts w:ascii="Cambria Math" w:eastAsia="Calibri" w:hAnsi="Cambria Math"/>
              <w:sz w:val="22"/>
              <w:szCs w:val="22"/>
            </w:rPr>
            <m:t xml:space="preserve"> ×2)</m:t>
          </m:r>
        </m:oMath>
      </m:oMathPara>
    </w:p>
    <w:p w14:paraId="26F4D532" w14:textId="77777777" w:rsidR="00FD0545" w:rsidRPr="00E13CE5" w:rsidRDefault="00FD0545" w:rsidP="00FD0545">
      <w:pPr>
        <w:rPr>
          <w:rFonts w:eastAsia="Calibri"/>
          <w:sz w:val="22"/>
          <w:szCs w:val="22"/>
        </w:rPr>
      </w:pPr>
      <w:r w:rsidRPr="00E13CE5">
        <w:rPr>
          <w:rFonts w:eastAsia="Calibri"/>
          <w:sz w:val="22"/>
          <w:szCs w:val="22"/>
        </w:rPr>
        <w:t xml:space="preserve">Ahol C TÉR a </w:t>
      </w:r>
      <w:proofErr w:type="spellStart"/>
      <w:r w:rsidRPr="00E13CE5">
        <w:rPr>
          <w:rFonts w:eastAsia="Calibri"/>
          <w:sz w:val="22"/>
          <w:szCs w:val="22"/>
        </w:rPr>
        <w:t>citációk</w:t>
      </w:r>
      <w:proofErr w:type="spellEnd"/>
      <w:r w:rsidRPr="00E13CE5">
        <w:rPr>
          <w:rFonts w:eastAsia="Calibri"/>
          <w:sz w:val="22"/>
          <w:szCs w:val="22"/>
        </w:rPr>
        <w:t xml:space="preserve"> vizsgált időszakban történő változásával (ΔCITÁCIÓ) megszerezhető pont.</w:t>
      </w:r>
    </w:p>
    <w:p w14:paraId="19A3B303" w14:textId="77777777" w:rsidR="00FD0545" w:rsidRPr="00E13CE5" w:rsidRDefault="00FD0545" w:rsidP="00FD0545">
      <w:pPr>
        <w:rPr>
          <w:rFonts w:eastAsia="Calibri"/>
          <w:sz w:val="22"/>
          <w:szCs w:val="22"/>
        </w:rPr>
      </w:pPr>
    </w:p>
    <w:p w14:paraId="38173762"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Q TÉR= Q1 ×20+Q2 ×15+Q3 ×10+Q4 ×5</m:t>
          </m:r>
        </m:oMath>
      </m:oMathPara>
    </w:p>
    <w:p w14:paraId="6DB47467" w14:textId="77777777" w:rsidR="00FD0545" w:rsidRPr="00E13CE5" w:rsidRDefault="00FD0545" w:rsidP="00FD0545">
      <w:pPr>
        <w:rPr>
          <w:rFonts w:eastAsia="Calibri"/>
          <w:sz w:val="22"/>
          <w:szCs w:val="22"/>
        </w:rPr>
      </w:pPr>
      <w:r w:rsidRPr="00E13CE5">
        <w:rPr>
          <w:rFonts w:eastAsia="Calibri"/>
          <w:sz w:val="22"/>
          <w:szCs w:val="22"/>
        </w:rPr>
        <w:t>Ahol Q TÉR a presztízs</w:t>
      </w:r>
      <w:proofErr w:type="gramStart"/>
      <w:r w:rsidRPr="00E13CE5">
        <w:rPr>
          <w:rFonts w:eastAsia="Calibri"/>
          <w:sz w:val="22"/>
          <w:szCs w:val="22"/>
        </w:rPr>
        <w:t>faktorral</w:t>
      </w:r>
      <w:proofErr w:type="gramEnd"/>
      <w:r w:rsidRPr="00E13CE5">
        <w:rPr>
          <w:rFonts w:eastAsia="Calibri"/>
          <w:sz w:val="22"/>
          <w:szCs w:val="22"/>
        </w:rPr>
        <w:t xml:space="preserve"> (Q1-Q4) minősített publikációkkal megszerezhető pont.</w:t>
      </w:r>
    </w:p>
    <w:p w14:paraId="3EE29066" w14:textId="77777777" w:rsidR="00FD0545" w:rsidRPr="00E13CE5" w:rsidRDefault="00FD0545" w:rsidP="00FD0545">
      <w:pPr>
        <w:rPr>
          <w:rFonts w:eastAsia="Calibri"/>
          <w:sz w:val="22"/>
          <w:szCs w:val="22"/>
        </w:rPr>
      </w:pPr>
    </w:p>
    <w:p w14:paraId="14CA71FF" w14:textId="77777777" w:rsidR="00FD0545" w:rsidRPr="00FD0545" w:rsidRDefault="00FD0545" w:rsidP="00FD0545">
      <w:pPr>
        <w:pBdr>
          <w:top w:val="single" w:sz="4" w:space="1" w:color="auto"/>
          <w:left w:val="single" w:sz="4" w:space="4" w:color="auto"/>
          <w:bottom w:val="single" w:sz="4" w:space="1" w:color="auto"/>
          <w:right w:val="single" w:sz="4" w:space="4" w:color="auto"/>
        </w:pBdr>
        <w:contextualSpacing/>
        <w:jc w:val="center"/>
        <w:rPr>
          <w:rFonts w:eastAsia="Calibri"/>
          <w:sz w:val="22"/>
          <w:szCs w:val="22"/>
        </w:rPr>
      </w:pPr>
      <m:oMathPara>
        <m:oMath>
          <m:r>
            <w:rPr>
              <w:rFonts w:ascii="Cambria Math" w:eastAsia="Calibri" w:hAnsi="Cambria Math"/>
              <w:sz w:val="22"/>
              <w:szCs w:val="22"/>
            </w:rPr>
            <m:t xml:space="preserve">KSZERK TÉR= </m:t>
          </m:r>
          <m:nary>
            <m:naryPr>
              <m:chr m:val="∑"/>
              <m:limLoc m:val="undOvr"/>
              <m:subHide m:val="1"/>
              <m:supHide m:val="1"/>
              <m:ctrlPr>
                <w:rPr>
                  <w:rFonts w:ascii="Cambria Math" w:eastAsia="Calibri" w:hAnsi="Cambria Math"/>
                  <w:i/>
                  <w:sz w:val="22"/>
                  <w:szCs w:val="22"/>
                </w:rPr>
              </m:ctrlPr>
            </m:naryPr>
            <m:sub/>
            <m:sup/>
            <m:e>
              <m:sSub>
                <m:sSubPr>
                  <m:ctrlPr>
                    <w:rPr>
                      <w:rFonts w:ascii="Cambria Math" w:eastAsia="Calibri" w:hAnsi="Cambria Math"/>
                      <w:i/>
                      <w:sz w:val="22"/>
                      <w:szCs w:val="22"/>
                    </w:rPr>
                  </m:ctrlPr>
                </m:sSubPr>
                <m:e>
                  <m:r>
                    <w:rPr>
                      <w:rFonts w:ascii="Cambria Math" w:eastAsia="Calibri" w:hAnsi="Cambria Math"/>
                      <w:sz w:val="22"/>
                      <w:szCs w:val="22"/>
                    </w:rPr>
                    <m:t>MÉRÉSEGYSÉG</m:t>
                  </m:r>
                </m:e>
                <m:sub>
                  <m:r>
                    <w:rPr>
                      <w:rFonts w:ascii="Cambria Math" w:eastAsia="Calibri" w:hAnsi="Cambria Math"/>
                      <w:sz w:val="22"/>
                      <w:szCs w:val="22"/>
                    </w:rPr>
                    <m:t>SZERKESZTÉS</m:t>
                  </m:r>
                </m:sub>
              </m:sSub>
              <m:r>
                <w:rPr>
                  <w:rFonts w:ascii="Cambria Math" w:eastAsia="Calibri" w:hAnsi="Cambria Math"/>
                  <w:sz w:val="22"/>
                  <w:szCs w:val="22"/>
                </w:rPr>
                <m:t xml:space="preserve"> ×EGYSÉGPONT</m:t>
              </m:r>
            </m:e>
          </m:nary>
        </m:oMath>
      </m:oMathPara>
    </w:p>
    <w:p w14:paraId="35840E6B" w14:textId="77777777" w:rsidR="00FD0545" w:rsidRDefault="00FD0545" w:rsidP="00FD0545">
      <w:pPr>
        <w:spacing w:before="160"/>
        <w:rPr>
          <w:rFonts w:eastAsia="Calibri"/>
          <w:sz w:val="22"/>
          <w:szCs w:val="22"/>
        </w:rPr>
      </w:pPr>
      <w:r w:rsidRPr="00E13CE5">
        <w:rPr>
          <w:rFonts w:eastAsia="Calibri"/>
          <w:sz w:val="22"/>
          <w:szCs w:val="22"/>
        </w:rPr>
        <w:t>Ahol KSZERK TÉR a kiadvány (könyv vagy konferenciakötet) szerkesztési munkájáért szerezhető pontok összege. Az értékelés alapjául szolgáló adatok forrása, az adatnyerés módja:</w:t>
      </w:r>
    </w:p>
    <w:p w14:paraId="2629DCFD" w14:textId="77777777" w:rsidR="00FD0545" w:rsidRDefault="00FD0545" w:rsidP="00FD0545">
      <w:pPr>
        <w:spacing w:before="160"/>
        <w:rPr>
          <w:rFonts w:eastAsia="Calibri"/>
          <w:sz w:val="22"/>
          <w:szCs w:val="22"/>
        </w:rPr>
      </w:pPr>
    </w:p>
    <w:p w14:paraId="2F0F9FA4" w14:textId="77777777" w:rsidR="00FD0545" w:rsidRPr="00E13CE5" w:rsidRDefault="00FD0545" w:rsidP="00FD0545">
      <w:pPr>
        <w:spacing w:before="160"/>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18F24EC2" w14:textId="77777777" w:rsidTr="00026782">
        <w:tc>
          <w:tcPr>
            <w:tcW w:w="1980" w:type="dxa"/>
            <w:shd w:val="clear" w:color="auto" w:fill="F2F2F2"/>
          </w:tcPr>
          <w:p w14:paraId="056C263B"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1035C22" w14:textId="77777777" w:rsidR="00FD0545" w:rsidRPr="00C376DE" w:rsidRDefault="00FD0545" w:rsidP="00026782">
            <w:pPr>
              <w:rPr>
                <w:rFonts w:eastAsia="Calibri"/>
                <w:b/>
                <w:bCs/>
                <w:sz w:val="22"/>
                <w:szCs w:val="22"/>
              </w:rPr>
            </w:pPr>
            <w:r w:rsidRPr="00C376DE">
              <w:rPr>
                <w:rFonts w:eastAsia="Calibri"/>
                <w:b/>
                <w:bCs/>
                <w:sz w:val="22"/>
                <w:szCs w:val="22"/>
              </w:rPr>
              <w:t xml:space="preserve">MTMT adatbázis alapján készített összesítő táblázat </w:t>
            </w:r>
          </w:p>
        </w:tc>
      </w:tr>
      <w:tr w:rsidR="00FD0545" w:rsidRPr="00C376DE" w14:paraId="7379D0C9" w14:textId="77777777" w:rsidTr="00026782">
        <w:tc>
          <w:tcPr>
            <w:tcW w:w="1980" w:type="dxa"/>
            <w:shd w:val="clear" w:color="auto" w:fill="F2F2F2"/>
          </w:tcPr>
          <w:p w14:paraId="22C42A1E"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5A9078DE" w14:textId="77777777" w:rsidR="00FD0545" w:rsidRPr="00C376DE" w:rsidRDefault="00FD0545" w:rsidP="00026782">
            <w:pPr>
              <w:rPr>
                <w:rFonts w:eastAsia="Calibri"/>
                <w:b/>
                <w:bCs/>
                <w:sz w:val="22"/>
                <w:szCs w:val="22"/>
              </w:rPr>
            </w:pPr>
            <w:r w:rsidRPr="00C376DE">
              <w:rPr>
                <w:rFonts w:eastAsia="Calibri"/>
                <w:b/>
                <w:bCs/>
                <w:sz w:val="22"/>
                <w:szCs w:val="22"/>
              </w:rPr>
              <w:t>MTMT TÉR jelentés (J/3. melléklet)</w:t>
            </w:r>
          </w:p>
        </w:tc>
      </w:tr>
      <w:tr w:rsidR="00FD0545" w:rsidRPr="00C376DE" w14:paraId="78CB4B15" w14:textId="77777777" w:rsidTr="00026782">
        <w:tc>
          <w:tcPr>
            <w:tcW w:w="1980" w:type="dxa"/>
            <w:shd w:val="clear" w:color="auto" w:fill="F2F2F2"/>
          </w:tcPr>
          <w:p w14:paraId="234B9DB1"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26ED4DB8" w14:textId="77777777" w:rsidR="00FD0545" w:rsidRPr="00C376DE" w:rsidRDefault="00FD0545" w:rsidP="00026782">
            <w:pPr>
              <w:rPr>
                <w:rFonts w:eastAsia="Calibri"/>
                <w:b/>
                <w:bCs/>
                <w:sz w:val="22"/>
                <w:szCs w:val="22"/>
              </w:rPr>
            </w:pPr>
            <w:r w:rsidRPr="00C376DE">
              <w:rPr>
                <w:rFonts w:eastAsia="Calibri"/>
                <w:b/>
                <w:bCs/>
                <w:sz w:val="22"/>
                <w:szCs w:val="22"/>
              </w:rPr>
              <w:t>MTMT koordinátor</w:t>
            </w:r>
          </w:p>
        </w:tc>
      </w:tr>
    </w:tbl>
    <w:p w14:paraId="2A0C4A29" w14:textId="77777777" w:rsidR="00FD0545" w:rsidRDefault="00FD0545" w:rsidP="00FD0545">
      <w:pPr>
        <w:ind w:left="1416"/>
        <w:rPr>
          <w:b/>
          <w:sz w:val="22"/>
        </w:rPr>
      </w:pPr>
    </w:p>
    <w:p w14:paraId="3485BF2B" w14:textId="77777777" w:rsidR="00FD0545" w:rsidRPr="00CD78CA" w:rsidRDefault="00FD0545" w:rsidP="00FD0545">
      <w:pPr>
        <w:ind w:left="1416"/>
        <w:rPr>
          <w:b/>
          <w:sz w:val="22"/>
        </w:rPr>
      </w:pPr>
      <w:r>
        <w:rPr>
          <w:b/>
          <w:sz w:val="22"/>
        </w:rPr>
        <w:t>2</w:t>
      </w:r>
      <w:r w:rsidRPr="00CD78CA">
        <w:rPr>
          <w:b/>
          <w:sz w:val="22"/>
        </w:rPr>
        <w:t>. Tudományos konferenciaszervezéssel összefüggő tevékenység (TKSZ TÉR)</w:t>
      </w:r>
    </w:p>
    <w:p w14:paraId="0A0397E9" w14:textId="77777777" w:rsidR="00FD0545" w:rsidRDefault="00FD0545" w:rsidP="00FD0545">
      <w:pPr>
        <w:rPr>
          <w:rFonts w:eastAsia="Calibri"/>
          <w:sz w:val="22"/>
          <w:szCs w:val="22"/>
        </w:rPr>
      </w:pPr>
    </w:p>
    <w:p w14:paraId="46E77D77" w14:textId="77777777" w:rsidR="00FD0545" w:rsidRPr="00E13CE5" w:rsidRDefault="00FD0545" w:rsidP="00FD0545">
      <w:pPr>
        <w:rPr>
          <w:rFonts w:eastAsia="Calibri"/>
          <w:sz w:val="22"/>
          <w:szCs w:val="22"/>
        </w:rPr>
      </w:pPr>
      <w:r w:rsidRPr="00E13CE5">
        <w:rPr>
          <w:rFonts w:eastAsia="Calibri"/>
          <w:sz w:val="22"/>
          <w:szCs w:val="22"/>
        </w:rPr>
        <w:t xml:space="preserve">A Kar képzési portfólióját lefedő tudományterületekben szervezett tudományos </w:t>
      </w:r>
      <w:proofErr w:type="gramStart"/>
      <w:r w:rsidRPr="00E13CE5">
        <w:rPr>
          <w:rFonts w:eastAsia="Calibri"/>
          <w:sz w:val="22"/>
          <w:szCs w:val="22"/>
        </w:rPr>
        <w:t>konferencia</w:t>
      </w:r>
      <w:proofErr w:type="gramEnd"/>
      <w:r w:rsidRPr="00E13CE5">
        <w:rPr>
          <w:rFonts w:eastAsia="Calibri"/>
          <w:sz w:val="22"/>
          <w:szCs w:val="22"/>
        </w:rPr>
        <w:t xml:space="preserve"> megvalósításával járó többletteljesítmény az alábbiak szerint kerül elismerésre:</w:t>
      </w:r>
    </w:p>
    <w:tbl>
      <w:tblPr>
        <w:tblW w:w="920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2830"/>
        <w:gridCol w:w="2213"/>
        <w:gridCol w:w="1615"/>
        <w:gridCol w:w="2551"/>
      </w:tblGrid>
      <w:tr w:rsidR="00FD0545" w:rsidRPr="00CD78CA" w14:paraId="17D70348" w14:textId="77777777" w:rsidTr="00026782">
        <w:trPr>
          <w:jc w:val="center"/>
        </w:trPr>
        <w:tc>
          <w:tcPr>
            <w:tcW w:w="2830" w:type="dxa"/>
            <w:tcBorders>
              <w:top w:val="single" w:sz="4" w:space="0" w:color="FFFFFF"/>
              <w:left w:val="single" w:sz="4" w:space="0" w:color="FFFFFF"/>
              <w:right w:val="nil"/>
            </w:tcBorders>
            <w:shd w:val="clear" w:color="auto" w:fill="EDEDED"/>
          </w:tcPr>
          <w:p w14:paraId="39C5246F" w14:textId="77777777" w:rsidR="00FD0545" w:rsidRPr="00CD78CA" w:rsidRDefault="00FD0545" w:rsidP="00026782">
            <w:pPr>
              <w:jc w:val="center"/>
              <w:rPr>
                <w:rFonts w:eastAsia="Calibri"/>
                <w:b/>
                <w:bCs/>
                <w:sz w:val="22"/>
                <w:szCs w:val="22"/>
              </w:rPr>
            </w:pPr>
            <w:r w:rsidRPr="00CD78CA">
              <w:rPr>
                <w:rFonts w:eastAsia="Calibri"/>
                <w:b/>
                <w:bCs/>
                <w:sz w:val="22"/>
                <w:szCs w:val="22"/>
              </w:rPr>
              <w:t>Elismert teljesítmény</w:t>
            </w:r>
          </w:p>
        </w:tc>
        <w:tc>
          <w:tcPr>
            <w:tcW w:w="2213" w:type="dxa"/>
            <w:tcBorders>
              <w:top w:val="single" w:sz="4" w:space="0" w:color="FFFFFF"/>
              <w:left w:val="nil"/>
              <w:right w:val="nil"/>
            </w:tcBorders>
            <w:shd w:val="clear" w:color="auto" w:fill="EDEDED"/>
          </w:tcPr>
          <w:p w14:paraId="5B1386DF" w14:textId="77777777" w:rsidR="00FD0545" w:rsidRPr="00CD78CA" w:rsidRDefault="00FD0545" w:rsidP="00026782">
            <w:pPr>
              <w:jc w:val="center"/>
              <w:rPr>
                <w:rFonts w:eastAsia="Calibri"/>
                <w:b/>
                <w:bCs/>
                <w:sz w:val="22"/>
                <w:szCs w:val="22"/>
              </w:rPr>
            </w:pPr>
            <w:r w:rsidRPr="00CD78CA">
              <w:rPr>
                <w:rFonts w:eastAsia="Calibri"/>
                <w:b/>
                <w:bCs/>
                <w:sz w:val="22"/>
                <w:szCs w:val="22"/>
              </w:rPr>
              <w:t>Mérésegység</w:t>
            </w:r>
          </w:p>
        </w:tc>
        <w:tc>
          <w:tcPr>
            <w:tcW w:w="1615" w:type="dxa"/>
            <w:tcBorders>
              <w:top w:val="single" w:sz="4" w:space="0" w:color="FFFFFF"/>
              <w:left w:val="nil"/>
              <w:right w:val="nil"/>
            </w:tcBorders>
            <w:shd w:val="clear" w:color="auto" w:fill="EDEDED"/>
          </w:tcPr>
          <w:p w14:paraId="1729FCF8" w14:textId="77777777" w:rsidR="00FD0545" w:rsidRPr="00CD78CA" w:rsidRDefault="00FD0545" w:rsidP="00026782">
            <w:pPr>
              <w:jc w:val="center"/>
              <w:rPr>
                <w:rFonts w:eastAsia="Calibri"/>
                <w:b/>
                <w:bCs/>
                <w:sz w:val="22"/>
                <w:szCs w:val="22"/>
              </w:rPr>
            </w:pPr>
            <w:r w:rsidRPr="00CD78CA">
              <w:rPr>
                <w:rFonts w:eastAsia="Calibri"/>
                <w:b/>
                <w:bCs/>
                <w:sz w:val="22"/>
                <w:szCs w:val="22"/>
              </w:rPr>
              <w:t>Egységpont</w:t>
            </w:r>
          </w:p>
        </w:tc>
        <w:tc>
          <w:tcPr>
            <w:tcW w:w="2551" w:type="dxa"/>
            <w:tcBorders>
              <w:top w:val="single" w:sz="4" w:space="0" w:color="FFFFFF"/>
              <w:left w:val="nil"/>
              <w:right w:val="single" w:sz="4" w:space="0" w:color="FFFFFF"/>
            </w:tcBorders>
            <w:shd w:val="clear" w:color="auto" w:fill="EDEDED"/>
          </w:tcPr>
          <w:p w14:paraId="40DA7569" w14:textId="77777777" w:rsidR="00FD0545" w:rsidRPr="00CD78CA" w:rsidRDefault="00FD0545" w:rsidP="00026782">
            <w:pPr>
              <w:jc w:val="center"/>
              <w:rPr>
                <w:rFonts w:eastAsia="Calibri"/>
                <w:b/>
                <w:bCs/>
                <w:sz w:val="22"/>
                <w:szCs w:val="22"/>
              </w:rPr>
            </w:pPr>
            <w:r w:rsidRPr="00CD78CA">
              <w:rPr>
                <w:rFonts w:eastAsia="Calibri"/>
                <w:b/>
                <w:bCs/>
                <w:sz w:val="22"/>
                <w:szCs w:val="22"/>
              </w:rPr>
              <w:t>Maximum pont</w:t>
            </w:r>
          </w:p>
        </w:tc>
      </w:tr>
      <w:tr w:rsidR="00FD0545" w:rsidRPr="00C376DE" w14:paraId="1E968FE9" w14:textId="77777777" w:rsidTr="00026782">
        <w:trPr>
          <w:jc w:val="center"/>
        </w:trPr>
        <w:tc>
          <w:tcPr>
            <w:tcW w:w="2830" w:type="dxa"/>
            <w:shd w:val="clear" w:color="auto" w:fill="EDEDED"/>
          </w:tcPr>
          <w:p w14:paraId="2EA5953C" w14:textId="77777777" w:rsidR="00FD0545" w:rsidRPr="00C376DE" w:rsidRDefault="00FD0545" w:rsidP="00026782">
            <w:pPr>
              <w:rPr>
                <w:rFonts w:eastAsia="Calibri"/>
                <w:sz w:val="22"/>
                <w:szCs w:val="22"/>
              </w:rPr>
            </w:pPr>
            <w:r w:rsidRPr="00C376DE">
              <w:rPr>
                <w:rFonts w:eastAsia="Calibri"/>
                <w:sz w:val="22"/>
                <w:szCs w:val="22"/>
              </w:rPr>
              <w:t>Konferenciaszervezés (igazol-ható): szervezőbizottsági, tudományos bizottsági tagság</w:t>
            </w:r>
          </w:p>
        </w:tc>
        <w:tc>
          <w:tcPr>
            <w:tcW w:w="2213" w:type="dxa"/>
            <w:shd w:val="clear" w:color="auto" w:fill="EDEDED"/>
          </w:tcPr>
          <w:p w14:paraId="215ADB7E"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615" w:type="dxa"/>
            <w:shd w:val="clear" w:color="auto" w:fill="EDEDED"/>
          </w:tcPr>
          <w:p w14:paraId="35A32932" w14:textId="77777777" w:rsidR="00FD0545" w:rsidRPr="00C376DE" w:rsidRDefault="00FD0545" w:rsidP="00026782">
            <w:pPr>
              <w:jc w:val="center"/>
              <w:rPr>
                <w:rFonts w:eastAsia="Calibri"/>
                <w:sz w:val="22"/>
                <w:szCs w:val="22"/>
              </w:rPr>
            </w:pPr>
            <w:r w:rsidRPr="00C376DE">
              <w:rPr>
                <w:rFonts w:eastAsia="Calibri"/>
                <w:sz w:val="22"/>
                <w:szCs w:val="22"/>
              </w:rPr>
              <w:t>20 pont</w:t>
            </w:r>
          </w:p>
        </w:tc>
        <w:tc>
          <w:tcPr>
            <w:tcW w:w="2551" w:type="dxa"/>
            <w:shd w:val="clear" w:color="auto" w:fill="EDEDED"/>
          </w:tcPr>
          <w:p w14:paraId="4F703463" w14:textId="77777777" w:rsidR="00FD0545" w:rsidRPr="00C376DE" w:rsidRDefault="00FD0545" w:rsidP="00026782">
            <w:pPr>
              <w:rPr>
                <w:rFonts w:eastAsia="Calibri"/>
                <w:sz w:val="22"/>
                <w:szCs w:val="22"/>
              </w:rPr>
            </w:pPr>
            <w:r w:rsidRPr="00C376DE">
              <w:rPr>
                <w:rFonts w:eastAsia="Calibri"/>
                <w:sz w:val="22"/>
                <w:szCs w:val="22"/>
              </w:rPr>
              <w:t xml:space="preserve">Egy </w:t>
            </w:r>
            <w:proofErr w:type="gramStart"/>
            <w:r w:rsidRPr="00C376DE">
              <w:rPr>
                <w:rFonts w:eastAsia="Calibri"/>
                <w:sz w:val="22"/>
                <w:szCs w:val="22"/>
              </w:rPr>
              <w:t>konferencia</w:t>
            </w:r>
            <w:proofErr w:type="gramEnd"/>
            <w:r w:rsidRPr="00C376DE">
              <w:rPr>
                <w:rFonts w:eastAsia="Calibri"/>
                <w:sz w:val="22"/>
                <w:szCs w:val="22"/>
              </w:rPr>
              <w:t xml:space="preserve"> szervezésével és lebonyolításával összefüggésben legfeljebb 30 pont szerezhető valamennyi értékelési szempont figyelembevételével.</w:t>
            </w:r>
          </w:p>
        </w:tc>
      </w:tr>
      <w:tr w:rsidR="00FD0545" w:rsidRPr="00C376DE" w14:paraId="726DCF54" w14:textId="77777777" w:rsidTr="00026782">
        <w:trPr>
          <w:jc w:val="center"/>
        </w:trPr>
        <w:tc>
          <w:tcPr>
            <w:tcW w:w="2830" w:type="dxa"/>
            <w:shd w:val="clear" w:color="auto" w:fill="EDEDED"/>
          </w:tcPr>
          <w:p w14:paraId="111B9E3C" w14:textId="77777777" w:rsidR="00FD0545" w:rsidRPr="00C376DE" w:rsidRDefault="00FD0545" w:rsidP="00026782">
            <w:pPr>
              <w:rPr>
                <w:rFonts w:eastAsia="Calibri"/>
                <w:sz w:val="22"/>
                <w:szCs w:val="22"/>
              </w:rPr>
            </w:pPr>
            <w:r w:rsidRPr="00C376DE">
              <w:rPr>
                <w:rFonts w:eastAsia="Calibri"/>
                <w:sz w:val="22"/>
                <w:szCs w:val="22"/>
              </w:rPr>
              <w:t>Részvétel a tudományos program összeállításában: előadás-kivonatok és absztraktok bírálata</w:t>
            </w:r>
          </w:p>
        </w:tc>
        <w:tc>
          <w:tcPr>
            <w:tcW w:w="2213" w:type="dxa"/>
            <w:shd w:val="clear" w:color="auto" w:fill="EDEDED"/>
          </w:tcPr>
          <w:p w14:paraId="6B922D4D" w14:textId="77777777" w:rsidR="00FD0545" w:rsidRPr="00C376DE" w:rsidRDefault="00FD0545" w:rsidP="00026782">
            <w:pPr>
              <w:jc w:val="center"/>
              <w:rPr>
                <w:rFonts w:eastAsia="Calibri"/>
                <w:sz w:val="22"/>
                <w:szCs w:val="22"/>
              </w:rPr>
            </w:pPr>
            <w:r w:rsidRPr="00C376DE">
              <w:rPr>
                <w:rFonts w:eastAsia="Calibri"/>
                <w:sz w:val="22"/>
                <w:szCs w:val="22"/>
              </w:rPr>
              <w:t>darab ([</w:t>
            </w:r>
            <w:proofErr w:type="gramStart"/>
            <w:r w:rsidRPr="00C376DE">
              <w:rPr>
                <w:rFonts w:eastAsia="Calibri"/>
                <w:sz w:val="22"/>
                <w:szCs w:val="22"/>
              </w:rPr>
              <w:t>absztrakt</w:t>
            </w:r>
            <w:proofErr w:type="gramEnd"/>
            <w:r w:rsidRPr="00C376DE">
              <w:rPr>
                <w:rFonts w:eastAsia="Calibri"/>
                <w:sz w:val="22"/>
                <w:szCs w:val="22"/>
              </w:rPr>
              <w:t>kötetben szereplő kivonatok száma] / [Tudományos Bizottság tagjainak száma])</w:t>
            </w:r>
          </w:p>
        </w:tc>
        <w:tc>
          <w:tcPr>
            <w:tcW w:w="1615" w:type="dxa"/>
            <w:shd w:val="clear" w:color="auto" w:fill="EDEDED"/>
          </w:tcPr>
          <w:p w14:paraId="61E0C414"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2551" w:type="dxa"/>
            <w:shd w:val="clear" w:color="auto" w:fill="EDEDED"/>
          </w:tcPr>
          <w:p w14:paraId="06CF1CB2" w14:textId="77777777" w:rsidR="00FD0545" w:rsidRPr="00C376DE" w:rsidRDefault="00FD0545" w:rsidP="00026782">
            <w:pPr>
              <w:rPr>
                <w:rFonts w:eastAsia="Calibri"/>
                <w:sz w:val="22"/>
                <w:szCs w:val="22"/>
              </w:rPr>
            </w:pPr>
            <w:r w:rsidRPr="00C376DE">
              <w:rPr>
                <w:rFonts w:eastAsia="Calibri"/>
                <w:sz w:val="22"/>
                <w:szCs w:val="22"/>
              </w:rPr>
              <w:t>Értékelési időszakban legfeljebb 20 pont.</w:t>
            </w:r>
          </w:p>
          <w:p w14:paraId="528C7B94" w14:textId="77777777" w:rsidR="00FD0545" w:rsidRPr="00C376DE" w:rsidRDefault="00FD0545" w:rsidP="00026782">
            <w:pPr>
              <w:rPr>
                <w:rFonts w:eastAsia="Calibri"/>
                <w:sz w:val="22"/>
                <w:szCs w:val="22"/>
              </w:rPr>
            </w:pPr>
            <w:r w:rsidRPr="00C376DE">
              <w:rPr>
                <w:rFonts w:eastAsia="Calibri"/>
                <w:sz w:val="22"/>
                <w:szCs w:val="22"/>
              </w:rPr>
              <w:t xml:space="preserve">Egy </w:t>
            </w:r>
            <w:proofErr w:type="gramStart"/>
            <w:r w:rsidRPr="00C376DE">
              <w:rPr>
                <w:rFonts w:eastAsia="Calibri"/>
                <w:sz w:val="22"/>
                <w:szCs w:val="22"/>
              </w:rPr>
              <w:t>konferencia</w:t>
            </w:r>
            <w:proofErr w:type="gramEnd"/>
            <w:r w:rsidRPr="00C376DE">
              <w:rPr>
                <w:rFonts w:eastAsia="Calibri"/>
                <w:sz w:val="22"/>
                <w:szCs w:val="22"/>
              </w:rPr>
              <w:t xml:space="preserve"> szervezésével és lebonyolításával összefüggésben legfeljebb 30 pont szerezhető valamennyi értékelési szempont figyelembevételével.</w:t>
            </w:r>
          </w:p>
        </w:tc>
      </w:tr>
      <w:tr w:rsidR="00FD0545" w:rsidRPr="00C376DE" w14:paraId="0B7AD08F" w14:textId="77777777" w:rsidTr="00026782">
        <w:trPr>
          <w:jc w:val="center"/>
        </w:trPr>
        <w:tc>
          <w:tcPr>
            <w:tcW w:w="2830" w:type="dxa"/>
            <w:shd w:val="clear" w:color="auto" w:fill="EDEDED"/>
          </w:tcPr>
          <w:p w14:paraId="79B7BF4D" w14:textId="77777777" w:rsidR="00FD0545" w:rsidRPr="00C376DE" w:rsidRDefault="00FD0545" w:rsidP="00026782">
            <w:pPr>
              <w:rPr>
                <w:rFonts w:eastAsia="Calibri"/>
                <w:sz w:val="22"/>
                <w:szCs w:val="22"/>
              </w:rPr>
            </w:pPr>
            <w:r w:rsidRPr="00C376DE">
              <w:rPr>
                <w:rFonts w:eastAsia="Calibri"/>
                <w:sz w:val="22"/>
                <w:szCs w:val="22"/>
              </w:rPr>
              <w:t xml:space="preserve">Üléselnökség tagjaként rész-vétel </w:t>
            </w:r>
            <w:proofErr w:type="gramStart"/>
            <w:r w:rsidRPr="00C376DE">
              <w:rPr>
                <w:rFonts w:eastAsia="Calibri"/>
                <w:sz w:val="22"/>
                <w:szCs w:val="22"/>
              </w:rPr>
              <w:t>konferencia</w:t>
            </w:r>
            <w:proofErr w:type="gramEnd"/>
            <w:r w:rsidRPr="00C376DE">
              <w:rPr>
                <w:rFonts w:eastAsia="Calibri"/>
                <w:sz w:val="22"/>
                <w:szCs w:val="22"/>
              </w:rPr>
              <w:t xml:space="preserve"> tudományos szekcióinak (előadás és poszter) munkájában</w:t>
            </w:r>
          </w:p>
        </w:tc>
        <w:tc>
          <w:tcPr>
            <w:tcW w:w="2213" w:type="dxa"/>
            <w:shd w:val="clear" w:color="auto" w:fill="EDEDED"/>
          </w:tcPr>
          <w:p w14:paraId="1932DB7F" w14:textId="77777777" w:rsidR="00FD0545" w:rsidRPr="00C376DE" w:rsidRDefault="00FD0545" w:rsidP="00026782">
            <w:pPr>
              <w:jc w:val="center"/>
              <w:rPr>
                <w:rFonts w:eastAsia="Calibri"/>
                <w:sz w:val="22"/>
                <w:szCs w:val="22"/>
              </w:rPr>
            </w:pPr>
            <w:r w:rsidRPr="00C376DE">
              <w:rPr>
                <w:rFonts w:eastAsia="Calibri"/>
                <w:sz w:val="22"/>
                <w:szCs w:val="22"/>
              </w:rPr>
              <w:t>alkalom</w:t>
            </w:r>
          </w:p>
        </w:tc>
        <w:tc>
          <w:tcPr>
            <w:tcW w:w="1615" w:type="dxa"/>
            <w:shd w:val="clear" w:color="auto" w:fill="EDEDED"/>
          </w:tcPr>
          <w:p w14:paraId="4F1B479D" w14:textId="77777777" w:rsidR="00FD0545" w:rsidRPr="00C376DE" w:rsidRDefault="00FD0545" w:rsidP="00026782">
            <w:pPr>
              <w:jc w:val="center"/>
              <w:rPr>
                <w:rFonts w:eastAsia="Calibri"/>
                <w:sz w:val="22"/>
                <w:szCs w:val="22"/>
              </w:rPr>
            </w:pPr>
            <w:r w:rsidRPr="00C376DE">
              <w:rPr>
                <w:rFonts w:eastAsia="Calibri"/>
                <w:sz w:val="22"/>
                <w:szCs w:val="22"/>
              </w:rPr>
              <w:t>10 pont</w:t>
            </w:r>
          </w:p>
        </w:tc>
        <w:tc>
          <w:tcPr>
            <w:tcW w:w="2551" w:type="dxa"/>
            <w:shd w:val="clear" w:color="auto" w:fill="EDEDED"/>
          </w:tcPr>
          <w:p w14:paraId="64973FE1" w14:textId="77777777" w:rsidR="00FD0545" w:rsidRPr="00C376DE" w:rsidRDefault="00FD0545" w:rsidP="00026782">
            <w:pPr>
              <w:rPr>
                <w:rFonts w:eastAsia="Calibri"/>
                <w:sz w:val="22"/>
                <w:szCs w:val="22"/>
              </w:rPr>
            </w:pPr>
            <w:proofErr w:type="gramStart"/>
            <w:r w:rsidRPr="00C376DE">
              <w:rPr>
                <w:rFonts w:eastAsia="Calibri"/>
                <w:sz w:val="22"/>
                <w:szCs w:val="22"/>
              </w:rPr>
              <w:t>Konferenciánként</w:t>
            </w:r>
            <w:proofErr w:type="gramEnd"/>
            <w:r w:rsidRPr="00C376DE">
              <w:rPr>
                <w:rFonts w:eastAsia="Calibri"/>
                <w:sz w:val="22"/>
                <w:szCs w:val="22"/>
              </w:rPr>
              <w:t xml:space="preserve"> legfeljebb 10 pont.</w:t>
            </w:r>
          </w:p>
          <w:p w14:paraId="197A7F85" w14:textId="77777777" w:rsidR="00FD0545" w:rsidRPr="00C376DE" w:rsidRDefault="00FD0545" w:rsidP="00026782">
            <w:pPr>
              <w:rPr>
                <w:rFonts w:eastAsia="Calibri"/>
                <w:sz w:val="22"/>
                <w:szCs w:val="22"/>
              </w:rPr>
            </w:pPr>
            <w:r w:rsidRPr="00C376DE">
              <w:rPr>
                <w:rFonts w:eastAsia="Calibri"/>
                <w:sz w:val="22"/>
                <w:szCs w:val="22"/>
              </w:rPr>
              <w:t xml:space="preserve">Egy </w:t>
            </w:r>
            <w:proofErr w:type="gramStart"/>
            <w:r w:rsidRPr="00C376DE">
              <w:rPr>
                <w:rFonts w:eastAsia="Calibri"/>
                <w:sz w:val="22"/>
                <w:szCs w:val="22"/>
              </w:rPr>
              <w:t>konferencia</w:t>
            </w:r>
            <w:proofErr w:type="gramEnd"/>
            <w:r w:rsidRPr="00C376DE">
              <w:rPr>
                <w:rFonts w:eastAsia="Calibri"/>
                <w:sz w:val="22"/>
                <w:szCs w:val="22"/>
              </w:rPr>
              <w:t xml:space="preserve"> szervezésével és lebonyolításával összefüggésben legfeljebb 30 pont szerezhető valamennyi értékelési szempont figyelembevételével.</w:t>
            </w:r>
          </w:p>
        </w:tc>
      </w:tr>
    </w:tbl>
    <w:p w14:paraId="019FBD1E"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7C40C5D2" w14:textId="77777777" w:rsidTr="00026782">
        <w:tc>
          <w:tcPr>
            <w:tcW w:w="1980" w:type="dxa"/>
            <w:shd w:val="clear" w:color="auto" w:fill="F2F2F2"/>
          </w:tcPr>
          <w:p w14:paraId="6826E018"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66FDB67" w14:textId="77777777" w:rsidR="00FD0545" w:rsidRPr="00C376DE" w:rsidRDefault="00FD0545" w:rsidP="00026782">
            <w:pPr>
              <w:rPr>
                <w:rFonts w:eastAsia="Calibri"/>
                <w:b/>
                <w:bCs/>
                <w:sz w:val="22"/>
                <w:szCs w:val="22"/>
              </w:rPr>
            </w:pPr>
            <w:r w:rsidRPr="00C376DE">
              <w:rPr>
                <w:rFonts w:eastAsia="Calibri"/>
                <w:b/>
                <w:bCs/>
                <w:sz w:val="22"/>
                <w:szCs w:val="22"/>
              </w:rPr>
              <w:t xml:space="preserve">Hivatalos felkérőlevél, konferenciaprogram, </w:t>
            </w:r>
            <w:proofErr w:type="gramStart"/>
            <w:r w:rsidRPr="00C376DE">
              <w:rPr>
                <w:rFonts w:eastAsia="Calibri"/>
                <w:b/>
                <w:bCs/>
                <w:sz w:val="22"/>
                <w:szCs w:val="22"/>
              </w:rPr>
              <w:t>absztrakt</w:t>
            </w:r>
            <w:proofErr w:type="gramEnd"/>
            <w:r w:rsidRPr="00C376DE">
              <w:rPr>
                <w:rFonts w:eastAsia="Calibri"/>
                <w:b/>
                <w:bCs/>
                <w:sz w:val="22"/>
                <w:szCs w:val="22"/>
              </w:rPr>
              <w:t xml:space="preserve">kötet feltöltése az elektronikus értékelési rendszerbe </w:t>
            </w:r>
          </w:p>
        </w:tc>
      </w:tr>
      <w:tr w:rsidR="00FD0545" w:rsidRPr="00C376DE" w14:paraId="1775F303" w14:textId="77777777" w:rsidTr="00026782">
        <w:tc>
          <w:tcPr>
            <w:tcW w:w="1980" w:type="dxa"/>
            <w:shd w:val="clear" w:color="auto" w:fill="F2F2F2"/>
          </w:tcPr>
          <w:p w14:paraId="5BF20D76"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FFB5197" w14:textId="77777777" w:rsidR="00FD0545" w:rsidRPr="00C376DE" w:rsidRDefault="00FD0545" w:rsidP="00026782">
            <w:pPr>
              <w:rPr>
                <w:rFonts w:eastAsia="Calibri"/>
                <w:b/>
                <w:bCs/>
                <w:sz w:val="22"/>
                <w:szCs w:val="22"/>
              </w:rPr>
            </w:pPr>
            <w:r w:rsidRPr="00C376DE">
              <w:rPr>
                <w:rFonts w:eastAsia="Calibri"/>
                <w:b/>
                <w:bCs/>
                <w:sz w:val="22"/>
                <w:szCs w:val="22"/>
              </w:rPr>
              <w:t>Értékelt TÉR önbevallása (É/1. melléklet)</w:t>
            </w:r>
          </w:p>
        </w:tc>
      </w:tr>
      <w:tr w:rsidR="00FD0545" w:rsidRPr="00C376DE" w14:paraId="06C3F47B" w14:textId="77777777" w:rsidTr="00026782">
        <w:tc>
          <w:tcPr>
            <w:tcW w:w="1980" w:type="dxa"/>
            <w:shd w:val="clear" w:color="auto" w:fill="F2F2F2"/>
          </w:tcPr>
          <w:p w14:paraId="22F875F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30D216DD" w14:textId="77777777" w:rsidR="00FD0545" w:rsidRPr="00C376DE" w:rsidRDefault="00FD0545" w:rsidP="00026782">
            <w:pPr>
              <w:rPr>
                <w:rFonts w:eastAsia="Calibri"/>
                <w:b/>
                <w:bCs/>
                <w:sz w:val="22"/>
                <w:szCs w:val="22"/>
              </w:rPr>
            </w:pPr>
            <w:r w:rsidRPr="00C376DE">
              <w:rPr>
                <w:rFonts w:eastAsia="Calibri"/>
                <w:b/>
                <w:bCs/>
                <w:sz w:val="22"/>
                <w:szCs w:val="22"/>
              </w:rPr>
              <w:t>Értékelt</w:t>
            </w:r>
          </w:p>
        </w:tc>
      </w:tr>
    </w:tbl>
    <w:p w14:paraId="2686BE25" w14:textId="77777777" w:rsidR="00FD0545" w:rsidRPr="00CD78CA" w:rsidRDefault="00FD0545" w:rsidP="00FD0545">
      <w:pPr>
        <w:rPr>
          <w:rFonts w:eastAsia="Calibri"/>
        </w:rPr>
      </w:pPr>
    </w:p>
    <w:p w14:paraId="1A395268" w14:textId="77777777" w:rsidR="00FD0545" w:rsidRDefault="00FD0545" w:rsidP="00FD0545">
      <w:pPr>
        <w:ind w:left="1416"/>
        <w:rPr>
          <w:b/>
          <w:sz w:val="22"/>
        </w:rPr>
      </w:pPr>
      <w:r>
        <w:rPr>
          <w:b/>
          <w:sz w:val="22"/>
        </w:rPr>
        <w:t xml:space="preserve">3. </w:t>
      </w:r>
      <w:r w:rsidRPr="00CD78CA">
        <w:rPr>
          <w:b/>
          <w:sz w:val="22"/>
        </w:rPr>
        <w:t>Témavezetői tevékenység (TV TÉR)</w:t>
      </w:r>
    </w:p>
    <w:p w14:paraId="241B25C4" w14:textId="77777777" w:rsidR="00FD0545" w:rsidRPr="00CD78CA" w:rsidRDefault="00FD0545" w:rsidP="00FD0545">
      <w:pPr>
        <w:ind w:left="1416"/>
        <w:rPr>
          <w:b/>
          <w:sz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09"/>
        <w:gridCol w:w="1418"/>
        <w:gridCol w:w="1537"/>
        <w:gridCol w:w="1686"/>
      </w:tblGrid>
      <w:tr w:rsidR="00FD0545" w:rsidRPr="00FD0545" w14:paraId="6017CEFF" w14:textId="77777777" w:rsidTr="00026782">
        <w:trPr>
          <w:jc w:val="center"/>
        </w:trPr>
        <w:tc>
          <w:tcPr>
            <w:tcW w:w="3009" w:type="dxa"/>
            <w:tcBorders>
              <w:top w:val="single" w:sz="4" w:space="0" w:color="FFFFFF"/>
              <w:left w:val="single" w:sz="4" w:space="0" w:color="FFFFFF"/>
              <w:right w:val="nil"/>
            </w:tcBorders>
            <w:shd w:val="clear" w:color="auto" w:fill="EDEDED"/>
          </w:tcPr>
          <w:p w14:paraId="40849CB5" w14:textId="77777777" w:rsidR="00FD0545" w:rsidRPr="00FD0545" w:rsidRDefault="00FD0545" w:rsidP="00026782">
            <w:pPr>
              <w:jc w:val="center"/>
              <w:rPr>
                <w:rFonts w:eastAsia="Calibri"/>
                <w:b/>
                <w:bCs/>
                <w:sz w:val="22"/>
                <w:szCs w:val="22"/>
              </w:rPr>
            </w:pPr>
            <w:r w:rsidRPr="00FD0545">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3A7C90B0" w14:textId="77777777" w:rsidR="00FD0545" w:rsidRPr="00FD0545" w:rsidRDefault="00FD0545" w:rsidP="00026782">
            <w:pPr>
              <w:jc w:val="center"/>
              <w:rPr>
                <w:rFonts w:eastAsia="Calibri"/>
                <w:b/>
                <w:bCs/>
                <w:sz w:val="22"/>
                <w:szCs w:val="22"/>
              </w:rPr>
            </w:pPr>
            <w:r w:rsidRPr="00FD0545">
              <w:rPr>
                <w:rFonts w:eastAsia="Calibri"/>
                <w:b/>
                <w:bCs/>
                <w:sz w:val="22"/>
                <w:szCs w:val="22"/>
              </w:rPr>
              <w:t>Mérésegység</w:t>
            </w:r>
          </w:p>
        </w:tc>
        <w:tc>
          <w:tcPr>
            <w:tcW w:w="1537" w:type="dxa"/>
            <w:tcBorders>
              <w:top w:val="single" w:sz="4" w:space="0" w:color="FFFFFF"/>
              <w:left w:val="nil"/>
              <w:right w:val="nil"/>
            </w:tcBorders>
            <w:shd w:val="clear" w:color="auto" w:fill="EDEDED"/>
          </w:tcPr>
          <w:p w14:paraId="57C78DF9" w14:textId="77777777" w:rsidR="00FD0545" w:rsidRPr="00FD0545" w:rsidRDefault="00FD0545" w:rsidP="00026782">
            <w:pPr>
              <w:jc w:val="center"/>
              <w:rPr>
                <w:rFonts w:eastAsia="Calibri"/>
                <w:b/>
                <w:bCs/>
                <w:sz w:val="22"/>
                <w:szCs w:val="22"/>
              </w:rPr>
            </w:pPr>
            <w:r w:rsidRPr="00FD0545">
              <w:rPr>
                <w:rFonts w:eastAsia="Calibri"/>
                <w:b/>
                <w:bCs/>
                <w:sz w:val="22"/>
                <w:szCs w:val="22"/>
              </w:rPr>
              <w:t>Egységpont</w:t>
            </w:r>
          </w:p>
        </w:tc>
        <w:tc>
          <w:tcPr>
            <w:tcW w:w="1686" w:type="dxa"/>
            <w:tcBorders>
              <w:top w:val="single" w:sz="4" w:space="0" w:color="FFFFFF"/>
              <w:left w:val="nil"/>
              <w:right w:val="single" w:sz="4" w:space="0" w:color="FFFFFF"/>
            </w:tcBorders>
            <w:shd w:val="clear" w:color="auto" w:fill="EDEDED"/>
          </w:tcPr>
          <w:p w14:paraId="1D9E61BA" w14:textId="77777777" w:rsidR="00FD0545" w:rsidRPr="00FD0545" w:rsidRDefault="00FD0545" w:rsidP="00026782">
            <w:pPr>
              <w:jc w:val="center"/>
              <w:rPr>
                <w:rFonts w:eastAsia="Calibri"/>
                <w:b/>
                <w:bCs/>
                <w:sz w:val="22"/>
                <w:szCs w:val="22"/>
              </w:rPr>
            </w:pPr>
            <w:r w:rsidRPr="00FD0545">
              <w:rPr>
                <w:rFonts w:eastAsia="Calibri"/>
                <w:b/>
                <w:bCs/>
                <w:sz w:val="22"/>
                <w:szCs w:val="22"/>
              </w:rPr>
              <w:t>Maximum pont</w:t>
            </w:r>
          </w:p>
        </w:tc>
      </w:tr>
      <w:tr w:rsidR="00FD0545" w:rsidRPr="00FD0545" w14:paraId="4EC0B76C" w14:textId="77777777" w:rsidTr="00026782">
        <w:trPr>
          <w:jc w:val="center"/>
        </w:trPr>
        <w:tc>
          <w:tcPr>
            <w:tcW w:w="3009" w:type="dxa"/>
            <w:shd w:val="clear" w:color="auto" w:fill="EDEDED"/>
          </w:tcPr>
          <w:p w14:paraId="0C6CEFD8" w14:textId="77777777" w:rsidR="00FD0545" w:rsidRPr="00FD0545" w:rsidRDefault="00FD0545" w:rsidP="00026782">
            <w:pPr>
              <w:rPr>
                <w:rFonts w:eastAsia="Calibri"/>
                <w:sz w:val="22"/>
                <w:szCs w:val="22"/>
              </w:rPr>
            </w:pPr>
            <w:r w:rsidRPr="00FD0545">
              <w:rPr>
                <w:rFonts w:eastAsia="Calibri"/>
                <w:sz w:val="22"/>
                <w:szCs w:val="22"/>
              </w:rPr>
              <w:t>Tudományos diákköri hallgató témavezetője (a TDK munka második szemeszterétől kezdő-</w:t>
            </w:r>
            <w:proofErr w:type="spellStart"/>
            <w:r w:rsidRPr="00FD0545">
              <w:rPr>
                <w:rFonts w:eastAsia="Calibri"/>
                <w:sz w:val="22"/>
                <w:szCs w:val="22"/>
              </w:rPr>
              <w:t>dően</w:t>
            </w:r>
            <w:proofErr w:type="spellEnd"/>
            <w:r w:rsidRPr="00FD0545">
              <w:rPr>
                <w:rFonts w:eastAsia="Calibri"/>
                <w:sz w:val="22"/>
                <w:szCs w:val="22"/>
              </w:rPr>
              <w:t>)</w:t>
            </w:r>
          </w:p>
        </w:tc>
        <w:tc>
          <w:tcPr>
            <w:tcW w:w="1418" w:type="dxa"/>
            <w:shd w:val="clear" w:color="auto" w:fill="EDEDED"/>
          </w:tcPr>
          <w:p w14:paraId="4A39F7D3" w14:textId="77777777" w:rsidR="00FD0545" w:rsidRPr="00FD0545" w:rsidRDefault="00FD0545" w:rsidP="00026782">
            <w:pPr>
              <w:jc w:val="center"/>
              <w:rPr>
                <w:rFonts w:eastAsia="Calibri"/>
                <w:sz w:val="22"/>
                <w:szCs w:val="22"/>
              </w:rPr>
            </w:pPr>
            <w:r w:rsidRPr="00FD0545">
              <w:rPr>
                <w:rFonts w:eastAsia="Calibri"/>
                <w:sz w:val="22"/>
                <w:szCs w:val="22"/>
              </w:rPr>
              <w:t>fő</w:t>
            </w:r>
          </w:p>
        </w:tc>
        <w:tc>
          <w:tcPr>
            <w:tcW w:w="1537" w:type="dxa"/>
            <w:shd w:val="clear" w:color="auto" w:fill="EDEDED"/>
          </w:tcPr>
          <w:p w14:paraId="2CE548FF" w14:textId="77777777" w:rsidR="00FD0545" w:rsidRPr="00FD0545" w:rsidRDefault="00FD0545" w:rsidP="00026782">
            <w:pPr>
              <w:jc w:val="center"/>
              <w:rPr>
                <w:rFonts w:eastAsia="Calibri"/>
                <w:sz w:val="22"/>
                <w:szCs w:val="22"/>
              </w:rPr>
            </w:pPr>
            <w:r w:rsidRPr="00FD0545">
              <w:rPr>
                <w:rFonts w:eastAsia="Calibri"/>
                <w:sz w:val="22"/>
                <w:szCs w:val="22"/>
              </w:rPr>
              <w:t>10 pont</w:t>
            </w:r>
          </w:p>
        </w:tc>
        <w:tc>
          <w:tcPr>
            <w:tcW w:w="1686" w:type="dxa"/>
            <w:shd w:val="clear" w:color="auto" w:fill="EDEDED"/>
          </w:tcPr>
          <w:p w14:paraId="732E3553" w14:textId="77777777" w:rsidR="00FD0545" w:rsidRPr="00FD0545" w:rsidRDefault="00FD0545" w:rsidP="00026782">
            <w:pPr>
              <w:jc w:val="center"/>
              <w:rPr>
                <w:rFonts w:eastAsia="Calibri"/>
                <w:sz w:val="22"/>
                <w:szCs w:val="22"/>
              </w:rPr>
            </w:pPr>
          </w:p>
        </w:tc>
      </w:tr>
    </w:tbl>
    <w:p w14:paraId="52499741" w14:textId="77777777" w:rsidR="00FD0545" w:rsidRPr="00E13CE5" w:rsidRDefault="00FD0545" w:rsidP="00FD0545">
      <w:pPr>
        <w:spacing w:before="160"/>
        <w:rPr>
          <w:rFonts w:eastAsia="Calibri"/>
          <w:sz w:val="22"/>
          <w:szCs w:val="22"/>
        </w:rPr>
      </w:pPr>
      <w:r w:rsidRPr="00E13CE5">
        <w:rPr>
          <w:rFonts w:eastAsia="Calibri"/>
          <w:sz w:val="22"/>
          <w:szCs w:val="22"/>
        </w:rPr>
        <w:lastRenderedPageBreak/>
        <w:t>Az értékelés alapjául szolgáló adatok forrása, az adatnyerés módja:</w:t>
      </w:r>
    </w:p>
    <w:tbl>
      <w:tblPr>
        <w:tblpPr w:leftFromText="141" w:rightFromText="141" w:vertAnchor="text" w:horzAnchor="margin" w:tblpY="-2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6CC4DBF4" w14:textId="77777777" w:rsidTr="00026782">
        <w:tc>
          <w:tcPr>
            <w:tcW w:w="1980" w:type="dxa"/>
            <w:shd w:val="clear" w:color="auto" w:fill="F2F2F2"/>
          </w:tcPr>
          <w:p w14:paraId="6C3C7D77"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67A62ACD" w14:textId="77777777" w:rsidR="00FD0545" w:rsidRPr="00C376DE" w:rsidRDefault="00FD0545" w:rsidP="00026782">
            <w:pPr>
              <w:rPr>
                <w:rFonts w:eastAsia="Calibri"/>
                <w:b/>
                <w:bCs/>
                <w:sz w:val="22"/>
                <w:szCs w:val="22"/>
              </w:rPr>
            </w:pPr>
            <w:r w:rsidRPr="00C376DE">
              <w:rPr>
                <w:rFonts w:eastAsia="Calibri"/>
                <w:b/>
                <w:bCs/>
                <w:sz w:val="22"/>
                <w:szCs w:val="22"/>
              </w:rPr>
              <w:t xml:space="preserve">A Tanulmányi Osztály adatainak lekérdezése </w:t>
            </w:r>
          </w:p>
        </w:tc>
      </w:tr>
      <w:tr w:rsidR="00FD0545" w:rsidRPr="00C376DE" w14:paraId="4A3BD5D8" w14:textId="77777777" w:rsidTr="00026782">
        <w:tc>
          <w:tcPr>
            <w:tcW w:w="1980" w:type="dxa"/>
            <w:shd w:val="clear" w:color="auto" w:fill="F2F2F2"/>
          </w:tcPr>
          <w:p w14:paraId="5737058B"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74DC8088" w14:textId="77777777" w:rsidR="00FD0545" w:rsidRPr="00C376DE" w:rsidRDefault="00FD0545" w:rsidP="00026782">
            <w:pPr>
              <w:rPr>
                <w:rFonts w:eastAsia="Calibri"/>
                <w:b/>
                <w:bCs/>
                <w:sz w:val="22"/>
                <w:szCs w:val="22"/>
              </w:rPr>
            </w:pPr>
            <w:r w:rsidRPr="00C376DE">
              <w:rPr>
                <w:rFonts w:eastAsia="Calibri"/>
                <w:b/>
                <w:bCs/>
                <w:sz w:val="22"/>
                <w:szCs w:val="22"/>
              </w:rPr>
              <w:t>Tehetséggondozási TÉR jelentés (J/4. melléklet)</w:t>
            </w:r>
          </w:p>
        </w:tc>
      </w:tr>
      <w:tr w:rsidR="00FD0545" w:rsidRPr="00C376DE" w14:paraId="2BEE27BF" w14:textId="77777777" w:rsidTr="00026782">
        <w:tc>
          <w:tcPr>
            <w:tcW w:w="1980" w:type="dxa"/>
            <w:shd w:val="clear" w:color="auto" w:fill="F2F2F2"/>
          </w:tcPr>
          <w:p w14:paraId="7487A3CB"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2A3AB45" w14:textId="77777777" w:rsidR="00FD0545" w:rsidRPr="00C376DE" w:rsidRDefault="00FD0545" w:rsidP="00026782">
            <w:pPr>
              <w:rPr>
                <w:rFonts w:eastAsia="Calibri"/>
                <w:b/>
                <w:bCs/>
                <w:sz w:val="22"/>
                <w:szCs w:val="22"/>
              </w:rPr>
            </w:pPr>
            <w:r w:rsidRPr="00C376DE">
              <w:rPr>
                <w:rFonts w:eastAsia="Calibri"/>
                <w:b/>
                <w:bCs/>
                <w:sz w:val="22"/>
                <w:szCs w:val="22"/>
              </w:rPr>
              <w:t>Tudományos Diákköri és Szakkollégiumi koordinátor</w:t>
            </w:r>
          </w:p>
        </w:tc>
      </w:tr>
    </w:tbl>
    <w:p w14:paraId="6A778E45"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09"/>
        <w:gridCol w:w="1418"/>
        <w:gridCol w:w="1537"/>
      </w:tblGrid>
      <w:tr w:rsidR="00FD0545" w:rsidRPr="00CD78CA" w14:paraId="2D3E38EF" w14:textId="77777777" w:rsidTr="00026782">
        <w:trPr>
          <w:jc w:val="center"/>
        </w:trPr>
        <w:tc>
          <w:tcPr>
            <w:tcW w:w="3009" w:type="dxa"/>
            <w:tcBorders>
              <w:top w:val="single" w:sz="4" w:space="0" w:color="FFFFFF"/>
              <w:left w:val="single" w:sz="4" w:space="0" w:color="FFFFFF"/>
              <w:right w:val="nil"/>
            </w:tcBorders>
            <w:shd w:val="clear" w:color="auto" w:fill="EDEDED"/>
          </w:tcPr>
          <w:p w14:paraId="0799DCA3" w14:textId="77777777" w:rsidR="00FD0545" w:rsidRPr="00CD78CA" w:rsidRDefault="00FD0545" w:rsidP="00026782">
            <w:pPr>
              <w:jc w:val="center"/>
              <w:rPr>
                <w:rFonts w:eastAsia="Calibri"/>
                <w:b/>
                <w:bCs/>
                <w:sz w:val="22"/>
                <w:szCs w:val="22"/>
              </w:rPr>
            </w:pPr>
            <w:r w:rsidRPr="00CD78CA">
              <w:rPr>
                <w:rFonts w:eastAsia="Calibri"/>
                <w:b/>
                <w:bCs/>
                <w:sz w:val="22"/>
                <w:szCs w:val="22"/>
              </w:rPr>
              <w:t>Elismert teljesítmény</w:t>
            </w:r>
          </w:p>
        </w:tc>
        <w:tc>
          <w:tcPr>
            <w:tcW w:w="1418" w:type="dxa"/>
            <w:tcBorders>
              <w:top w:val="single" w:sz="4" w:space="0" w:color="FFFFFF"/>
              <w:left w:val="nil"/>
              <w:right w:val="nil"/>
            </w:tcBorders>
            <w:shd w:val="clear" w:color="auto" w:fill="EDEDED"/>
          </w:tcPr>
          <w:p w14:paraId="34B21E73" w14:textId="77777777" w:rsidR="00FD0545" w:rsidRPr="00CD78CA" w:rsidRDefault="00FD0545" w:rsidP="00026782">
            <w:pPr>
              <w:jc w:val="center"/>
              <w:rPr>
                <w:rFonts w:eastAsia="Calibri"/>
                <w:b/>
                <w:bCs/>
                <w:sz w:val="22"/>
                <w:szCs w:val="22"/>
              </w:rPr>
            </w:pPr>
            <w:r w:rsidRPr="00CD78CA">
              <w:rPr>
                <w:rFonts w:eastAsia="Calibri"/>
                <w:b/>
                <w:bCs/>
                <w:sz w:val="22"/>
                <w:szCs w:val="22"/>
              </w:rPr>
              <w:t>Mérésegység</w:t>
            </w:r>
          </w:p>
        </w:tc>
        <w:tc>
          <w:tcPr>
            <w:tcW w:w="1537" w:type="dxa"/>
            <w:tcBorders>
              <w:top w:val="single" w:sz="4" w:space="0" w:color="FFFFFF"/>
              <w:left w:val="nil"/>
              <w:right w:val="single" w:sz="4" w:space="0" w:color="FFFFFF"/>
            </w:tcBorders>
            <w:shd w:val="clear" w:color="auto" w:fill="EDEDED"/>
          </w:tcPr>
          <w:p w14:paraId="3046F553" w14:textId="77777777" w:rsidR="00FD0545" w:rsidRPr="00CD78CA" w:rsidRDefault="00FD0545" w:rsidP="00026782">
            <w:pPr>
              <w:jc w:val="center"/>
              <w:rPr>
                <w:rFonts w:eastAsia="Calibri"/>
                <w:b/>
                <w:bCs/>
                <w:sz w:val="22"/>
                <w:szCs w:val="22"/>
              </w:rPr>
            </w:pPr>
            <w:r w:rsidRPr="00CD78CA">
              <w:rPr>
                <w:rFonts w:eastAsia="Calibri"/>
                <w:b/>
                <w:bCs/>
                <w:sz w:val="22"/>
                <w:szCs w:val="22"/>
              </w:rPr>
              <w:t>Egységpont</w:t>
            </w:r>
          </w:p>
        </w:tc>
      </w:tr>
      <w:tr w:rsidR="00FD0545" w:rsidRPr="00C376DE" w14:paraId="11B0FA37" w14:textId="77777777" w:rsidTr="00026782">
        <w:trPr>
          <w:jc w:val="center"/>
        </w:trPr>
        <w:tc>
          <w:tcPr>
            <w:tcW w:w="3009" w:type="dxa"/>
            <w:shd w:val="clear" w:color="auto" w:fill="EDEDED"/>
          </w:tcPr>
          <w:p w14:paraId="471B031D" w14:textId="77777777" w:rsidR="00FD0545" w:rsidRPr="00C376DE" w:rsidRDefault="00FD0545" w:rsidP="00026782">
            <w:pPr>
              <w:rPr>
                <w:rFonts w:eastAsia="Calibri"/>
                <w:sz w:val="22"/>
                <w:szCs w:val="22"/>
              </w:rPr>
            </w:pPr>
            <w:r w:rsidRPr="00C376DE">
              <w:rPr>
                <w:rFonts w:eastAsia="Calibri"/>
                <w:sz w:val="22"/>
                <w:szCs w:val="22"/>
              </w:rPr>
              <w:t xml:space="preserve">TDK </w:t>
            </w:r>
            <w:proofErr w:type="gramStart"/>
            <w:r w:rsidRPr="00C376DE">
              <w:rPr>
                <w:rFonts w:eastAsia="Calibri"/>
                <w:sz w:val="22"/>
                <w:szCs w:val="22"/>
              </w:rPr>
              <w:t>konferencián</w:t>
            </w:r>
            <w:proofErr w:type="gramEnd"/>
            <w:r w:rsidRPr="00C376DE">
              <w:rPr>
                <w:rFonts w:eastAsia="Calibri"/>
                <w:sz w:val="22"/>
                <w:szCs w:val="22"/>
              </w:rPr>
              <w:t xml:space="preserve"> és meghallgatáson résztvevő valamennyi (beleértve díjazott) hallgató témavezetője</w:t>
            </w:r>
          </w:p>
        </w:tc>
        <w:tc>
          <w:tcPr>
            <w:tcW w:w="1418" w:type="dxa"/>
            <w:shd w:val="clear" w:color="auto" w:fill="EDEDED"/>
          </w:tcPr>
          <w:p w14:paraId="725344A7"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7F7DA1B1"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60451076" w14:textId="77777777" w:rsidTr="00026782">
        <w:trPr>
          <w:jc w:val="center"/>
        </w:trPr>
        <w:tc>
          <w:tcPr>
            <w:tcW w:w="3009" w:type="dxa"/>
            <w:shd w:val="clear" w:color="auto" w:fill="EDEDED"/>
          </w:tcPr>
          <w:p w14:paraId="4D7BCDA5" w14:textId="77777777" w:rsidR="00FD0545" w:rsidRPr="00C376DE" w:rsidRDefault="00FD0545" w:rsidP="00026782">
            <w:pPr>
              <w:rPr>
                <w:rFonts w:eastAsia="Calibri"/>
                <w:sz w:val="22"/>
                <w:szCs w:val="22"/>
              </w:rPr>
            </w:pPr>
            <w:r w:rsidRPr="00C376DE">
              <w:rPr>
                <w:rFonts w:eastAsia="Calibri"/>
                <w:sz w:val="22"/>
                <w:szCs w:val="22"/>
              </w:rPr>
              <w:t xml:space="preserve">TDK </w:t>
            </w:r>
            <w:proofErr w:type="gramStart"/>
            <w:r w:rsidRPr="00C376DE">
              <w:rPr>
                <w:rFonts w:eastAsia="Calibri"/>
                <w:sz w:val="22"/>
                <w:szCs w:val="22"/>
              </w:rPr>
              <w:t>konferencia</w:t>
            </w:r>
            <w:proofErr w:type="gramEnd"/>
            <w:r w:rsidRPr="00C376DE">
              <w:rPr>
                <w:rFonts w:eastAsia="Calibri"/>
                <w:sz w:val="22"/>
                <w:szCs w:val="22"/>
              </w:rPr>
              <w:t xml:space="preserve"> I. helyezett-jének témavezetője</w:t>
            </w:r>
          </w:p>
        </w:tc>
        <w:tc>
          <w:tcPr>
            <w:tcW w:w="1418" w:type="dxa"/>
            <w:shd w:val="clear" w:color="auto" w:fill="EDEDED"/>
          </w:tcPr>
          <w:p w14:paraId="218D1F97"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3E01A5DE"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3E3C2E8C" w14:textId="77777777" w:rsidTr="00026782">
        <w:trPr>
          <w:jc w:val="center"/>
        </w:trPr>
        <w:tc>
          <w:tcPr>
            <w:tcW w:w="3009" w:type="dxa"/>
            <w:shd w:val="clear" w:color="auto" w:fill="EDEDED"/>
          </w:tcPr>
          <w:p w14:paraId="54955E66" w14:textId="77777777" w:rsidR="00FD0545" w:rsidRPr="00C376DE" w:rsidRDefault="00FD0545" w:rsidP="00026782">
            <w:pPr>
              <w:rPr>
                <w:rFonts w:eastAsia="Calibri"/>
                <w:sz w:val="22"/>
                <w:szCs w:val="22"/>
              </w:rPr>
            </w:pPr>
            <w:r w:rsidRPr="00C376DE">
              <w:rPr>
                <w:rFonts w:eastAsia="Calibri"/>
                <w:sz w:val="22"/>
                <w:szCs w:val="22"/>
              </w:rPr>
              <w:t xml:space="preserve">TDK </w:t>
            </w:r>
            <w:proofErr w:type="gramStart"/>
            <w:r w:rsidRPr="00C376DE">
              <w:rPr>
                <w:rFonts w:eastAsia="Calibri"/>
                <w:sz w:val="22"/>
                <w:szCs w:val="22"/>
              </w:rPr>
              <w:t>konferencia</w:t>
            </w:r>
            <w:proofErr w:type="gramEnd"/>
            <w:r w:rsidRPr="00C376DE">
              <w:rPr>
                <w:rFonts w:eastAsia="Calibri"/>
                <w:sz w:val="22"/>
                <w:szCs w:val="22"/>
              </w:rPr>
              <w:t xml:space="preserve"> II. helyezett-jének témavezetője</w:t>
            </w:r>
          </w:p>
        </w:tc>
        <w:tc>
          <w:tcPr>
            <w:tcW w:w="1418" w:type="dxa"/>
            <w:shd w:val="clear" w:color="auto" w:fill="EDEDED"/>
          </w:tcPr>
          <w:p w14:paraId="01535F9A"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768743AD" w14:textId="77777777" w:rsidR="00FD0545" w:rsidRPr="00C376DE" w:rsidRDefault="00FD0545" w:rsidP="00026782">
            <w:pPr>
              <w:jc w:val="center"/>
              <w:rPr>
                <w:rFonts w:eastAsia="Calibri"/>
                <w:sz w:val="22"/>
                <w:szCs w:val="22"/>
              </w:rPr>
            </w:pPr>
            <w:r w:rsidRPr="00C376DE">
              <w:rPr>
                <w:rFonts w:eastAsia="Calibri"/>
                <w:sz w:val="22"/>
                <w:szCs w:val="22"/>
              </w:rPr>
              <w:t>7 pont</w:t>
            </w:r>
          </w:p>
        </w:tc>
      </w:tr>
      <w:tr w:rsidR="00FD0545" w:rsidRPr="00C376DE" w14:paraId="7C9FE4A2" w14:textId="77777777" w:rsidTr="00026782">
        <w:trPr>
          <w:jc w:val="center"/>
        </w:trPr>
        <w:tc>
          <w:tcPr>
            <w:tcW w:w="3009" w:type="dxa"/>
            <w:shd w:val="clear" w:color="auto" w:fill="EDEDED"/>
          </w:tcPr>
          <w:p w14:paraId="25D2890D" w14:textId="77777777" w:rsidR="00FD0545" w:rsidRPr="00C376DE" w:rsidRDefault="00FD0545" w:rsidP="00026782">
            <w:pPr>
              <w:rPr>
                <w:rFonts w:eastAsia="Calibri"/>
                <w:sz w:val="22"/>
                <w:szCs w:val="22"/>
              </w:rPr>
            </w:pPr>
            <w:r w:rsidRPr="00C376DE">
              <w:rPr>
                <w:rFonts w:eastAsia="Calibri"/>
                <w:sz w:val="22"/>
                <w:szCs w:val="22"/>
              </w:rPr>
              <w:t xml:space="preserve">TDK </w:t>
            </w:r>
            <w:proofErr w:type="gramStart"/>
            <w:r w:rsidRPr="00C376DE">
              <w:rPr>
                <w:rFonts w:eastAsia="Calibri"/>
                <w:sz w:val="22"/>
                <w:szCs w:val="22"/>
              </w:rPr>
              <w:t>konferencia</w:t>
            </w:r>
            <w:proofErr w:type="gramEnd"/>
            <w:r w:rsidRPr="00C376DE">
              <w:rPr>
                <w:rFonts w:eastAsia="Calibri"/>
                <w:sz w:val="22"/>
                <w:szCs w:val="22"/>
              </w:rPr>
              <w:t xml:space="preserve"> III. helyezett-jének témavezetője</w:t>
            </w:r>
          </w:p>
        </w:tc>
        <w:tc>
          <w:tcPr>
            <w:tcW w:w="1418" w:type="dxa"/>
            <w:shd w:val="clear" w:color="auto" w:fill="EDEDED"/>
          </w:tcPr>
          <w:p w14:paraId="18E0898C"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790980D2"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7308F939" w14:textId="77777777" w:rsidTr="00026782">
        <w:trPr>
          <w:jc w:val="center"/>
        </w:trPr>
        <w:tc>
          <w:tcPr>
            <w:tcW w:w="3009" w:type="dxa"/>
            <w:shd w:val="clear" w:color="auto" w:fill="EDEDED"/>
          </w:tcPr>
          <w:p w14:paraId="1D130DDE" w14:textId="77777777" w:rsidR="00FD0545" w:rsidRPr="00C376DE" w:rsidRDefault="00FD0545" w:rsidP="00026782">
            <w:pPr>
              <w:rPr>
                <w:rFonts w:eastAsia="Calibri"/>
                <w:sz w:val="22"/>
                <w:szCs w:val="22"/>
              </w:rPr>
            </w:pPr>
            <w:r w:rsidRPr="00C376DE">
              <w:rPr>
                <w:rFonts w:eastAsia="Calibri"/>
                <w:sz w:val="22"/>
                <w:szCs w:val="22"/>
              </w:rPr>
              <w:t>OTD Konferencia valamennyi (beleértve díjazott) résztvevő-jének témavezetője</w:t>
            </w:r>
          </w:p>
        </w:tc>
        <w:tc>
          <w:tcPr>
            <w:tcW w:w="1418" w:type="dxa"/>
            <w:shd w:val="clear" w:color="auto" w:fill="EDEDED"/>
          </w:tcPr>
          <w:p w14:paraId="7F07D097"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69DA33FA"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30F717C3" w14:textId="77777777" w:rsidTr="00026782">
        <w:trPr>
          <w:jc w:val="center"/>
        </w:trPr>
        <w:tc>
          <w:tcPr>
            <w:tcW w:w="3009" w:type="dxa"/>
            <w:shd w:val="clear" w:color="auto" w:fill="EDEDED"/>
          </w:tcPr>
          <w:p w14:paraId="3A4E0621" w14:textId="77777777" w:rsidR="00FD0545" w:rsidRPr="00C376DE" w:rsidRDefault="00FD0545" w:rsidP="00026782">
            <w:pPr>
              <w:rPr>
                <w:rFonts w:eastAsia="Calibri"/>
                <w:sz w:val="22"/>
                <w:szCs w:val="22"/>
              </w:rPr>
            </w:pPr>
            <w:r w:rsidRPr="00C376DE">
              <w:rPr>
                <w:rFonts w:eastAsia="Calibri"/>
                <w:sz w:val="22"/>
                <w:szCs w:val="22"/>
              </w:rPr>
              <w:t>OTD Konferencia I. helyezettjé-</w:t>
            </w:r>
            <w:proofErr w:type="spellStart"/>
            <w:r w:rsidRPr="00C376DE">
              <w:rPr>
                <w:rFonts w:eastAsia="Calibri"/>
                <w:sz w:val="22"/>
                <w:szCs w:val="22"/>
              </w:rPr>
              <w:t>nek</w:t>
            </w:r>
            <w:proofErr w:type="spellEnd"/>
            <w:r w:rsidRPr="00C376DE">
              <w:rPr>
                <w:rFonts w:eastAsia="Calibri"/>
                <w:sz w:val="22"/>
                <w:szCs w:val="22"/>
              </w:rPr>
              <w:t xml:space="preserve"> témavezetője</w:t>
            </w:r>
          </w:p>
        </w:tc>
        <w:tc>
          <w:tcPr>
            <w:tcW w:w="1418" w:type="dxa"/>
            <w:shd w:val="clear" w:color="auto" w:fill="EDEDED"/>
          </w:tcPr>
          <w:p w14:paraId="5E4DF4BB"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6FB2947B"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4959F3A6" w14:textId="77777777" w:rsidTr="00026782">
        <w:trPr>
          <w:jc w:val="center"/>
        </w:trPr>
        <w:tc>
          <w:tcPr>
            <w:tcW w:w="3009" w:type="dxa"/>
            <w:shd w:val="clear" w:color="auto" w:fill="EDEDED"/>
          </w:tcPr>
          <w:p w14:paraId="12576F08" w14:textId="77777777" w:rsidR="00FD0545" w:rsidRPr="00C376DE" w:rsidRDefault="00FD0545" w:rsidP="00026782">
            <w:pPr>
              <w:rPr>
                <w:rFonts w:eastAsia="Calibri"/>
                <w:sz w:val="22"/>
                <w:szCs w:val="22"/>
              </w:rPr>
            </w:pPr>
            <w:r w:rsidRPr="00C376DE">
              <w:rPr>
                <w:rFonts w:eastAsia="Calibri"/>
                <w:sz w:val="22"/>
                <w:szCs w:val="22"/>
              </w:rPr>
              <w:t>OTD Konferencia II. helyezett-jének témavezetője</w:t>
            </w:r>
          </w:p>
        </w:tc>
        <w:tc>
          <w:tcPr>
            <w:tcW w:w="1418" w:type="dxa"/>
            <w:shd w:val="clear" w:color="auto" w:fill="EDEDED"/>
          </w:tcPr>
          <w:p w14:paraId="3F4B3B8E"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44389286" w14:textId="77777777" w:rsidR="00FD0545" w:rsidRPr="00C376DE" w:rsidRDefault="00FD0545" w:rsidP="00026782">
            <w:pPr>
              <w:jc w:val="center"/>
              <w:rPr>
                <w:rFonts w:eastAsia="Calibri"/>
                <w:sz w:val="22"/>
                <w:szCs w:val="22"/>
              </w:rPr>
            </w:pPr>
            <w:r w:rsidRPr="00C376DE">
              <w:rPr>
                <w:rFonts w:eastAsia="Calibri"/>
                <w:sz w:val="22"/>
                <w:szCs w:val="22"/>
              </w:rPr>
              <w:t>7 pont</w:t>
            </w:r>
          </w:p>
        </w:tc>
      </w:tr>
      <w:tr w:rsidR="00FD0545" w:rsidRPr="00C376DE" w14:paraId="520F074B" w14:textId="77777777" w:rsidTr="00026782">
        <w:trPr>
          <w:jc w:val="center"/>
        </w:trPr>
        <w:tc>
          <w:tcPr>
            <w:tcW w:w="3009" w:type="dxa"/>
            <w:shd w:val="clear" w:color="auto" w:fill="EDEDED"/>
          </w:tcPr>
          <w:p w14:paraId="1AE50066" w14:textId="77777777" w:rsidR="00FD0545" w:rsidRPr="00C376DE" w:rsidRDefault="00FD0545" w:rsidP="00026782">
            <w:pPr>
              <w:rPr>
                <w:rFonts w:eastAsia="Calibri"/>
                <w:sz w:val="22"/>
                <w:szCs w:val="22"/>
              </w:rPr>
            </w:pPr>
            <w:r w:rsidRPr="00C376DE">
              <w:rPr>
                <w:rFonts w:eastAsia="Calibri"/>
                <w:sz w:val="22"/>
                <w:szCs w:val="22"/>
              </w:rPr>
              <w:t>OTD Konferencia III. helyezett-jének témavezetője</w:t>
            </w:r>
          </w:p>
        </w:tc>
        <w:tc>
          <w:tcPr>
            <w:tcW w:w="1418" w:type="dxa"/>
            <w:shd w:val="clear" w:color="auto" w:fill="EDEDED"/>
          </w:tcPr>
          <w:p w14:paraId="5E4CFB68" w14:textId="77777777" w:rsidR="00FD0545" w:rsidRPr="00C376DE" w:rsidRDefault="00FD0545" w:rsidP="00026782">
            <w:pPr>
              <w:jc w:val="center"/>
              <w:rPr>
                <w:rFonts w:eastAsia="Calibri"/>
                <w:sz w:val="22"/>
                <w:szCs w:val="22"/>
              </w:rPr>
            </w:pPr>
            <w:r w:rsidRPr="00C376DE">
              <w:rPr>
                <w:rFonts w:eastAsia="Calibri"/>
                <w:sz w:val="22"/>
                <w:szCs w:val="22"/>
              </w:rPr>
              <w:t>fő</w:t>
            </w:r>
          </w:p>
        </w:tc>
        <w:tc>
          <w:tcPr>
            <w:tcW w:w="1537" w:type="dxa"/>
            <w:shd w:val="clear" w:color="auto" w:fill="EDEDED"/>
          </w:tcPr>
          <w:p w14:paraId="4A55A105" w14:textId="77777777" w:rsidR="00FD0545" w:rsidRPr="00C376DE" w:rsidRDefault="00FD0545" w:rsidP="00026782">
            <w:pPr>
              <w:jc w:val="center"/>
              <w:rPr>
                <w:rFonts w:eastAsia="Calibri"/>
                <w:sz w:val="22"/>
                <w:szCs w:val="22"/>
              </w:rPr>
            </w:pPr>
            <w:r w:rsidRPr="00C376DE">
              <w:rPr>
                <w:rFonts w:eastAsia="Calibri"/>
                <w:sz w:val="22"/>
                <w:szCs w:val="22"/>
              </w:rPr>
              <w:t>5 pont</w:t>
            </w:r>
          </w:p>
        </w:tc>
      </w:tr>
    </w:tbl>
    <w:p w14:paraId="2597B738"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pPr w:leftFromText="141" w:rightFromText="141" w:vertAnchor="text" w:horzAnchor="margin" w:tblpY="10"/>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AF6EF36" w14:textId="77777777" w:rsidTr="00026782">
        <w:tc>
          <w:tcPr>
            <w:tcW w:w="1980" w:type="dxa"/>
            <w:shd w:val="clear" w:color="auto" w:fill="F2F2F2"/>
          </w:tcPr>
          <w:p w14:paraId="485C9332"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287B351" w14:textId="77777777" w:rsidR="00FD0545" w:rsidRPr="00C376DE" w:rsidRDefault="00FD0545" w:rsidP="00026782">
            <w:pPr>
              <w:rPr>
                <w:rFonts w:eastAsia="Calibri"/>
                <w:b/>
                <w:bCs/>
                <w:sz w:val="22"/>
                <w:szCs w:val="22"/>
              </w:rPr>
            </w:pPr>
            <w:r w:rsidRPr="00C376DE">
              <w:rPr>
                <w:rFonts w:eastAsia="Calibri"/>
                <w:b/>
                <w:bCs/>
                <w:sz w:val="22"/>
                <w:szCs w:val="22"/>
              </w:rPr>
              <w:t xml:space="preserve">Adatszolgáltatás a kari és országos konferenciarészvételről és eredményekről </w:t>
            </w:r>
          </w:p>
        </w:tc>
      </w:tr>
      <w:tr w:rsidR="00FD0545" w:rsidRPr="00C376DE" w14:paraId="5D9D67F3" w14:textId="77777777" w:rsidTr="00026782">
        <w:tc>
          <w:tcPr>
            <w:tcW w:w="1980" w:type="dxa"/>
            <w:shd w:val="clear" w:color="auto" w:fill="F2F2F2"/>
          </w:tcPr>
          <w:p w14:paraId="7E43BAB6"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75EDEFE" w14:textId="77777777" w:rsidR="00FD0545" w:rsidRPr="00C376DE" w:rsidRDefault="00FD0545" w:rsidP="00026782">
            <w:pPr>
              <w:rPr>
                <w:rFonts w:eastAsia="Calibri"/>
                <w:b/>
                <w:bCs/>
                <w:sz w:val="22"/>
                <w:szCs w:val="22"/>
              </w:rPr>
            </w:pPr>
            <w:r w:rsidRPr="00C376DE">
              <w:rPr>
                <w:rFonts w:eastAsia="Calibri"/>
                <w:b/>
                <w:bCs/>
                <w:sz w:val="22"/>
                <w:szCs w:val="22"/>
              </w:rPr>
              <w:t>Tehetséggondozási TÉR jelentés (J/4. melléklet)</w:t>
            </w:r>
          </w:p>
        </w:tc>
      </w:tr>
      <w:tr w:rsidR="00FD0545" w:rsidRPr="00C376DE" w14:paraId="7EF6C78E" w14:textId="77777777" w:rsidTr="00026782">
        <w:tc>
          <w:tcPr>
            <w:tcW w:w="1980" w:type="dxa"/>
            <w:shd w:val="clear" w:color="auto" w:fill="F2F2F2"/>
          </w:tcPr>
          <w:p w14:paraId="7AA9BF8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D25673F" w14:textId="77777777" w:rsidR="00FD0545" w:rsidRPr="00C376DE" w:rsidRDefault="00FD0545" w:rsidP="00026782">
            <w:pPr>
              <w:rPr>
                <w:rFonts w:eastAsia="Calibri"/>
                <w:b/>
                <w:bCs/>
                <w:sz w:val="22"/>
                <w:szCs w:val="22"/>
              </w:rPr>
            </w:pPr>
            <w:r w:rsidRPr="00C376DE">
              <w:rPr>
                <w:rFonts w:eastAsia="Calibri"/>
                <w:b/>
                <w:bCs/>
                <w:sz w:val="22"/>
                <w:szCs w:val="22"/>
              </w:rPr>
              <w:t>TDK koordinátor</w:t>
            </w:r>
          </w:p>
        </w:tc>
      </w:tr>
    </w:tbl>
    <w:p w14:paraId="5C529376" w14:textId="77777777" w:rsidR="00FD0545" w:rsidRDefault="00FD0545" w:rsidP="00FD0545">
      <w:pPr>
        <w:ind w:left="1416"/>
        <w:rPr>
          <w:b/>
          <w:sz w:val="22"/>
        </w:rPr>
      </w:pPr>
    </w:p>
    <w:p w14:paraId="66EFFFE3" w14:textId="77777777" w:rsidR="00FD0545" w:rsidRDefault="00FD0545" w:rsidP="00FD0545">
      <w:pPr>
        <w:ind w:left="1416"/>
        <w:rPr>
          <w:b/>
          <w:sz w:val="22"/>
        </w:rPr>
      </w:pPr>
      <w:r w:rsidRPr="00CD78CA">
        <w:rPr>
          <w:b/>
          <w:sz w:val="22"/>
        </w:rPr>
        <w:t>4. Doktori témavezetői tevékenység (DTV TÉR)</w:t>
      </w:r>
    </w:p>
    <w:p w14:paraId="2038A87E" w14:textId="77777777" w:rsidR="00FD0545" w:rsidRPr="00CD78CA" w:rsidRDefault="00FD0545" w:rsidP="00FD0545">
      <w:pPr>
        <w:ind w:left="1416"/>
        <w:rPr>
          <w:b/>
          <w:sz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3009"/>
        <w:gridCol w:w="1512"/>
        <w:gridCol w:w="1512"/>
        <w:gridCol w:w="1759"/>
      </w:tblGrid>
      <w:tr w:rsidR="00FD0545" w:rsidRPr="00CD78CA" w14:paraId="4A8FA249" w14:textId="77777777" w:rsidTr="00026782">
        <w:trPr>
          <w:tblHeader/>
          <w:jc w:val="center"/>
        </w:trPr>
        <w:tc>
          <w:tcPr>
            <w:tcW w:w="3009" w:type="dxa"/>
            <w:tcBorders>
              <w:top w:val="single" w:sz="4" w:space="0" w:color="FFFFFF"/>
              <w:left w:val="single" w:sz="4" w:space="0" w:color="FFFFFF"/>
              <w:right w:val="nil"/>
            </w:tcBorders>
            <w:shd w:val="clear" w:color="auto" w:fill="EDEDED"/>
          </w:tcPr>
          <w:p w14:paraId="38A4BB5F" w14:textId="77777777" w:rsidR="00FD0545" w:rsidRPr="00CD78CA" w:rsidRDefault="00FD0545" w:rsidP="00026782">
            <w:pPr>
              <w:jc w:val="center"/>
              <w:rPr>
                <w:rFonts w:eastAsia="Calibri"/>
                <w:b/>
                <w:bCs/>
                <w:sz w:val="22"/>
                <w:szCs w:val="22"/>
              </w:rPr>
            </w:pPr>
            <w:r w:rsidRPr="00CD78CA">
              <w:rPr>
                <w:rFonts w:eastAsia="Calibri"/>
                <w:b/>
                <w:bCs/>
                <w:sz w:val="22"/>
                <w:szCs w:val="22"/>
              </w:rPr>
              <w:t>Elismert teljesítmény</w:t>
            </w:r>
          </w:p>
        </w:tc>
        <w:tc>
          <w:tcPr>
            <w:tcW w:w="1512" w:type="dxa"/>
            <w:tcBorders>
              <w:top w:val="single" w:sz="4" w:space="0" w:color="FFFFFF"/>
              <w:left w:val="nil"/>
              <w:right w:val="nil"/>
            </w:tcBorders>
            <w:shd w:val="clear" w:color="auto" w:fill="EDEDED"/>
          </w:tcPr>
          <w:p w14:paraId="22B4FDEF" w14:textId="77777777" w:rsidR="00FD0545" w:rsidRPr="00CD78CA" w:rsidRDefault="00FD0545" w:rsidP="00026782">
            <w:pPr>
              <w:jc w:val="center"/>
              <w:rPr>
                <w:rFonts w:eastAsia="Calibri"/>
                <w:b/>
                <w:bCs/>
                <w:sz w:val="22"/>
                <w:szCs w:val="22"/>
              </w:rPr>
            </w:pPr>
            <w:r w:rsidRPr="00CD78CA">
              <w:rPr>
                <w:rFonts w:eastAsia="Calibri"/>
                <w:b/>
                <w:bCs/>
                <w:sz w:val="22"/>
                <w:szCs w:val="22"/>
              </w:rPr>
              <w:t>Mérésegység</w:t>
            </w:r>
          </w:p>
        </w:tc>
        <w:tc>
          <w:tcPr>
            <w:tcW w:w="1512" w:type="dxa"/>
            <w:tcBorders>
              <w:top w:val="single" w:sz="4" w:space="0" w:color="FFFFFF"/>
              <w:left w:val="nil"/>
              <w:right w:val="nil"/>
            </w:tcBorders>
            <w:shd w:val="clear" w:color="auto" w:fill="EDEDED"/>
          </w:tcPr>
          <w:p w14:paraId="147E8C2C" w14:textId="77777777" w:rsidR="00FD0545" w:rsidRPr="00CD78CA" w:rsidRDefault="00FD0545" w:rsidP="00026782">
            <w:pPr>
              <w:jc w:val="center"/>
              <w:rPr>
                <w:rFonts w:eastAsia="Calibri"/>
                <w:b/>
                <w:bCs/>
                <w:sz w:val="22"/>
                <w:szCs w:val="22"/>
              </w:rPr>
            </w:pPr>
            <w:r w:rsidRPr="00CD78CA">
              <w:rPr>
                <w:rFonts w:eastAsia="Calibri"/>
                <w:b/>
                <w:bCs/>
                <w:sz w:val="22"/>
                <w:szCs w:val="22"/>
              </w:rPr>
              <w:t>Egységpont</w:t>
            </w:r>
          </w:p>
        </w:tc>
        <w:tc>
          <w:tcPr>
            <w:tcW w:w="1759" w:type="dxa"/>
            <w:tcBorders>
              <w:top w:val="single" w:sz="4" w:space="0" w:color="FFFFFF"/>
              <w:left w:val="nil"/>
              <w:right w:val="single" w:sz="4" w:space="0" w:color="FFFFFF"/>
            </w:tcBorders>
            <w:shd w:val="clear" w:color="auto" w:fill="EDEDED"/>
          </w:tcPr>
          <w:p w14:paraId="55D43F5C" w14:textId="77777777" w:rsidR="00FD0545" w:rsidRPr="00CD78CA" w:rsidRDefault="00FD0545" w:rsidP="00026782">
            <w:pPr>
              <w:jc w:val="center"/>
              <w:rPr>
                <w:rFonts w:eastAsia="Calibri"/>
                <w:b/>
                <w:bCs/>
                <w:sz w:val="22"/>
                <w:szCs w:val="22"/>
              </w:rPr>
            </w:pPr>
            <w:r w:rsidRPr="00CD78CA">
              <w:rPr>
                <w:rFonts w:eastAsia="Calibri"/>
                <w:b/>
                <w:bCs/>
                <w:sz w:val="22"/>
                <w:szCs w:val="22"/>
              </w:rPr>
              <w:t>Maximum pont</w:t>
            </w:r>
          </w:p>
        </w:tc>
      </w:tr>
      <w:tr w:rsidR="00FD0545" w:rsidRPr="00C376DE" w14:paraId="58398C35" w14:textId="77777777" w:rsidTr="00026782">
        <w:trPr>
          <w:jc w:val="center"/>
        </w:trPr>
        <w:tc>
          <w:tcPr>
            <w:tcW w:w="3009" w:type="dxa"/>
            <w:shd w:val="clear" w:color="auto" w:fill="EDEDED"/>
          </w:tcPr>
          <w:p w14:paraId="035199A6" w14:textId="77777777" w:rsidR="00FD0545" w:rsidRPr="00C376DE" w:rsidRDefault="00FD0545" w:rsidP="00026782">
            <w:pPr>
              <w:rPr>
                <w:rFonts w:eastAsia="Calibri"/>
                <w:sz w:val="22"/>
                <w:szCs w:val="22"/>
              </w:rPr>
            </w:pPr>
            <w:r w:rsidRPr="00C376DE">
              <w:rPr>
                <w:rFonts w:eastAsia="Calibri"/>
                <w:sz w:val="22"/>
                <w:szCs w:val="22"/>
              </w:rPr>
              <w:t>Doktori Iskola vezetője</w:t>
            </w:r>
          </w:p>
        </w:tc>
        <w:tc>
          <w:tcPr>
            <w:tcW w:w="1512" w:type="dxa"/>
            <w:shd w:val="clear" w:color="auto" w:fill="EDEDED"/>
          </w:tcPr>
          <w:p w14:paraId="6C802196" w14:textId="77777777" w:rsidR="00FD0545" w:rsidRPr="00C376DE" w:rsidRDefault="00FD0545" w:rsidP="00026782">
            <w:pPr>
              <w:jc w:val="center"/>
              <w:rPr>
                <w:rFonts w:eastAsia="Calibri"/>
                <w:sz w:val="22"/>
                <w:szCs w:val="22"/>
              </w:rPr>
            </w:pPr>
          </w:p>
        </w:tc>
        <w:tc>
          <w:tcPr>
            <w:tcW w:w="1512" w:type="dxa"/>
            <w:shd w:val="clear" w:color="auto" w:fill="EDEDED"/>
          </w:tcPr>
          <w:p w14:paraId="0A955EC0" w14:textId="77777777" w:rsidR="00FD0545" w:rsidRPr="00C376DE" w:rsidRDefault="00FD0545" w:rsidP="00026782">
            <w:pPr>
              <w:jc w:val="center"/>
              <w:rPr>
                <w:rFonts w:eastAsia="Calibri"/>
                <w:sz w:val="22"/>
                <w:szCs w:val="22"/>
              </w:rPr>
            </w:pPr>
            <w:r w:rsidRPr="00C376DE">
              <w:rPr>
                <w:rFonts w:eastAsia="Calibri"/>
                <w:sz w:val="22"/>
                <w:szCs w:val="22"/>
              </w:rPr>
              <w:t>50 pont</w:t>
            </w:r>
          </w:p>
        </w:tc>
        <w:tc>
          <w:tcPr>
            <w:tcW w:w="1759" w:type="dxa"/>
            <w:shd w:val="clear" w:color="auto" w:fill="EDEDED"/>
          </w:tcPr>
          <w:p w14:paraId="1F609B7B" w14:textId="77777777" w:rsidR="00FD0545" w:rsidRPr="00C376DE" w:rsidRDefault="00FD0545" w:rsidP="00026782">
            <w:pPr>
              <w:jc w:val="center"/>
              <w:rPr>
                <w:rFonts w:eastAsia="Calibri"/>
                <w:sz w:val="22"/>
                <w:szCs w:val="22"/>
              </w:rPr>
            </w:pPr>
          </w:p>
        </w:tc>
      </w:tr>
      <w:tr w:rsidR="00FD0545" w:rsidRPr="00C376DE" w14:paraId="24B62D30" w14:textId="77777777" w:rsidTr="00026782">
        <w:trPr>
          <w:jc w:val="center"/>
        </w:trPr>
        <w:tc>
          <w:tcPr>
            <w:tcW w:w="3009" w:type="dxa"/>
            <w:shd w:val="clear" w:color="auto" w:fill="EDEDED"/>
          </w:tcPr>
          <w:p w14:paraId="32C4B4E2" w14:textId="77777777" w:rsidR="00FD0545" w:rsidRPr="00C376DE" w:rsidRDefault="00FD0545" w:rsidP="00026782">
            <w:pPr>
              <w:rPr>
                <w:rFonts w:eastAsia="Calibri"/>
                <w:sz w:val="22"/>
                <w:szCs w:val="22"/>
              </w:rPr>
            </w:pPr>
            <w:r w:rsidRPr="00C376DE">
              <w:rPr>
                <w:rFonts w:eastAsia="Calibri"/>
                <w:sz w:val="22"/>
                <w:szCs w:val="22"/>
              </w:rPr>
              <w:t>Doktori Iskola törzstagja</w:t>
            </w:r>
          </w:p>
        </w:tc>
        <w:tc>
          <w:tcPr>
            <w:tcW w:w="1512" w:type="dxa"/>
            <w:shd w:val="clear" w:color="auto" w:fill="EDEDED"/>
          </w:tcPr>
          <w:p w14:paraId="3F5BFD98" w14:textId="77777777" w:rsidR="00FD0545" w:rsidRPr="00C376DE" w:rsidRDefault="00FD0545" w:rsidP="00026782">
            <w:pPr>
              <w:jc w:val="center"/>
              <w:rPr>
                <w:rFonts w:eastAsia="Calibri"/>
                <w:sz w:val="22"/>
                <w:szCs w:val="22"/>
              </w:rPr>
            </w:pPr>
          </w:p>
        </w:tc>
        <w:tc>
          <w:tcPr>
            <w:tcW w:w="1512" w:type="dxa"/>
            <w:shd w:val="clear" w:color="auto" w:fill="EDEDED"/>
          </w:tcPr>
          <w:p w14:paraId="471C9299" w14:textId="77777777" w:rsidR="00FD0545" w:rsidRPr="00C376DE" w:rsidRDefault="00FD0545" w:rsidP="00026782">
            <w:pPr>
              <w:jc w:val="center"/>
              <w:rPr>
                <w:rFonts w:eastAsia="Calibri"/>
                <w:sz w:val="22"/>
                <w:szCs w:val="22"/>
              </w:rPr>
            </w:pPr>
            <w:r w:rsidRPr="00C376DE">
              <w:rPr>
                <w:rFonts w:eastAsia="Calibri"/>
                <w:sz w:val="22"/>
                <w:szCs w:val="22"/>
              </w:rPr>
              <w:t>40 pont</w:t>
            </w:r>
          </w:p>
        </w:tc>
        <w:tc>
          <w:tcPr>
            <w:tcW w:w="1759" w:type="dxa"/>
            <w:shd w:val="clear" w:color="auto" w:fill="EDEDED"/>
          </w:tcPr>
          <w:p w14:paraId="2E30E461" w14:textId="77777777" w:rsidR="00FD0545" w:rsidRPr="00C376DE" w:rsidRDefault="00FD0545" w:rsidP="00026782">
            <w:pPr>
              <w:jc w:val="center"/>
              <w:rPr>
                <w:rFonts w:eastAsia="Calibri"/>
                <w:sz w:val="22"/>
                <w:szCs w:val="22"/>
              </w:rPr>
            </w:pPr>
          </w:p>
        </w:tc>
      </w:tr>
      <w:tr w:rsidR="00FD0545" w:rsidRPr="00C376DE" w14:paraId="47A38CC3" w14:textId="77777777" w:rsidTr="00026782">
        <w:trPr>
          <w:jc w:val="center"/>
        </w:trPr>
        <w:tc>
          <w:tcPr>
            <w:tcW w:w="3009" w:type="dxa"/>
            <w:shd w:val="clear" w:color="auto" w:fill="EDEDED"/>
          </w:tcPr>
          <w:p w14:paraId="7BF05D01" w14:textId="77777777" w:rsidR="00FD0545" w:rsidRPr="00C376DE" w:rsidRDefault="00FD0545" w:rsidP="00026782">
            <w:pPr>
              <w:rPr>
                <w:rFonts w:eastAsia="Calibri"/>
                <w:sz w:val="22"/>
                <w:szCs w:val="22"/>
              </w:rPr>
            </w:pPr>
            <w:r w:rsidRPr="00C376DE">
              <w:rPr>
                <w:rFonts w:eastAsia="Calibri"/>
                <w:sz w:val="22"/>
                <w:szCs w:val="22"/>
              </w:rPr>
              <w:t>Doktori Iskola programvezetője</w:t>
            </w:r>
          </w:p>
        </w:tc>
        <w:tc>
          <w:tcPr>
            <w:tcW w:w="1512" w:type="dxa"/>
            <w:shd w:val="clear" w:color="auto" w:fill="EDEDED"/>
          </w:tcPr>
          <w:p w14:paraId="4F2CF602" w14:textId="77777777" w:rsidR="00FD0545" w:rsidRPr="00C376DE" w:rsidRDefault="00FD0545" w:rsidP="00026782">
            <w:pPr>
              <w:jc w:val="center"/>
              <w:rPr>
                <w:rFonts w:eastAsia="Calibri"/>
                <w:sz w:val="22"/>
                <w:szCs w:val="22"/>
              </w:rPr>
            </w:pPr>
          </w:p>
        </w:tc>
        <w:tc>
          <w:tcPr>
            <w:tcW w:w="1512" w:type="dxa"/>
            <w:shd w:val="clear" w:color="auto" w:fill="EDEDED"/>
          </w:tcPr>
          <w:p w14:paraId="0AE6944E" w14:textId="77777777" w:rsidR="00FD0545" w:rsidRPr="00C376DE" w:rsidRDefault="00FD0545" w:rsidP="00026782">
            <w:pPr>
              <w:jc w:val="center"/>
              <w:rPr>
                <w:rFonts w:eastAsia="Calibri"/>
                <w:sz w:val="22"/>
                <w:szCs w:val="22"/>
              </w:rPr>
            </w:pPr>
            <w:r w:rsidRPr="00C376DE">
              <w:rPr>
                <w:rFonts w:eastAsia="Calibri"/>
                <w:sz w:val="22"/>
                <w:szCs w:val="22"/>
              </w:rPr>
              <w:t>35 pont</w:t>
            </w:r>
          </w:p>
        </w:tc>
        <w:tc>
          <w:tcPr>
            <w:tcW w:w="1759" w:type="dxa"/>
            <w:shd w:val="clear" w:color="auto" w:fill="EDEDED"/>
          </w:tcPr>
          <w:p w14:paraId="4AD42530" w14:textId="77777777" w:rsidR="00FD0545" w:rsidRPr="00C376DE" w:rsidRDefault="00FD0545" w:rsidP="00026782">
            <w:pPr>
              <w:jc w:val="center"/>
              <w:rPr>
                <w:rFonts w:eastAsia="Calibri"/>
                <w:sz w:val="22"/>
                <w:szCs w:val="22"/>
              </w:rPr>
            </w:pPr>
          </w:p>
        </w:tc>
      </w:tr>
      <w:tr w:rsidR="00FD0545" w:rsidRPr="00C376DE" w14:paraId="761DA626" w14:textId="77777777" w:rsidTr="00026782">
        <w:trPr>
          <w:jc w:val="center"/>
        </w:trPr>
        <w:tc>
          <w:tcPr>
            <w:tcW w:w="3009" w:type="dxa"/>
            <w:shd w:val="clear" w:color="auto" w:fill="EDEDED"/>
          </w:tcPr>
          <w:p w14:paraId="685BE503" w14:textId="77777777" w:rsidR="00FD0545" w:rsidRPr="00C376DE" w:rsidRDefault="00FD0545" w:rsidP="00026782">
            <w:pPr>
              <w:rPr>
                <w:rFonts w:eastAsia="Calibri"/>
                <w:sz w:val="22"/>
                <w:szCs w:val="22"/>
              </w:rPr>
            </w:pPr>
            <w:r w:rsidRPr="00C376DE">
              <w:rPr>
                <w:rFonts w:eastAsia="Calibri"/>
                <w:sz w:val="22"/>
                <w:szCs w:val="22"/>
              </w:rPr>
              <w:t>Doktori Iskola témavezetője</w:t>
            </w:r>
          </w:p>
        </w:tc>
        <w:tc>
          <w:tcPr>
            <w:tcW w:w="1512" w:type="dxa"/>
            <w:shd w:val="clear" w:color="auto" w:fill="EDEDED"/>
          </w:tcPr>
          <w:p w14:paraId="286D8B91"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1512" w:type="dxa"/>
            <w:shd w:val="clear" w:color="auto" w:fill="EDEDED"/>
          </w:tcPr>
          <w:p w14:paraId="0D900D99" w14:textId="77777777" w:rsidR="00FD0545" w:rsidRPr="00C376DE" w:rsidRDefault="00FD0545" w:rsidP="00026782">
            <w:pPr>
              <w:jc w:val="center"/>
              <w:rPr>
                <w:rFonts w:eastAsia="Calibri"/>
                <w:sz w:val="22"/>
                <w:szCs w:val="22"/>
              </w:rPr>
            </w:pPr>
            <w:r w:rsidRPr="00C376DE">
              <w:rPr>
                <w:rFonts w:eastAsia="Calibri"/>
                <w:sz w:val="22"/>
                <w:szCs w:val="22"/>
              </w:rPr>
              <w:t>30 pont</w:t>
            </w:r>
          </w:p>
        </w:tc>
        <w:tc>
          <w:tcPr>
            <w:tcW w:w="1759" w:type="dxa"/>
            <w:shd w:val="clear" w:color="auto" w:fill="EDEDED"/>
          </w:tcPr>
          <w:p w14:paraId="6A666AD7" w14:textId="77777777" w:rsidR="00FD0545" w:rsidRPr="00C376DE" w:rsidRDefault="00FD0545" w:rsidP="00026782">
            <w:pPr>
              <w:jc w:val="center"/>
              <w:rPr>
                <w:rFonts w:eastAsia="Calibri"/>
                <w:sz w:val="22"/>
                <w:szCs w:val="22"/>
              </w:rPr>
            </w:pPr>
            <w:r w:rsidRPr="00C376DE">
              <w:rPr>
                <w:rFonts w:eastAsia="Calibri"/>
                <w:sz w:val="22"/>
                <w:szCs w:val="22"/>
              </w:rPr>
              <w:t>180 pont</w:t>
            </w:r>
          </w:p>
        </w:tc>
      </w:tr>
      <w:tr w:rsidR="00FD0545" w:rsidRPr="00C376DE" w14:paraId="2C3D7683" w14:textId="77777777" w:rsidTr="00026782">
        <w:trPr>
          <w:jc w:val="center"/>
        </w:trPr>
        <w:tc>
          <w:tcPr>
            <w:tcW w:w="3009" w:type="dxa"/>
            <w:shd w:val="clear" w:color="auto" w:fill="EDEDED"/>
          </w:tcPr>
          <w:p w14:paraId="6A7BFD28" w14:textId="77777777" w:rsidR="00FD0545" w:rsidRPr="00C376DE" w:rsidRDefault="00FD0545" w:rsidP="00026782">
            <w:pPr>
              <w:rPr>
                <w:rFonts w:eastAsia="Calibri"/>
                <w:sz w:val="22"/>
                <w:szCs w:val="22"/>
              </w:rPr>
            </w:pPr>
            <w:r w:rsidRPr="00C376DE">
              <w:rPr>
                <w:rFonts w:eastAsia="Calibri"/>
                <w:sz w:val="22"/>
                <w:szCs w:val="22"/>
              </w:rPr>
              <w:t>Doktori Iskola kurzusvezetője</w:t>
            </w:r>
          </w:p>
        </w:tc>
        <w:tc>
          <w:tcPr>
            <w:tcW w:w="1512" w:type="dxa"/>
            <w:shd w:val="clear" w:color="auto" w:fill="EDEDED"/>
          </w:tcPr>
          <w:p w14:paraId="31ABE364" w14:textId="77777777" w:rsidR="00FD0545" w:rsidRPr="00C376DE" w:rsidRDefault="00FD0545" w:rsidP="00026782">
            <w:pPr>
              <w:jc w:val="center"/>
              <w:rPr>
                <w:rFonts w:eastAsia="Calibri"/>
                <w:sz w:val="22"/>
                <w:szCs w:val="22"/>
              </w:rPr>
            </w:pPr>
            <w:r w:rsidRPr="00C376DE">
              <w:rPr>
                <w:rFonts w:eastAsia="Calibri"/>
                <w:sz w:val="22"/>
                <w:szCs w:val="22"/>
              </w:rPr>
              <w:t xml:space="preserve">db megvalósult </w:t>
            </w:r>
            <w:proofErr w:type="gramStart"/>
            <w:r w:rsidRPr="00C376DE">
              <w:rPr>
                <w:rFonts w:eastAsia="Calibri"/>
                <w:sz w:val="22"/>
                <w:szCs w:val="22"/>
              </w:rPr>
              <w:t>kurzus</w:t>
            </w:r>
            <w:proofErr w:type="gramEnd"/>
          </w:p>
        </w:tc>
        <w:tc>
          <w:tcPr>
            <w:tcW w:w="1512" w:type="dxa"/>
            <w:shd w:val="clear" w:color="auto" w:fill="EDEDED"/>
          </w:tcPr>
          <w:p w14:paraId="2A3F3079" w14:textId="77777777" w:rsidR="00FD0545" w:rsidRPr="00C376DE" w:rsidRDefault="00FD0545" w:rsidP="00026782">
            <w:pPr>
              <w:jc w:val="center"/>
              <w:rPr>
                <w:rFonts w:eastAsia="Calibri"/>
                <w:sz w:val="22"/>
                <w:szCs w:val="22"/>
              </w:rPr>
            </w:pPr>
            <w:r w:rsidRPr="00C376DE">
              <w:rPr>
                <w:rFonts w:eastAsia="Calibri"/>
                <w:sz w:val="22"/>
                <w:szCs w:val="22"/>
              </w:rPr>
              <w:t>20 pont</w:t>
            </w:r>
          </w:p>
        </w:tc>
        <w:tc>
          <w:tcPr>
            <w:tcW w:w="1759" w:type="dxa"/>
            <w:shd w:val="clear" w:color="auto" w:fill="EDEDED"/>
          </w:tcPr>
          <w:p w14:paraId="55334DD3" w14:textId="77777777" w:rsidR="00FD0545" w:rsidRPr="00C376DE" w:rsidRDefault="00FD0545" w:rsidP="00026782">
            <w:pPr>
              <w:jc w:val="center"/>
              <w:rPr>
                <w:rFonts w:eastAsia="Calibri"/>
                <w:sz w:val="22"/>
                <w:szCs w:val="22"/>
              </w:rPr>
            </w:pPr>
            <w:r w:rsidRPr="00C376DE">
              <w:rPr>
                <w:rFonts w:eastAsia="Calibri"/>
                <w:sz w:val="22"/>
                <w:szCs w:val="22"/>
              </w:rPr>
              <w:t>40 pont</w:t>
            </w:r>
          </w:p>
        </w:tc>
      </w:tr>
      <w:tr w:rsidR="00FD0545" w:rsidRPr="00C376DE" w14:paraId="0600F142" w14:textId="77777777" w:rsidTr="00026782">
        <w:trPr>
          <w:jc w:val="center"/>
        </w:trPr>
        <w:tc>
          <w:tcPr>
            <w:tcW w:w="3009" w:type="dxa"/>
            <w:shd w:val="clear" w:color="auto" w:fill="EDEDED"/>
          </w:tcPr>
          <w:p w14:paraId="4CF857C8" w14:textId="77777777" w:rsidR="00FD0545" w:rsidRPr="00C376DE" w:rsidRDefault="00FD0545" w:rsidP="00026782">
            <w:pPr>
              <w:rPr>
                <w:rFonts w:eastAsia="Calibri"/>
                <w:sz w:val="22"/>
                <w:szCs w:val="22"/>
              </w:rPr>
            </w:pPr>
            <w:r w:rsidRPr="00C376DE">
              <w:rPr>
                <w:rFonts w:eastAsia="Calibri"/>
                <w:sz w:val="22"/>
                <w:szCs w:val="22"/>
              </w:rPr>
              <w:t>Doktori felvételi bizottsági tagság</w:t>
            </w:r>
          </w:p>
        </w:tc>
        <w:tc>
          <w:tcPr>
            <w:tcW w:w="1512" w:type="dxa"/>
            <w:shd w:val="clear" w:color="auto" w:fill="EDEDED"/>
          </w:tcPr>
          <w:p w14:paraId="6E4C657A"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1512" w:type="dxa"/>
            <w:shd w:val="clear" w:color="auto" w:fill="EDEDED"/>
          </w:tcPr>
          <w:p w14:paraId="03DDE0A7" w14:textId="77777777" w:rsidR="00FD0545" w:rsidRPr="00C376DE" w:rsidRDefault="00FD0545" w:rsidP="00026782">
            <w:pPr>
              <w:jc w:val="center"/>
              <w:rPr>
                <w:rFonts w:eastAsia="Calibri"/>
                <w:sz w:val="22"/>
                <w:szCs w:val="22"/>
              </w:rPr>
            </w:pPr>
            <w:r w:rsidRPr="00C376DE">
              <w:rPr>
                <w:rFonts w:eastAsia="Calibri"/>
                <w:sz w:val="22"/>
                <w:szCs w:val="22"/>
              </w:rPr>
              <w:t>0,5 pont</w:t>
            </w:r>
          </w:p>
        </w:tc>
        <w:tc>
          <w:tcPr>
            <w:tcW w:w="1759" w:type="dxa"/>
            <w:shd w:val="clear" w:color="auto" w:fill="EDEDED"/>
          </w:tcPr>
          <w:p w14:paraId="7200065C"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70B4FF99" w14:textId="77777777" w:rsidTr="00026782">
        <w:trPr>
          <w:jc w:val="center"/>
        </w:trPr>
        <w:tc>
          <w:tcPr>
            <w:tcW w:w="3009" w:type="dxa"/>
            <w:shd w:val="clear" w:color="auto" w:fill="EDEDED"/>
          </w:tcPr>
          <w:p w14:paraId="6D3431F0" w14:textId="77777777" w:rsidR="00FD0545" w:rsidRPr="00C376DE" w:rsidRDefault="00FD0545" w:rsidP="00026782">
            <w:pPr>
              <w:rPr>
                <w:rFonts w:eastAsia="Calibri"/>
                <w:sz w:val="22"/>
                <w:szCs w:val="22"/>
              </w:rPr>
            </w:pPr>
            <w:r w:rsidRPr="00C376DE">
              <w:rPr>
                <w:rFonts w:eastAsia="Calibri"/>
                <w:sz w:val="22"/>
                <w:szCs w:val="22"/>
              </w:rPr>
              <w:t>Doktori felvételi bizottság elnöke</w:t>
            </w:r>
          </w:p>
        </w:tc>
        <w:tc>
          <w:tcPr>
            <w:tcW w:w="1512" w:type="dxa"/>
            <w:shd w:val="clear" w:color="auto" w:fill="EDEDED"/>
          </w:tcPr>
          <w:p w14:paraId="066CB08A"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1512" w:type="dxa"/>
            <w:shd w:val="clear" w:color="auto" w:fill="EDEDED"/>
          </w:tcPr>
          <w:p w14:paraId="12BD446D"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759" w:type="dxa"/>
            <w:shd w:val="clear" w:color="auto" w:fill="EDEDED"/>
          </w:tcPr>
          <w:p w14:paraId="01F6B61C" w14:textId="77777777" w:rsidR="00FD0545" w:rsidRPr="00C376DE" w:rsidRDefault="00FD0545" w:rsidP="00026782">
            <w:pPr>
              <w:jc w:val="center"/>
              <w:rPr>
                <w:rFonts w:eastAsia="Calibri"/>
                <w:sz w:val="22"/>
                <w:szCs w:val="22"/>
              </w:rPr>
            </w:pPr>
            <w:r w:rsidRPr="00C376DE">
              <w:rPr>
                <w:rFonts w:eastAsia="Calibri"/>
                <w:sz w:val="22"/>
                <w:szCs w:val="22"/>
              </w:rPr>
              <w:t>15 pont</w:t>
            </w:r>
          </w:p>
        </w:tc>
      </w:tr>
      <w:tr w:rsidR="00FD0545" w:rsidRPr="00C376DE" w14:paraId="76B09F30" w14:textId="77777777" w:rsidTr="00026782">
        <w:trPr>
          <w:jc w:val="center"/>
        </w:trPr>
        <w:tc>
          <w:tcPr>
            <w:tcW w:w="3009" w:type="dxa"/>
            <w:shd w:val="clear" w:color="auto" w:fill="EDEDED"/>
          </w:tcPr>
          <w:p w14:paraId="6ABE8FF6" w14:textId="77777777" w:rsidR="00FD0545" w:rsidRPr="00C376DE" w:rsidRDefault="00FD0545" w:rsidP="00026782">
            <w:pPr>
              <w:rPr>
                <w:rFonts w:eastAsia="Calibri"/>
                <w:sz w:val="22"/>
                <w:szCs w:val="22"/>
              </w:rPr>
            </w:pPr>
            <w:r w:rsidRPr="00C376DE">
              <w:rPr>
                <w:rFonts w:eastAsia="Calibri"/>
                <w:sz w:val="22"/>
                <w:szCs w:val="22"/>
              </w:rPr>
              <w:t xml:space="preserve">Doktori komplex </w:t>
            </w:r>
            <w:proofErr w:type="gramStart"/>
            <w:r w:rsidRPr="00C376DE">
              <w:rPr>
                <w:rFonts w:eastAsia="Calibri"/>
                <w:sz w:val="22"/>
                <w:szCs w:val="22"/>
              </w:rPr>
              <w:t>vizsga bizottsági</w:t>
            </w:r>
            <w:proofErr w:type="gramEnd"/>
            <w:r w:rsidRPr="00C376DE">
              <w:rPr>
                <w:rFonts w:eastAsia="Calibri"/>
                <w:sz w:val="22"/>
                <w:szCs w:val="22"/>
              </w:rPr>
              <w:t xml:space="preserve"> tag</w:t>
            </w:r>
          </w:p>
        </w:tc>
        <w:tc>
          <w:tcPr>
            <w:tcW w:w="1512" w:type="dxa"/>
            <w:shd w:val="clear" w:color="auto" w:fill="EDEDED"/>
          </w:tcPr>
          <w:p w14:paraId="2BA5B932"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1512" w:type="dxa"/>
            <w:shd w:val="clear" w:color="auto" w:fill="EDEDED"/>
          </w:tcPr>
          <w:p w14:paraId="0FBE6B10" w14:textId="77777777" w:rsidR="00FD0545" w:rsidRPr="00C376DE" w:rsidRDefault="00FD0545" w:rsidP="00026782">
            <w:pPr>
              <w:jc w:val="center"/>
              <w:rPr>
                <w:rFonts w:eastAsia="Calibri"/>
                <w:sz w:val="22"/>
                <w:szCs w:val="22"/>
              </w:rPr>
            </w:pPr>
            <w:r w:rsidRPr="00C376DE">
              <w:rPr>
                <w:rFonts w:eastAsia="Calibri"/>
                <w:sz w:val="22"/>
                <w:szCs w:val="22"/>
              </w:rPr>
              <w:t>0,5 pont</w:t>
            </w:r>
          </w:p>
        </w:tc>
        <w:tc>
          <w:tcPr>
            <w:tcW w:w="1759" w:type="dxa"/>
            <w:shd w:val="clear" w:color="auto" w:fill="EDEDED"/>
          </w:tcPr>
          <w:p w14:paraId="171E0B9F"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3A6AC96B" w14:textId="77777777" w:rsidTr="00026782">
        <w:trPr>
          <w:jc w:val="center"/>
        </w:trPr>
        <w:tc>
          <w:tcPr>
            <w:tcW w:w="3009" w:type="dxa"/>
            <w:shd w:val="clear" w:color="auto" w:fill="EDEDED"/>
          </w:tcPr>
          <w:p w14:paraId="70D7D8C4" w14:textId="77777777" w:rsidR="00FD0545" w:rsidRPr="00C376DE" w:rsidRDefault="00FD0545" w:rsidP="00026782">
            <w:pPr>
              <w:rPr>
                <w:rFonts w:eastAsia="Calibri"/>
                <w:sz w:val="22"/>
                <w:szCs w:val="22"/>
              </w:rPr>
            </w:pPr>
            <w:r w:rsidRPr="00C376DE">
              <w:rPr>
                <w:rFonts w:eastAsia="Calibri"/>
                <w:sz w:val="22"/>
                <w:szCs w:val="22"/>
              </w:rPr>
              <w:t xml:space="preserve">Doktori komplex </w:t>
            </w:r>
            <w:proofErr w:type="gramStart"/>
            <w:r w:rsidRPr="00C376DE">
              <w:rPr>
                <w:rFonts w:eastAsia="Calibri"/>
                <w:sz w:val="22"/>
                <w:szCs w:val="22"/>
              </w:rPr>
              <w:t>vizsga bizottsági</w:t>
            </w:r>
            <w:proofErr w:type="gramEnd"/>
            <w:r w:rsidRPr="00C376DE">
              <w:rPr>
                <w:rFonts w:eastAsia="Calibri"/>
                <w:sz w:val="22"/>
                <w:szCs w:val="22"/>
              </w:rPr>
              <w:t xml:space="preserve"> elnök</w:t>
            </w:r>
          </w:p>
        </w:tc>
        <w:tc>
          <w:tcPr>
            <w:tcW w:w="1512" w:type="dxa"/>
            <w:shd w:val="clear" w:color="auto" w:fill="EDEDED"/>
          </w:tcPr>
          <w:p w14:paraId="23A3B970"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1512" w:type="dxa"/>
            <w:shd w:val="clear" w:color="auto" w:fill="EDEDED"/>
          </w:tcPr>
          <w:p w14:paraId="5B0DB642"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759" w:type="dxa"/>
            <w:shd w:val="clear" w:color="auto" w:fill="EDEDED"/>
          </w:tcPr>
          <w:p w14:paraId="3815E123" w14:textId="77777777" w:rsidR="00FD0545" w:rsidRPr="00C376DE" w:rsidRDefault="00FD0545" w:rsidP="00026782">
            <w:pPr>
              <w:jc w:val="center"/>
              <w:rPr>
                <w:rFonts w:eastAsia="Calibri"/>
                <w:sz w:val="22"/>
                <w:szCs w:val="22"/>
              </w:rPr>
            </w:pPr>
            <w:r w:rsidRPr="00C376DE">
              <w:rPr>
                <w:rFonts w:eastAsia="Calibri"/>
                <w:sz w:val="22"/>
                <w:szCs w:val="22"/>
              </w:rPr>
              <w:t>15 pont</w:t>
            </w:r>
          </w:p>
        </w:tc>
      </w:tr>
      <w:tr w:rsidR="00FD0545" w:rsidRPr="00C376DE" w14:paraId="4AE59A9F" w14:textId="77777777" w:rsidTr="00026782">
        <w:trPr>
          <w:jc w:val="center"/>
        </w:trPr>
        <w:tc>
          <w:tcPr>
            <w:tcW w:w="3009" w:type="dxa"/>
            <w:shd w:val="clear" w:color="auto" w:fill="EDEDED"/>
          </w:tcPr>
          <w:p w14:paraId="2DBDCF36" w14:textId="77777777" w:rsidR="00FD0545" w:rsidRPr="00C376DE" w:rsidRDefault="00FD0545" w:rsidP="00026782">
            <w:pPr>
              <w:rPr>
                <w:rFonts w:eastAsia="Calibri"/>
                <w:sz w:val="22"/>
                <w:szCs w:val="22"/>
              </w:rPr>
            </w:pPr>
            <w:r w:rsidRPr="00C376DE">
              <w:rPr>
                <w:rFonts w:eastAsia="Calibri"/>
                <w:sz w:val="22"/>
                <w:szCs w:val="22"/>
              </w:rPr>
              <w:lastRenderedPageBreak/>
              <w:t>Doktori értekezés opponense</w:t>
            </w:r>
          </w:p>
        </w:tc>
        <w:tc>
          <w:tcPr>
            <w:tcW w:w="1512" w:type="dxa"/>
            <w:shd w:val="clear" w:color="auto" w:fill="EDEDED"/>
          </w:tcPr>
          <w:p w14:paraId="65C30D14" w14:textId="77777777" w:rsidR="00FD0545" w:rsidRPr="00C376DE" w:rsidRDefault="00FD0545" w:rsidP="00026782">
            <w:pPr>
              <w:jc w:val="center"/>
              <w:rPr>
                <w:rFonts w:eastAsia="Calibri"/>
                <w:sz w:val="22"/>
                <w:szCs w:val="22"/>
              </w:rPr>
            </w:pPr>
          </w:p>
        </w:tc>
        <w:tc>
          <w:tcPr>
            <w:tcW w:w="1512" w:type="dxa"/>
            <w:shd w:val="clear" w:color="auto" w:fill="EDEDED"/>
          </w:tcPr>
          <w:p w14:paraId="06D99687" w14:textId="77777777" w:rsidR="00FD0545" w:rsidRPr="00C376DE" w:rsidRDefault="00FD0545" w:rsidP="00026782">
            <w:pPr>
              <w:jc w:val="center"/>
              <w:rPr>
                <w:rFonts w:eastAsia="Calibri"/>
                <w:sz w:val="22"/>
                <w:szCs w:val="22"/>
              </w:rPr>
            </w:pPr>
            <w:r w:rsidRPr="00C376DE">
              <w:rPr>
                <w:rFonts w:eastAsia="Calibri"/>
                <w:sz w:val="22"/>
                <w:szCs w:val="22"/>
              </w:rPr>
              <w:t>20 pont</w:t>
            </w:r>
          </w:p>
        </w:tc>
        <w:tc>
          <w:tcPr>
            <w:tcW w:w="1759" w:type="dxa"/>
            <w:shd w:val="clear" w:color="auto" w:fill="EDEDED"/>
          </w:tcPr>
          <w:p w14:paraId="64707FD9" w14:textId="77777777" w:rsidR="00FD0545" w:rsidRPr="00C376DE" w:rsidRDefault="00FD0545" w:rsidP="00026782">
            <w:pPr>
              <w:jc w:val="center"/>
              <w:rPr>
                <w:rFonts w:eastAsia="Calibri"/>
                <w:sz w:val="22"/>
                <w:szCs w:val="22"/>
              </w:rPr>
            </w:pPr>
          </w:p>
        </w:tc>
      </w:tr>
      <w:tr w:rsidR="00FD0545" w:rsidRPr="00C376DE" w14:paraId="3AFC5916" w14:textId="77777777" w:rsidTr="00026782">
        <w:trPr>
          <w:jc w:val="center"/>
        </w:trPr>
        <w:tc>
          <w:tcPr>
            <w:tcW w:w="3009" w:type="dxa"/>
            <w:shd w:val="clear" w:color="auto" w:fill="EDEDED"/>
          </w:tcPr>
          <w:p w14:paraId="6569AA17" w14:textId="77777777" w:rsidR="00FD0545" w:rsidRPr="00C376DE" w:rsidRDefault="00FD0545" w:rsidP="00026782">
            <w:pPr>
              <w:rPr>
                <w:rFonts w:eastAsia="Calibri"/>
                <w:sz w:val="22"/>
                <w:szCs w:val="22"/>
              </w:rPr>
            </w:pPr>
            <w:r w:rsidRPr="00C376DE">
              <w:rPr>
                <w:rFonts w:eastAsia="Calibri"/>
                <w:sz w:val="22"/>
                <w:szCs w:val="22"/>
              </w:rPr>
              <w:t>Doktori védési bizottság nem opponens / habilitációs bizottság tagja</w:t>
            </w:r>
          </w:p>
        </w:tc>
        <w:tc>
          <w:tcPr>
            <w:tcW w:w="1512" w:type="dxa"/>
            <w:shd w:val="clear" w:color="auto" w:fill="EDEDED"/>
          </w:tcPr>
          <w:p w14:paraId="21AF1684" w14:textId="77777777" w:rsidR="00FD0545" w:rsidRPr="00C376DE" w:rsidRDefault="00FD0545" w:rsidP="00026782">
            <w:pPr>
              <w:jc w:val="center"/>
              <w:rPr>
                <w:rFonts w:eastAsia="Calibri"/>
                <w:sz w:val="22"/>
                <w:szCs w:val="22"/>
              </w:rPr>
            </w:pPr>
          </w:p>
        </w:tc>
        <w:tc>
          <w:tcPr>
            <w:tcW w:w="1512" w:type="dxa"/>
            <w:shd w:val="clear" w:color="auto" w:fill="EDEDED"/>
          </w:tcPr>
          <w:p w14:paraId="54FF777B" w14:textId="77777777" w:rsidR="00FD0545" w:rsidRPr="00C376DE" w:rsidRDefault="00FD0545" w:rsidP="00026782">
            <w:pPr>
              <w:jc w:val="center"/>
              <w:rPr>
                <w:rFonts w:eastAsia="Calibri"/>
                <w:sz w:val="22"/>
                <w:szCs w:val="22"/>
              </w:rPr>
            </w:pPr>
            <w:r w:rsidRPr="00C376DE">
              <w:rPr>
                <w:rFonts w:eastAsia="Calibri"/>
                <w:sz w:val="22"/>
                <w:szCs w:val="22"/>
              </w:rPr>
              <w:t>5 pont</w:t>
            </w:r>
          </w:p>
        </w:tc>
        <w:tc>
          <w:tcPr>
            <w:tcW w:w="1759" w:type="dxa"/>
            <w:shd w:val="clear" w:color="auto" w:fill="EDEDED"/>
          </w:tcPr>
          <w:p w14:paraId="679785FE" w14:textId="77777777" w:rsidR="00FD0545" w:rsidRPr="00C376DE" w:rsidRDefault="00FD0545" w:rsidP="00026782">
            <w:pPr>
              <w:jc w:val="center"/>
              <w:rPr>
                <w:rFonts w:eastAsia="Calibri"/>
                <w:sz w:val="22"/>
                <w:szCs w:val="22"/>
              </w:rPr>
            </w:pPr>
          </w:p>
        </w:tc>
      </w:tr>
      <w:tr w:rsidR="00FD0545" w:rsidRPr="00C376DE" w14:paraId="4D0CEF52" w14:textId="77777777" w:rsidTr="00026782">
        <w:trPr>
          <w:jc w:val="center"/>
        </w:trPr>
        <w:tc>
          <w:tcPr>
            <w:tcW w:w="3009" w:type="dxa"/>
            <w:shd w:val="clear" w:color="auto" w:fill="EDEDED"/>
          </w:tcPr>
          <w:p w14:paraId="7DF26579" w14:textId="77777777" w:rsidR="00FD0545" w:rsidRPr="00C376DE" w:rsidRDefault="00FD0545" w:rsidP="00026782">
            <w:pPr>
              <w:rPr>
                <w:rFonts w:eastAsia="Calibri"/>
                <w:sz w:val="22"/>
                <w:szCs w:val="22"/>
              </w:rPr>
            </w:pPr>
            <w:r w:rsidRPr="00C376DE">
              <w:rPr>
                <w:rFonts w:eastAsia="Calibri"/>
                <w:sz w:val="22"/>
                <w:szCs w:val="22"/>
              </w:rPr>
              <w:t>Doktori védési / habilitációs bizottság elnöke</w:t>
            </w:r>
          </w:p>
        </w:tc>
        <w:tc>
          <w:tcPr>
            <w:tcW w:w="1512" w:type="dxa"/>
            <w:shd w:val="clear" w:color="auto" w:fill="EDEDED"/>
          </w:tcPr>
          <w:p w14:paraId="572BD3E8" w14:textId="77777777" w:rsidR="00FD0545" w:rsidRPr="00C376DE" w:rsidRDefault="00FD0545" w:rsidP="00026782">
            <w:pPr>
              <w:jc w:val="center"/>
              <w:rPr>
                <w:rFonts w:eastAsia="Calibri"/>
                <w:sz w:val="22"/>
                <w:szCs w:val="22"/>
              </w:rPr>
            </w:pPr>
          </w:p>
        </w:tc>
        <w:tc>
          <w:tcPr>
            <w:tcW w:w="1512" w:type="dxa"/>
            <w:shd w:val="clear" w:color="auto" w:fill="EDEDED"/>
          </w:tcPr>
          <w:p w14:paraId="476D5C59" w14:textId="77777777" w:rsidR="00FD0545" w:rsidRPr="00C376DE" w:rsidRDefault="00FD0545" w:rsidP="00026782">
            <w:pPr>
              <w:jc w:val="center"/>
              <w:rPr>
                <w:rFonts w:eastAsia="Calibri"/>
                <w:sz w:val="22"/>
                <w:szCs w:val="22"/>
              </w:rPr>
            </w:pPr>
            <w:r w:rsidRPr="00C376DE">
              <w:rPr>
                <w:rFonts w:eastAsia="Calibri"/>
                <w:sz w:val="22"/>
                <w:szCs w:val="22"/>
              </w:rPr>
              <w:t>15 pont</w:t>
            </w:r>
          </w:p>
        </w:tc>
        <w:tc>
          <w:tcPr>
            <w:tcW w:w="1759" w:type="dxa"/>
            <w:shd w:val="clear" w:color="auto" w:fill="EDEDED"/>
          </w:tcPr>
          <w:p w14:paraId="497C9FD8" w14:textId="77777777" w:rsidR="00FD0545" w:rsidRPr="00C376DE" w:rsidRDefault="00FD0545" w:rsidP="00026782">
            <w:pPr>
              <w:jc w:val="center"/>
              <w:rPr>
                <w:rFonts w:eastAsia="Calibri"/>
                <w:sz w:val="22"/>
                <w:szCs w:val="22"/>
              </w:rPr>
            </w:pPr>
          </w:p>
        </w:tc>
      </w:tr>
      <w:tr w:rsidR="00FD0545" w:rsidRPr="00C376DE" w14:paraId="59B6D01C" w14:textId="77777777" w:rsidTr="00026782">
        <w:trPr>
          <w:jc w:val="center"/>
        </w:trPr>
        <w:tc>
          <w:tcPr>
            <w:tcW w:w="3009" w:type="dxa"/>
            <w:shd w:val="clear" w:color="auto" w:fill="EDEDED"/>
          </w:tcPr>
          <w:p w14:paraId="0445EC11" w14:textId="77777777" w:rsidR="00FD0545" w:rsidRPr="00C376DE" w:rsidRDefault="00FD0545" w:rsidP="00026782">
            <w:pPr>
              <w:rPr>
                <w:rFonts w:eastAsia="Calibri"/>
                <w:sz w:val="22"/>
                <w:szCs w:val="22"/>
              </w:rPr>
            </w:pPr>
            <w:r w:rsidRPr="00C376DE">
              <w:rPr>
                <w:rFonts w:eastAsia="Calibri"/>
                <w:color w:val="000000"/>
                <w:sz w:val="22"/>
                <w:szCs w:val="22"/>
              </w:rPr>
              <w:t xml:space="preserve">PhD fokozatszerző témavezető-jeként (oklevél </w:t>
            </w:r>
            <w:proofErr w:type="spellStart"/>
            <w:r w:rsidRPr="00C376DE">
              <w:rPr>
                <w:rFonts w:eastAsia="Calibri"/>
                <w:color w:val="000000"/>
                <w:sz w:val="22"/>
                <w:szCs w:val="22"/>
              </w:rPr>
              <w:t>kiszolgáltatá-sának</w:t>
            </w:r>
            <w:proofErr w:type="spellEnd"/>
            <w:r w:rsidRPr="00C376DE">
              <w:rPr>
                <w:rFonts w:eastAsia="Calibri"/>
                <w:color w:val="000000"/>
                <w:sz w:val="22"/>
                <w:szCs w:val="22"/>
              </w:rPr>
              <w:t xml:space="preserve"> értékelési időszakában vehető figyelembe)</w:t>
            </w:r>
          </w:p>
        </w:tc>
        <w:tc>
          <w:tcPr>
            <w:tcW w:w="1512" w:type="dxa"/>
            <w:shd w:val="clear" w:color="auto" w:fill="EDEDED"/>
          </w:tcPr>
          <w:p w14:paraId="097E0266" w14:textId="77777777" w:rsidR="00FD0545" w:rsidRPr="00C376DE" w:rsidRDefault="00FD0545" w:rsidP="00026782">
            <w:pPr>
              <w:jc w:val="center"/>
              <w:rPr>
                <w:rFonts w:eastAsia="Calibri"/>
                <w:sz w:val="22"/>
                <w:szCs w:val="22"/>
              </w:rPr>
            </w:pPr>
          </w:p>
        </w:tc>
        <w:tc>
          <w:tcPr>
            <w:tcW w:w="1512" w:type="dxa"/>
            <w:shd w:val="clear" w:color="auto" w:fill="EDEDED"/>
          </w:tcPr>
          <w:p w14:paraId="422EBBB3" w14:textId="77777777" w:rsidR="00FD0545" w:rsidRPr="00C376DE" w:rsidRDefault="00FD0545" w:rsidP="00026782">
            <w:pPr>
              <w:jc w:val="center"/>
              <w:rPr>
                <w:rFonts w:eastAsia="Calibri"/>
                <w:sz w:val="22"/>
                <w:szCs w:val="22"/>
              </w:rPr>
            </w:pPr>
            <w:r w:rsidRPr="00C376DE">
              <w:rPr>
                <w:rFonts w:eastAsia="Calibri"/>
                <w:sz w:val="22"/>
                <w:szCs w:val="22"/>
              </w:rPr>
              <w:t>50 pont</w:t>
            </w:r>
          </w:p>
        </w:tc>
        <w:tc>
          <w:tcPr>
            <w:tcW w:w="1759" w:type="dxa"/>
            <w:shd w:val="clear" w:color="auto" w:fill="EDEDED"/>
          </w:tcPr>
          <w:p w14:paraId="15E3A828" w14:textId="77777777" w:rsidR="00FD0545" w:rsidRPr="00C376DE" w:rsidRDefault="00FD0545" w:rsidP="00026782">
            <w:pPr>
              <w:jc w:val="center"/>
              <w:rPr>
                <w:rFonts w:eastAsia="Calibri"/>
                <w:sz w:val="22"/>
                <w:szCs w:val="22"/>
              </w:rPr>
            </w:pPr>
          </w:p>
        </w:tc>
      </w:tr>
    </w:tbl>
    <w:p w14:paraId="555AAA3F" w14:textId="77777777" w:rsidR="00FD0545" w:rsidRDefault="00FD0545" w:rsidP="00FD0545">
      <w:pPr>
        <w:spacing w:before="160"/>
        <w:rPr>
          <w:rFonts w:eastAsia="Calibri"/>
          <w:sz w:val="22"/>
          <w:szCs w:val="22"/>
        </w:rPr>
      </w:pPr>
      <w:r w:rsidRPr="00E13CE5">
        <w:rPr>
          <w:rFonts w:eastAsia="Calibri"/>
          <w:sz w:val="22"/>
          <w:szCs w:val="22"/>
        </w:rPr>
        <w:t>A DTV TÉR számításakor valamennyi doktori iskolában és habilitációs eljárás keretében végzett tevékenység elszámolásra kerül, nem csupán a Karhoz kötődő eljárásoké. Az értékelés alapjául szolgáló adatok forrása, az adatnyerés módja:</w:t>
      </w:r>
    </w:p>
    <w:p w14:paraId="12421831" w14:textId="77777777" w:rsidR="00FD0545" w:rsidRPr="00E13CE5" w:rsidRDefault="00FD0545" w:rsidP="00FD0545">
      <w:pPr>
        <w:spacing w:before="160"/>
        <w:rPr>
          <w:rFonts w:eastAsia="Calibri"/>
          <w:sz w:val="22"/>
          <w:szCs w:val="22"/>
        </w:rPr>
      </w:pPr>
    </w:p>
    <w:tbl>
      <w:tblPr>
        <w:tblpPr w:leftFromText="141" w:rightFromText="141" w:vertAnchor="text" w:horzAnchor="margin" w:tblpY="-45"/>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7952BA41" w14:textId="77777777" w:rsidTr="00026782">
        <w:tc>
          <w:tcPr>
            <w:tcW w:w="1980" w:type="dxa"/>
            <w:shd w:val="clear" w:color="auto" w:fill="F2F2F2"/>
          </w:tcPr>
          <w:p w14:paraId="0CA6D975"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7F1262E" w14:textId="77777777" w:rsidR="00FD0545" w:rsidRPr="00C376DE" w:rsidRDefault="00FD0545" w:rsidP="00026782">
            <w:pPr>
              <w:rPr>
                <w:rFonts w:eastAsia="Calibri"/>
                <w:b/>
                <w:bCs/>
                <w:sz w:val="22"/>
                <w:szCs w:val="22"/>
              </w:rPr>
            </w:pPr>
            <w:r w:rsidRPr="00C376DE">
              <w:rPr>
                <w:rFonts w:eastAsia="Calibri"/>
                <w:b/>
                <w:bCs/>
                <w:sz w:val="22"/>
                <w:szCs w:val="22"/>
              </w:rPr>
              <w:t xml:space="preserve">Éves jelentés, összevetés a doktori.hu adatokkal </w:t>
            </w:r>
          </w:p>
        </w:tc>
      </w:tr>
      <w:tr w:rsidR="00FD0545" w:rsidRPr="00C376DE" w14:paraId="70EF87E0" w14:textId="77777777" w:rsidTr="00026782">
        <w:tc>
          <w:tcPr>
            <w:tcW w:w="1980" w:type="dxa"/>
            <w:shd w:val="clear" w:color="auto" w:fill="F2F2F2"/>
          </w:tcPr>
          <w:p w14:paraId="75C04014"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B6731D4" w14:textId="77777777" w:rsidR="00FD0545" w:rsidRPr="00C376DE" w:rsidRDefault="00FD0545" w:rsidP="00026782">
            <w:pPr>
              <w:rPr>
                <w:rFonts w:eastAsia="Calibri"/>
                <w:b/>
                <w:bCs/>
                <w:sz w:val="22"/>
                <w:szCs w:val="22"/>
              </w:rPr>
            </w:pPr>
            <w:r w:rsidRPr="00C376DE">
              <w:rPr>
                <w:rFonts w:eastAsia="Calibri"/>
                <w:b/>
                <w:bCs/>
                <w:sz w:val="22"/>
                <w:szCs w:val="22"/>
              </w:rPr>
              <w:t>Doktori TÉR jelentés (J/5. melléklet)</w:t>
            </w:r>
          </w:p>
        </w:tc>
      </w:tr>
      <w:tr w:rsidR="00FD0545" w:rsidRPr="00C376DE" w14:paraId="0064E47A" w14:textId="77777777" w:rsidTr="00026782">
        <w:tc>
          <w:tcPr>
            <w:tcW w:w="1980" w:type="dxa"/>
            <w:shd w:val="clear" w:color="auto" w:fill="F2F2F2"/>
          </w:tcPr>
          <w:p w14:paraId="303C91F0"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EB77DE1" w14:textId="77777777" w:rsidR="00FD0545" w:rsidRPr="00C376DE" w:rsidRDefault="00FD0545" w:rsidP="00026782">
            <w:pPr>
              <w:rPr>
                <w:rFonts w:eastAsia="Calibri"/>
                <w:b/>
                <w:bCs/>
                <w:sz w:val="22"/>
                <w:szCs w:val="22"/>
              </w:rPr>
            </w:pPr>
            <w:r w:rsidRPr="00C376DE">
              <w:rPr>
                <w:rFonts w:eastAsia="Calibri"/>
                <w:b/>
                <w:bCs/>
                <w:sz w:val="22"/>
                <w:szCs w:val="22"/>
              </w:rPr>
              <w:t>Doktori Iskola vezetője</w:t>
            </w:r>
          </w:p>
        </w:tc>
      </w:tr>
    </w:tbl>
    <w:p w14:paraId="399DD797" w14:textId="77777777" w:rsidR="00FD0545" w:rsidRDefault="00FD0545" w:rsidP="00FD0545">
      <w:pPr>
        <w:ind w:left="1416"/>
        <w:rPr>
          <w:b/>
          <w:sz w:val="22"/>
        </w:rPr>
      </w:pPr>
      <w:r>
        <w:rPr>
          <w:b/>
          <w:sz w:val="22"/>
        </w:rPr>
        <w:t xml:space="preserve">5. </w:t>
      </w:r>
      <w:r w:rsidRPr="00CD78CA">
        <w:rPr>
          <w:b/>
          <w:sz w:val="22"/>
        </w:rPr>
        <w:t>Tudományos előmenetel (TEM TÉR)</w:t>
      </w:r>
    </w:p>
    <w:p w14:paraId="77648954" w14:textId="77777777" w:rsidR="00FD0545" w:rsidRPr="00CD78CA" w:rsidRDefault="00FD0545" w:rsidP="00FD0545">
      <w:pPr>
        <w:ind w:left="1416"/>
        <w:rPr>
          <w:b/>
          <w:sz w:val="22"/>
        </w:rPr>
      </w:pPr>
    </w:p>
    <w:p w14:paraId="66F5630F" w14:textId="77777777" w:rsidR="00FD0545" w:rsidRPr="00E13CE5" w:rsidRDefault="00FD0545" w:rsidP="00FD0545">
      <w:pPr>
        <w:rPr>
          <w:rFonts w:eastAsia="Calibri"/>
          <w:sz w:val="22"/>
          <w:szCs w:val="22"/>
        </w:rPr>
      </w:pPr>
      <w:r w:rsidRPr="00E13CE5">
        <w:rPr>
          <w:rFonts w:eastAsia="Calibri"/>
          <w:sz w:val="22"/>
          <w:szCs w:val="22"/>
        </w:rPr>
        <w:t>A tudományos előmenetel az egyéni fejlődésen túl a Kar alapvető érdeke is, így ezt a teljesítményt az alábbiak szerinti ismeri el TÉR rendszerében:</w:t>
      </w:r>
    </w:p>
    <w:tbl>
      <w:tblPr>
        <w:tblW w:w="60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065"/>
        <w:gridCol w:w="2020"/>
      </w:tblGrid>
      <w:tr w:rsidR="00FD0545" w:rsidRPr="00CD78CA" w14:paraId="72C4E3F4" w14:textId="77777777" w:rsidTr="00026782">
        <w:trPr>
          <w:trHeight w:val="300"/>
          <w:jc w:val="center"/>
        </w:trPr>
        <w:tc>
          <w:tcPr>
            <w:tcW w:w="4065" w:type="dxa"/>
            <w:tcBorders>
              <w:top w:val="single" w:sz="4" w:space="0" w:color="FFFFFF"/>
              <w:left w:val="single" w:sz="4" w:space="0" w:color="FFFFFF"/>
              <w:right w:val="nil"/>
            </w:tcBorders>
            <w:shd w:val="clear" w:color="auto" w:fill="EDEDED"/>
          </w:tcPr>
          <w:p w14:paraId="6EE626EA" w14:textId="77777777" w:rsidR="00FD0545" w:rsidRPr="00CD78CA" w:rsidRDefault="00FD0545" w:rsidP="00026782">
            <w:pPr>
              <w:jc w:val="center"/>
              <w:rPr>
                <w:rFonts w:eastAsia="Calibri"/>
                <w:b/>
                <w:bCs/>
                <w:sz w:val="22"/>
                <w:szCs w:val="22"/>
              </w:rPr>
            </w:pPr>
            <w:r w:rsidRPr="00CD78CA">
              <w:rPr>
                <w:rFonts w:eastAsia="Calibri"/>
                <w:b/>
                <w:bCs/>
                <w:sz w:val="22"/>
                <w:szCs w:val="22"/>
              </w:rPr>
              <w:t>Elismert teljesítmény</w:t>
            </w:r>
          </w:p>
        </w:tc>
        <w:tc>
          <w:tcPr>
            <w:tcW w:w="2020" w:type="dxa"/>
            <w:tcBorders>
              <w:top w:val="single" w:sz="4" w:space="0" w:color="FFFFFF"/>
              <w:left w:val="nil"/>
              <w:right w:val="single" w:sz="4" w:space="0" w:color="FFFFFF"/>
            </w:tcBorders>
            <w:shd w:val="clear" w:color="auto" w:fill="EDEDED"/>
          </w:tcPr>
          <w:p w14:paraId="0E6FD180" w14:textId="77777777" w:rsidR="00FD0545" w:rsidRPr="00CD78CA" w:rsidRDefault="00FD0545" w:rsidP="00026782">
            <w:pPr>
              <w:jc w:val="center"/>
              <w:rPr>
                <w:rFonts w:eastAsia="Calibri"/>
                <w:b/>
                <w:bCs/>
                <w:sz w:val="22"/>
                <w:szCs w:val="22"/>
              </w:rPr>
            </w:pPr>
            <w:r w:rsidRPr="00CD78CA">
              <w:rPr>
                <w:rFonts w:eastAsia="Calibri"/>
                <w:b/>
                <w:bCs/>
                <w:sz w:val="22"/>
                <w:szCs w:val="22"/>
              </w:rPr>
              <w:t>TÉR Pont</w:t>
            </w:r>
          </w:p>
        </w:tc>
      </w:tr>
      <w:tr w:rsidR="00FD0545" w:rsidRPr="00C376DE" w14:paraId="41440F00" w14:textId="77777777" w:rsidTr="00026782">
        <w:trPr>
          <w:trHeight w:val="300"/>
          <w:jc w:val="center"/>
        </w:trPr>
        <w:tc>
          <w:tcPr>
            <w:tcW w:w="4065" w:type="dxa"/>
            <w:shd w:val="clear" w:color="auto" w:fill="EDEDED"/>
            <w:hideMark/>
          </w:tcPr>
          <w:p w14:paraId="0669FA49" w14:textId="77777777" w:rsidR="00FD0545" w:rsidRPr="00C376DE" w:rsidRDefault="00FD0545" w:rsidP="00026782">
            <w:pPr>
              <w:rPr>
                <w:rFonts w:eastAsia="Calibri"/>
                <w:color w:val="000000"/>
                <w:sz w:val="22"/>
                <w:szCs w:val="22"/>
              </w:rPr>
            </w:pPr>
            <w:r w:rsidRPr="00C376DE">
              <w:rPr>
                <w:rFonts w:eastAsia="Calibri"/>
                <w:color w:val="000000"/>
                <w:sz w:val="22"/>
                <w:szCs w:val="22"/>
              </w:rPr>
              <w:t>MTA rendes tagja cím elnyerése</w:t>
            </w:r>
          </w:p>
        </w:tc>
        <w:tc>
          <w:tcPr>
            <w:tcW w:w="2020" w:type="dxa"/>
            <w:shd w:val="clear" w:color="auto" w:fill="EDEDED"/>
            <w:hideMark/>
          </w:tcPr>
          <w:p w14:paraId="2AB372B3"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500 pont</w:t>
            </w:r>
          </w:p>
        </w:tc>
      </w:tr>
      <w:tr w:rsidR="00FD0545" w:rsidRPr="00C376DE" w14:paraId="350C38A6" w14:textId="77777777" w:rsidTr="00026782">
        <w:trPr>
          <w:trHeight w:val="300"/>
          <w:jc w:val="center"/>
        </w:trPr>
        <w:tc>
          <w:tcPr>
            <w:tcW w:w="4065" w:type="dxa"/>
            <w:shd w:val="clear" w:color="auto" w:fill="EDEDED"/>
            <w:hideMark/>
          </w:tcPr>
          <w:p w14:paraId="6B0041E6" w14:textId="77777777" w:rsidR="00FD0545" w:rsidRPr="00C376DE" w:rsidRDefault="00FD0545" w:rsidP="00026782">
            <w:pPr>
              <w:rPr>
                <w:rFonts w:eastAsia="Calibri"/>
                <w:color w:val="000000"/>
                <w:sz w:val="22"/>
                <w:szCs w:val="22"/>
              </w:rPr>
            </w:pPr>
            <w:r w:rsidRPr="00C376DE">
              <w:rPr>
                <w:rFonts w:eastAsia="Calibri"/>
                <w:color w:val="000000"/>
                <w:sz w:val="22"/>
                <w:szCs w:val="22"/>
              </w:rPr>
              <w:t>MTA levelező tagja cím elnyerése</w:t>
            </w:r>
          </w:p>
        </w:tc>
        <w:tc>
          <w:tcPr>
            <w:tcW w:w="2020" w:type="dxa"/>
            <w:shd w:val="clear" w:color="auto" w:fill="EDEDED"/>
            <w:hideMark/>
          </w:tcPr>
          <w:p w14:paraId="03ECF8AA"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300 pont</w:t>
            </w:r>
          </w:p>
        </w:tc>
      </w:tr>
      <w:tr w:rsidR="00FD0545" w:rsidRPr="00C376DE" w14:paraId="2BE0D3B5" w14:textId="77777777" w:rsidTr="00026782">
        <w:trPr>
          <w:trHeight w:val="300"/>
          <w:jc w:val="center"/>
        </w:trPr>
        <w:tc>
          <w:tcPr>
            <w:tcW w:w="4065" w:type="dxa"/>
            <w:shd w:val="clear" w:color="auto" w:fill="EDEDED"/>
            <w:hideMark/>
          </w:tcPr>
          <w:p w14:paraId="30E5F632" w14:textId="77777777" w:rsidR="00FD0545" w:rsidRPr="00C376DE" w:rsidRDefault="00FD0545" w:rsidP="00026782">
            <w:pPr>
              <w:rPr>
                <w:rFonts w:eastAsia="Calibri"/>
                <w:color w:val="000000"/>
                <w:sz w:val="22"/>
                <w:szCs w:val="22"/>
              </w:rPr>
            </w:pPr>
            <w:r w:rsidRPr="00C376DE">
              <w:rPr>
                <w:rFonts w:eastAsia="Calibri"/>
                <w:color w:val="000000"/>
                <w:sz w:val="22"/>
                <w:szCs w:val="22"/>
              </w:rPr>
              <w:t>MTA doktora cím elnyerése</w:t>
            </w:r>
          </w:p>
        </w:tc>
        <w:tc>
          <w:tcPr>
            <w:tcW w:w="2020" w:type="dxa"/>
            <w:shd w:val="clear" w:color="auto" w:fill="EDEDED"/>
            <w:hideMark/>
          </w:tcPr>
          <w:p w14:paraId="0122B75B"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200 pont</w:t>
            </w:r>
          </w:p>
        </w:tc>
      </w:tr>
      <w:tr w:rsidR="00FD0545" w:rsidRPr="00C376DE" w14:paraId="568DAD57" w14:textId="77777777" w:rsidTr="00026782">
        <w:trPr>
          <w:trHeight w:val="300"/>
          <w:jc w:val="center"/>
        </w:trPr>
        <w:tc>
          <w:tcPr>
            <w:tcW w:w="4065" w:type="dxa"/>
            <w:shd w:val="clear" w:color="auto" w:fill="EDEDED"/>
            <w:hideMark/>
          </w:tcPr>
          <w:p w14:paraId="6B26A2B1"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egyetemi tanári kinevezés </w:t>
            </w:r>
          </w:p>
        </w:tc>
        <w:tc>
          <w:tcPr>
            <w:tcW w:w="2020" w:type="dxa"/>
            <w:shd w:val="clear" w:color="auto" w:fill="EDEDED"/>
            <w:hideMark/>
          </w:tcPr>
          <w:p w14:paraId="443C40C5"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150 pont</w:t>
            </w:r>
          </w:p>
        </w:tc>
      </w:tr>
      <w:tr w:rsidR="00FD0545" w:rsidRPr="00C376DE" w14:paraId="53A4DE58" w14:textId="77777777" w:rsidTr="00026782">
        <w:trPr>
          <w:trHeight w:val="300"/>
          <w:jc w:val="center"/>
        </w:trPr>
        <w:tc>
          <w:tcPr>
            <w:tcW w:w="4065" w:type="dxa"/>
            <w:shd w:val="clear" w:color="auto" w:fill="EDEDED"/>
            <w:hideMark/>
          </w:tcPr>
          <w:p w14:paraId="143FD267" w14:textId="77777777" w:rsidR="00FD0545" w:rsidRPr="00C376DE" w:rsidRDefault="00FD0545" w:rsidP="00026782">
            <w:pPr>
              <w:rPr>
                <w:rFonts w:eastAsia="Calibri"/>
                <w:color w:val="000000"/>
                <w:sz w:val="22"/>
                <w:szCs w:val="22"/>
              </w:rPr>
            </w:pPr>
            <w:r w:rsidRPr="00C376DE">
              <w:rPr>
                <w:rFonts w:eastAsia="Calibri"/>
                <w:color w:val="000000"/>
                <w:sz w:val="22"/>
                <w:szCs w:val="22"/>
              </w:rPr>
              <w:t>Habilitáció megszerzése (oklevél kiszolgáltatásának értékelési időszakában vehető figyelembe)</w:t>
            </w:r>
          </w:p>
        </w:tc>
        <w:tc>
          <w:tcPr>
            <w:tcW w:w="2020" w:type="dxa"/>
            <w:shd w:val="clear" w:color="auto" w:fill="EDEDED"/>
            <w:hideMark/>
          </w:tcPr>
          <w:p w14:paraId="6F776D31"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100 pont</w:t>
            </w:r>
          </w:p>
        </w:tc>
      </w:tr>
      <w:tr w:rsidR="00FD0545" w:rsidRPr="00C376DE" w14:paraId="2BD48A10" w14:textId="77777777" w:rsidTr="00026782">
        <w:trPr>
          <w:trHeight w:val="300"/>
          <w:jc w:val="center"/>
        </w:trPr>
        <w:tc>
          <w:tcPr>
            <w:tcW w:w="4065" w:type="dxa"/>
            <w:shd w:val="clear" w:color="auto" w:fill="EDEDED"/>
            <w:hideMark/>
          </w:tcPr>
          <w:p w14:paraId="76F2C562" w14:textId="77777777" w:rsidR="00FD0545" w:rsidRPr="00C376DE" w:rsidRDefault="00FD0545" w:rsidP="00026782">
            <w:pPr>
              <w:rPr>
                <w:rFonts w:eastAsia="Calibri"/>
                <w:color w:val="000000"/>
                <w:sz w:val="22"/>
                <w:szCs w:val="22"/>
              </w:rPr>
            </w:pPr>
            <w:r w:rsidRPr="00C376DE">
              <w:rPr>
                <w:rFonts w:eastAsia="Calibri"/>
                <w:color w:val="000000"/>
                <w:sz w:val="22"/>
                <w:szCs w:val="22"/>
              </w:rPr>
              <w:t>PhD fokozat megszerzése (oklevél kiszolgáltatásának értékelési időszakában vehető figyelembe)</w:t>
            </w:r>
          </w:p>
        </w:tc>
        <w:tc>
          <w:tcPr>
            <w:tcW w:w="2020" w:type="dxa"/>
            <w:shd w:val="clear" w:color="auto" w:fill="EDEDED"/>
            <w:hideMark/>
          </w:tcPr>
          <w:p w14:paraId="5A8B44A0"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w:t>
            </w:r>
          </w:p>
        </w:tc>
      </w:tr>
    </w:tbl>
    <w:p w14:paraId="13C15CC9"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pPr w:leftFromText="141" w:rightFromText="141" w:vertAnchor="text" w:horzAnchor="margin" w:tblpY="-15"/>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7833EAF" w14:textId="77777777" w:rsidTr="00026782">
        <w:tc>
          <w:tcPr>
            <w:tcW w:w="1980" w:type="dxa"/>
            <w:shd w:val="clear" w:color="auto" w:fill="F2F2F2"/>
          </w:tcPr>
          <w:p w14:paraId="7C113DBE"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C7AA11A" w14:textId="77777777" w:rsidR="00FD0545" w:rsidRPr="00C376DE" w:rsidRDefault="00FD0545" w:rsidP="00026782">
            <w:pPr>
              <w:rPr>
                <w:rFonts w:eastAsia="Calibri"/>
                <w:b/>
                <w:bCs/>
                <w:sz w:val="22"/>
                <w:szCs w:val="22"/>
              </w:rPr>
            </w:pPr>
            <w:r w:rsidRPr="00C376DE">
              <w:rPr>
                <w:rFonts w:eastAsia="Calibri"/>
                <w:b/>
                <w:bCs/>
                <w:sz w:val="22"/>
                <w:szCs w:val="22"/>
              </w:rPr>
              <w:t xml:space="preserve">Oklevél megküldése/feltöltése az online értékelő rendszerbe </w:t>
            </w:r>
          </w:p>
        </w:tc>
      </w:tr>
      <w:tr w:rsidR="00FD0545" w:rsidRPr="00C376DE" w14:paraId="488B7784" w14:textId="77777777" w:rsidTr="00026782">
        <w:tc>
          <w:tcPr>
            <w:tcW w:w="1980" w:type="dxa"/>
            <w:shd w:val="clear" w:color="auto" w:fill="F2F2F2"/>
          </w:tcPr>
          <w:p w14:paraId="11088A0E"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FA503B2" w14:textId="77777777" w:rsidR="00FD0545" w:rsidRPr="00C376DE" w:rsidRDefault="00FD0545" w:rsidP="00026782">
            <w:pPr>
              <w:rPr>
                <w:rFonts w:eastAsia="Calibri"/>
                <w:b/>
                <w:bCs/>
                <w:sz w:val="22"/>
                <w:szCs w:val="22"/>
              </w:rPr>
            </w:pPr>
            <w:r w:rsidRPr="00C376DE">
              <w:rPr>
                <w:rFonts w:eastAsia="Calibri"/>
                <w:b/>
                <w:bCs/>
                <w:sz w:val="22"/>
                <w:szCs w:val="22"/>
              </w:rPr>
              <w:t>Értékelt önbevallása (É/1. melléklet)</w:t>
            </w:r>
          </w:p>
        </w:tc>
      </w:tr>
      <w:tr w:rsidR="00FD0545" w:rsidRPr="00C376DE" w14:paraId="29244052" w14:textId="77777777" w:rsidTr="00026782">
        <w:tc>
          <w:tcPr>
            <w:tcW w:w="1980" w:type="dxa"/>
            <w:shd w:val="clear" w:color="auto" w:fill="F2F2F2"/>
          </w:tcPr>
          <w:p w14:paraId="2974D11B"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186BD99" w14:textId="77777777" w:rsidR="00FD0545" w:rsidRPr="00C376DE" w:rsidRDefault="00FD0545" w:rsidP="00026782">
            <w:pPr>
              <w:rPr>
                <w:rFonts w:eastAsia="Calibri"/>
                <w:b/>
                <w:bCs/>
                <w:sz w:val="22"/>
                <w:szCs w:val="22"/>
              </w:rPr>
            </w:pPr>
            <w:r w:rsidRPr="00C376DE">
              <w:rPr>
                <w:rFonts w:eastAsia="Calibri"/>
                <w:b/>
                <w:bCs/>
                <w:sz w:val="22"/>
                <w:szCs w:val="22"/>
              </w:rPr>
              <w:t>Értékelt</w:t>
            </w:r>
          </w:p>
        </w:tc>
      </w:tr>
    </w:tbl>
    <w:p w14:paraId="6EC443EF" w14:textId="77777777" w:rsidR="00FD0545" w:rsidRDefault="00FD0545" w:rsidP="00FD0545">
      <w:pPr>
        <w:ind w:left="1416"/>
        <w:rPr>
          <w:b/>
          <w:sz w:val="22"/>
        </w:rPr>
      </w:pPr>
    </w:p>
    <w:p w14:paraId="7A6F0B5D" w14:textId="77777777" w:rsidR="00FD0545" w:rsidRPr="00CD78CA" w:rsidRDefault="00FD0545" w:rsidP="00FD0545">
      <w:pPr>
        <w:ind w:left="1416"/>
        <w:rPr>
          <w:b/>
          <w:sz w:val="22"/>
        </w:rPr>
      </w:pPr>
      <w:r>
        <w:rPr>
          <w:b/>
          <w:sz w:val="22"/>
        </w:rPr>
        <w:t xml:space="preserve">6. </w:t>
      </w:r>
      <w:r w:rsidRPr="00CD78CA">
        <w:rPr>
          <w:b/>
          <w:sz w:val="22"/>
        </w:rPr>
        <w:t>Kiválósági mutatók (KIV TÉR)</w:t>
      </w:r>
    </w:p>
    <w:p w14:paraId="1113E7CC" w14:textId="77777777" w:rsidR="00FD0545" w:rsidRDefault="00FD0545" w:rsidP="00FD0545">
      <w:pPr>
        <w:rPr>
          <w:rFonts w:eastAsia="Calibri"/>
          <w:sz w:val="22"/>
          <w:szCs w:val="22"/>
        </w:rPr>
      </w:pPr>
    </w:p>
    <w:p w14:paraId="43B03E13" w14:textId="77777777" w:rsidR="00FD0545" w:rsidRPr="00E13CE5" w:rsidRDefault="00FD0545" w:rsidP="00FD0545">
      <w:pPr>
        <w:rPr>
          <w:rFonts w:eastAsia="Calibri"/>
          <w:sz w:val="22"/>
          <w:szCs w:val="22"/>
        </w:rPr>
      </w:pPr>
      <w:r w:rsidRPr="00E13CE5">
        <w:rPr>
          <w:rFonts w:eastAsia="Calibri"/>
          <w:sz w:val="22"/>
          <w:szCs w:val="22"/>
        </w:rPr>
        <w:t>A nemzetközi kutatócsoportban végzett munka, továbbá a sikeres kutatási pályázatoknak köszönhető forrásteremtő képesség növeli a Kar presztízsét, így e tevékenységeket az alábbiak szerint ismeri el a TÉR rendszerben:</w:t>
      </w:r>
    </w:p>
    <w:tbl>
      <w:tblPr>
        <w:tblW w:w="60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065"/>
        <w:gridCol w:w="2020"/>
      </w:tblGrid>
      <w:tr w:rsidR="00FD0545" w:rsidRPr="00CD78CA" w14:paraId="33DDC307" w14:textId="77777777" w:rsidTr="00026782">
        <w:trPr>
          <w:trHeight w:val="300"/>
          <w:tblHeader/>
          <w:jc w:val="center"/>
        </w:trPr>
        <w:tc>
          <w:tcPr>
            <w:tcW w:w="4065" w:type="dxa"/>
            <w:tcBorders>
              <w:top w:val="single" w:sz="4" w:space="0" w:color="FFFFFF"/>
              <w:left w:val="single" w:sz="4" w:space="0" w:color="FFFFFF"/>
              <w:right w:val="nil"/>
            </w:tcBorders>
            <w:shd w:val="clear" w:color="auto" w:fill="EDEDED"/>
          </w:tcPr>
          <w:p w14:paraId="5B4A24E2" w14:textId="77777777" w:rsidR="00FD0545" w:rsidRPr="00CD78CA" w:rsidRDefault="00FD0545" w:rsidP="00026782">
            <w:pPr>
              <w:jc w:val="center"/>
              <w:rPr>
                <w:rFonts w:eastAsia="Calibri"/>
                <w:b/>
                <w:bCs/>
                <w:sz w:val="22"/>
                <w:szCs w:val="22"/>
              </w:rPr>
            </w:pPr>
            <w:r w:rsidRPr="00CD78CA">
              <w:rPr>
                <w:rFonts w:eastAsia="Calibri"/>
                <w:b/>
                <w:bCs/>
                <w:sz w:val="22"/>
                <w:szCs w:val="22"/>
              </w:rPr>
              <w:lastRenderedPageBreak/>
              <w:t>Elismert teljesítmény</w:t>
            </w:r>
          </w:p>
        </w:tc>
        <w:tc>
          <w:tcPr>
            <w:tcW w:w="2020" w:type="dxa"/>
            <w:tcBorders>
              <w:top w:val="single" w:sz="4" w:space="0" w:color="FFFFFF"/>
              <w:left w:val="nil"/>
              <w:right w:val="single" w:sz="4" w:space="0" w:color="FFFFFF"/>
            </w:tcBorders>
            <w:shd w:val="clear" w:color="auto" w:fill="EDEDED"/>
          </w:tcPr>
          <w:p w14:paraId="4675E4F7" w14:textId="77777777" w:rsidR="00FD0545" w:rsidRPr="00CD78CA" w:rsidRDefault="00FD0545" w:rsidP="00026782">
            <w:pPr>
              <w:jc w:val="center"/>
              <w:rPr>
                <w:rFonts w:eastAsia="Calibri"/>
                <w:b/>
                <w:bCs/>
                <w:sz w:val="22"/>
                <w:szCs w:val="22"/>
              </w:rPr>
            </w:pPr>
            <w:r w:rsidRPr="00CD78CA">
              <w:rPr>
                <w:rFonts w:eastAsia="Calibri"/>
                <w:b/>
                <w:bCs/>
                <w:sz w:val="22"/>
                <w:szCs w:val="22"/>
              </w:rPr>
              <w:t>TÉR Pont</w:t>
            </w:r>
          </w:p>
        </w:tc>
      </w:tr>
      <w:tr w:rsidR="00FD0545" w:rsidRPr="00C376DE" w14:paraId="4006C2B2" w14:textId="77777777" w:rsidTr="00026782">
        <w:trPr>
          <w:trHeight w:val="300"/>
          <w:jc w:val="center"/>
        </w:trPr>
        <w:tc>
          <w:tcPr>
            <w:tcW w:w="4065" w:type="dxa"/>
            <w:shd w:val="clear" w:color="auto" w:fill="EDEDED"/>
          </w:tcPr>
          <w:p w14:paraId="5D8FC194" w14:textId="77777777" w:rsidR="00FD0545" w:rsidRPr="00C376DE" w:rsidRDefault="00FD0545" w:rsidP="00026782">
            <w:pPr>
              <w:rPr>
                <w:rFonts w:eastAsia="Calibri"/>
                <w:color w:val="000000"/>
                <w:sz w:val="22"/>
                <w:szCs w:val="22"/>
              </w:rPr>
            </w:pPr>
            <w:r w:rsidRPr="00C376DE">
              <w:rPr>
                <w:rFonts w:eastAsia="Calibri"/>
                <w:color w:val="000000"/>
                <w:sz w:val="22"/>
                <w:szCs w:val="22"/>
              </w:rPr>
              <w:t>Nemzetközi együttműködés keretében létrehozott kutatócsoport vezetője</w:t>
            </w:r>
          </w:p>
        </w:tc>
        <w:tc>
          <w:tcPr>
            <w:tcW w:w="2020" w:type="dxa"/>
            <w:shd w:val="clear" w:color="auto" w:fill="EDEDED"/>
          </w:tcPr>
          <w:p w14:paraId="6F02230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60 pont</w:t>
            </w:r>
          </w:p>
        </w:tc>
      </w:tr>
      <w:tr w:rsidR="00FD0545" w:rsidRPr="00C376DE" w14:paraId="69C34D61" w14:textId="77777777" w:rsidTr="00026782">
        <w:trPr>
          <w:trHeight w:val="300"/>
          <w:jc w:val="center"/>
        </w:trPr>
        <w:tc>
          <w:tcPr>
            <w:tcW w:w="4065" w:type="dxa"/>
            <w:shd w:val="clear" w:color="auto" w:fill="EDEDED"/>
          </w:tcPr>
          <w:p w14:paraId="5E6809F1"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Nemzetközi együttműködés keretében létrehozott kutatócsoport </w:t>
            </w:r>
            <w:proofErr w:type="spellStart"/>
            <w:r w:rsidRPr="00C376DE">
              <w:rPr>
                <w:rFonts w:eastAsia="Calibri"/>
                <w:color w:val="000000"/>
                <w:sz w:val="22"/>
                <w:szCs w:val="22"/>
              </w:rPr>
              <w:t>senior</w:t>
            </w:r>
            <w:proofErr w:type="spellEnd"/>
            <w:r w:rsidRPr="00C376DE">
              <w:rPr>
                <w:rFonts w:eastAsia="Calibri"/>
                <w:color w:val="000000"/>
                <w:sz w:val="22"/>
                <w:szCs w:val="22"/>
              </w:rPr>
              <w:t xml:space="preserve"> tagja</w:t>
            </w:r>
          </w:p>
        </w:tc>
        <w:tc>
          <w:tcPr>
            <w:tcW w:w="2020" w:type="dxa"/>
            <w:shd w:val="clear" w:color="auto" w:fill="EDEDED"/>
          </w:tcPr>
          <w:p w14:paraId="5852563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30 pont</w:t>
            </w:r>
          </w:p>
        </w:tc>
      </w:tr>
      <w:tr w:rsidR="00FD0545" w:rsidRPr="00C376DE" w14:paraId="5F0616A4" w14:textId="77777777" w:rsidTr="00026782">
        <w:trPr>
          <w:trHeight w:val="300"/>
          <w:jc w:val="center"/>
        </w:trPr>
        <w:tc>
          <w:tcPr>
            <w:tcW w:w="4065" w:type="dxa"/>
            <w:shd w:val="clear" w:color="auto" w:fill="EDEDED"/>
          </w:tcPr>
          <w:p w14:paraId="047C7FAC" w14:textId="77777777" w:rsidR="00FD0545" w:rsidRPr="00C376DE" w:rsidRDefault="00FD0545" w:rsidP="00026782">
            <w:pPr>
              <w:rPr>
                <w:rFonts w:eastAsia="Calibri"/>
                <w:color w:val="000000"/>
                <w:sz w:val="22"/>
                <w:szCs w:val="22"/>
              </w:rPr>
            </w:pPr>
            <w:r w:rsidRPr="00C376DE">
              <w:rPr>
                <w:rFonts w:eastAsia="Calibri"/>
                <w:color w:val="000000"/>
                <w:sz w:val="22"/>
                <w:szCs w:val="22"/>
              </w:rPr>
              <w:t>Nemzetközi együttműködés keretében létrehozott kutatócsoport junior tagja</w:t>
            </w:r>
          </w:p>
        </w:tc>
        <w:tc>
          <w:tcPr>
            <w:tcW w:w="2020" w:type="dxa"/>
            <w:shd w:val="clear" w:color="auto" w:fill="EDEDED"/>
          </w:tcPr>
          <w:p w14:paraId="373A9F82"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w:t>
            </w:r>
          </w:p>
        </w:tc>
      </w:tr>
      <w:tr w:rsidR="00FD0545" w:rsidRPr="00C376DE" w14:paraId="57720814" w14:textId="77777777" w:rsidTr="00026782">
        <w:trPr>
          <w:trHeight w:val="300"/>
          <w:jc w:val="center"/>
        </w:trPr>
        <w:tc>
          <w:tcPr>
            <w:tcW w:w="4065" w:type="dxa"/>
            <w:shd w:val="clear" w:color="auto" w:fill="EDEDED"/>
          </w:tcPr>
          <w:p w14:paraId="079F784F" w14:textId="77777777" w:rsidR="00FD0545" w:rsidRPr="00C376DE" w:rsidRDefault="00FD0545" w:rsidP="00026782">
            <w:pPr>
              <w:rPr>
                <w:rFonts w:eastAsia="Calibri"/>
                <w:color w:val="000000"/>
                <w:sz w:val="22"/>
                <w:szCs w:val="22"/>
              </w:rPr>
            </w:pPr>
            <w:r w:rsidRPr="00C376DE">
              <w:rPr>
                <w:rFonts w:eastAsia="Calibri"/>
                <w:color w:val="000000"/>
                <w:sz w:val="22"/>
                <w:szCs w:val="22"/>
              </w:rPr>
              <w:t>Hazai projekt keretében létrehozott/ támogatott kutatócsoport vezetője</w:t>
            </w:r>
          </w:p>
        </w:tc>
        <w:tc>
          <w:tcPr>
            <w:tcW w:w="2020" w:type="dxa"/>
            <w:shd w:val="clear" w:color="auto" w:fill="EDEDED"/>
          </w:tcPr>
          <w:p w14:paraId="0BD7234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40 pont</w:t>
            </w:r>
          </w:p>
        </w:tc>
      </w:tr>
      <w:tr w:rsidR="00FD0545" w:rsidRPr="00C376DE" w14:paraId="5143EEF8" w14:textId="77777777" w:rsidTr="00026782">
        <w:trPr>
          <w:trHeight w:val="300"/>
          <w:jc w:val="center"/>
        </w:trPr>
        <w:tc>
          <w:tcPr>
            <w:tcW w:w="4065" w:type="dxa"/>
            <w:shd w:val="clear" w:color="auto" w:fill="EDEDED"/>
          </w:tcPr>
          <w:p w14:paraId="4CACCF91"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Hazai projekt kutatócsoport </w:t>
            </w:r>
            <w:proofErr w:type="spellStart"/>
            <w:r w:rsidRPr="00C376DE">
              <w:rPr>
                <w:rFonts w:eastAsia="Calibri"/>
                <w:color w:val="000000"/>
                <w:sz w:val="22"/>
                <w:szCs w:val="22"/>
              </w:rPr>
              <w:t>senior</w:t>
            </w:r>
            <w:proofErr w:type="spellEnd"/>
            <w:r w:rsidRPr="00C376DE">
              <w:rPr>
                <w:rFonts w:eastAsia="Calibri"/>
                <w:color w:val="000000"/>
                <w:sz w:val="22"/>
                <w:szCs w:val="22"/>
              </w:rPr>
              <w:t xml:space="preserve"> tagja</w:t>
            </w:r>
          </w:p>
        </w:tc>
        <w:tc>
          <w:tcPr>
            <w:tcW w:w="2020" w:type="dxa"/>
            <w:shd w:val="clear" w:color="auto" w:fill="EDEDED"/>
          </w:tcPr>
          <w:p w14:paraId="1CA3C186"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w:t>
            </w:r>
          </w:p>
        </w:tc>
      </w:tr>
      <w:tr w:rsidR="00FD0545" w:rsidRPr="00C376DE" w14:paraId="678CFFF1" w14:textId="77777777" w:rsidTr="00026782">
        <w:trPr>
          <w:trHeight w:val="300"/>
          <w:jc w:val="center"/>
        </w:trPr>
        <w:tc>
          <w:tcPr>
            <w:tcW w:w="4065" w:type="dxa"/>
            <w:shd w:val="clear" w:color="auto" w:fill="EDEDED"/>
          </w:tcPr>
          <w:p w14:paraId="36339043" w14:textId="77777777" w:rsidR="00FD0545" w:rsidRPr="00C376DE" w:rsidRDefault="00FD0545" w:rsidP="00026782">
            <w:pPr>
              <w:rPr>
                <w:rFonts w:eastAsia="Calibri"/>
                <w:color w:val="000000"/>
                <w:sz w:val="22"/>
                <w:szCs w:val="22"/>
              </w:rPr>
            </w:pPr>
            <w:r w:rsidRPr="00C376DE">
              <w:rPr>
                <w:rFonts w:eastAsia="Calibri"/>
                <w:color w:val="000000"/>
                <w:sz w:val="22"/>
                <w:szCs w:val="22"/>
              </w:rPr>
              <w:t>Hazai projekt kutatócsoport junior tagja</w:t>
            </w:r>
          </w:p>
        </w:tc>
        <w:tc>
          <w:tcPr>
            <w:tcW w:w="2020" w:type="dxa"/>
            <w:shd w:val="clear" w:color="auto" w:fill="EDEDED"/>
          </w:tcPr>
          <w:p w14:paraId="733230F4"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 pont</w:t>
            </w:r>
          </w:p>
        </w:tc>
      </w:tr>
      <w:tr w:rsidR="00FD0545" w:rsidRPr="00C376DE" w14:paraId="1D51A747" w14:textId="77777777" w:rsidTr="00026782">
        <w:trPr>
          <w:trHeight w:val="300"/>
          <w:jc w:val="center"/>
        </w:trPr>
        <w:tc>
          <w:tcPr>
            <w:tcW w:w="4065" w:type="dxa"/>
            <w:shd w:val="clear" w:color="auto" w:fill="EDEDED"/>
          </w:tcPr>
          <w:p w14:paraId="2743B1C5" w14:textId="77777777" w:rsidR="00FD0545" w:rsidRPr="00C376DE" w:rsidRDefault="00FD0545" w:rsidP="00026782">
            <w:pPr>
              <w:rPr>
                <w:rFonts w:eastAsia="Calibri"/>
                <w:color w:val="000000"/>
                <w:sz w:val="22"/>
                <w:szCs w:val="22"/>
              </w:rPr>
            </w:pPr>
            <w:r w:rsidRPr="00C376DE">
              <w:rPr>
                <w:rFonts w:eastAsia="Calibri"/>
                <w:color w:val="000000"/>
                <w:sz w:val="22"/>
                <w:szCs w:val="22"/>
              </w:rPr>
              <w:t>MTA kutatócsoport vezetője</w:t>
            </w:r>
          </w:p>
        </w:tc>
        <w:tc>
          <w:tcPr>
            <w:tcW w:w="2020" w:type="dxa"/>
            <w:shd w:val="clear" w:color="auto" w:fill="EDEDED"/>
          </w:tcPr>
          <w:p w14:paraId="6B0797A6"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w:t>
            </w:r>
          </w:p>
        </w:tc>
      </w:tr>
      <w:tr w:rsidR="00FD0545" w:rsidRPr="00C376DE" w14:paraId="5B334848" w14:textId="77777777" w:rsidTr="00026782">
        <w:trPr>
          <w:trHeight w:val="300"/>
          <w:jc w:val="center"/>
        </w:trPr>
        <w:tc>
          <w:tcPr>
            <w:tcW w:w="4065" w:type="dxa"/>
            <w:shd w:val="clear" w:color="auto" w:fill="EDEDED"/>
          </w:tcPr>
          <w:p w14:paraId="608B1EE4"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MTA kutatócsoport </w:t>
            </w:r>
            <w:proofErr w:type="spellStart"/>
            <w:r w:rsidRPr="00C376DE">
              <w:rPr>
                <w:rFonts w:eastAsia="Calibri"/>
                <w:color w:val="000000"/>
                <w:sz w:val="22"/>
                <w:szCs w:val="22"/>
              </w:rPr>
              <w:t>senior</w:t>
            </w:r>
            <w:proofErr w:type="spellEnd"/>
            <w:r w:rsidRPr="00C376DE">
              <w:rPr>
                <w:rFonts w:eastAsia="Calibri"/>
                <w:color w:val="000000"/>
                <w:sz w:val="22"/>
                <w:szCs w:val="22"/>
              </w:rPr>
              <w:t xml:space="preserve"> tagja</w:t>
            </w:r>
          </w:p>
        </w:tc>
        <w:tc>
          <w:tcPr>
            <w:tcW w:w="2020" w:type="dxa"/>
            <w:shd w:val="clear" w:color="auto" w:fill="EDEDED"/>
          </w:tcPr>
          <w:p w14:paraId="542CF156"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25 pont</w:t>
            </w:r>
          </w:p>
        </w:tc>
      </w:tr>
      <w:tr w:rsidR="00FD0545" w:rsidRPr="00C376DE" w14:paraId="6C359124" w14:textId="77777777" w:rsidTr="00026782">
        <w:trPr>
          <w:trHeight w:val="300"/>
          <w:jc w:val="center"/>
        </w:trPr>
        <w:tc>
          <w:tcPr>
            <w:tcW w:w="4065" w:type="dxa"/>
            <w:shd w:val="clear" w:color="auto" w:fill="EDEDED"/>
          </w:tcPr>
          <w:p w14:paraId="5968DC67" w14:textId="77777777" w:rsidR="00FD0545" w:rsidRPr="00C376DE" w:rsidRDefault="00FD0545" w:rsidP="00026782">
            <w:pPr>
              <w:rPr>
                <w:rFonts w:eastAsia="Calibri"/>
                <w:color w:val="000000"/>
                <w:sz w:val="22"/>
                <w:szCs w:val="22"/>
              </w:rPr>
            </w:pPr>
            <w:r w:rsidRPr="00C376DE">
              <w:rPr>
                <w:rFonts w:eastAsia="Calibri"/>
                <w:color w:val="000000"/>
                <w:sz w:val="22"/>
                <w:szCs w:val="22"/>
              </w:rPr>
              <w:t>MTA kutatócsoport junior tagja</w:t>
            </w:r>
          </w:p>
        </w:tc>
        <w:tc>
          <w:tcPr>
            <w:tcW w:w="2020" w:type="dxa"/>
            <w:shd w:val="clear" w:color="auto" w:fill="EDEDED"/>
          </w:tcPr>
          <w:p w14:paraId="26DC4AF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15 pont</w:t>
            </w:r>
          </w:p>
        </w:tc>
      </w:tr>
      <w:tr w:rsidR="00FD0545" w:rsidRPr="00C376DE" w14:paraId="6F003075" w14:textId="77777777" w:rsidTr="00026782">
        <w:trPr>
          <w:trHeight w:val="300"/>
          <w:jc w:val="center"/>
        </w:trPr>
        <w:tc>
          <w:tcPr>
            <w:tcW w:w="4065" w:type="dxa"/>
            <w:shd w:val="clear" w:color="auto" w:fill="EDEDED"/>
          </w:tcPr>
          <w:p w14:paraId="5E0E0BFC" w14:textId="77777777" w:rsidR="00FD0545" w:rsidRPr="00C376DE" w:rsidRDefault="00FD0545" w:rsidP="00026782">
            <w:pPr>
              <w:rPr>
                <w:rFonts w:eastAsia="Calibri"/>
                <w:color w:val="000000"/>
                <w:sz w:val="22"/>
                <w:szCs w:val="22"/>
              </w:rPr>
            </w:pPr>
            <w:r w:rsidRPr="00C376DE">
              <w:rPr>
                <w:rFonts w:eastAsia="Calibri"/>
                <w:color w:val="000000"/>
                <w:sz w:val="22"/>
                <w:szCs w:val="22"/>
              </w:rPr>
              <w:t>Lendület kutatócsoport vezetője</w:t>
            </w:r>
          </w:p>
        </w:tc>
        <w:tc>
          <w:tcPr>
            <w:tcW w:w="2020" w:type="dxa"/>
            <w:shd w:val="clear" w:color="auto" w:fill="EDEDED"/>
          </w:tcPr>
          <w:p w14:paraId="5BEEB0C4"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w:t>
            </w:r>
          </w:p>
        </w:tc>
      </w:tr>
      <w:tr w:rsidR="00FD0545" w:rsidRPr="00C376DE" w14:paraId="3FD584D6" w14:textId="77777777" w:rsidTr="00026782">
        <w:trPr>
          <w:trHeight w:val="300"/>
          <w:jc w:val="center"/>
        </w:trPr>
        <w:tc>
          <w:tcPr>
            <w:tcW w:w="4065" w:type="dxa"/>
            <w:shd w:val="clear" w:color="auto" w:fill="EDEDED"/>
          </w:tcPr>
          <w:p w14:paraId="754FEFDD"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Lendület kutatócsoport </w:t>
            </w:r>
            <w:proofErr w:type="spellStart"/>
            <w:r w:rsidRPr="00C376DE">
              <w:rPr>
                <w:rFonts w:eastAsia="Calibri"/>
                <w:color w:val="000000"/>
                <w:sz w:val="22"/>
                <w:szCs w:val="22"/>
              </w:rPr>
              <w:t>senior</w:t>
            </w:r>
            <w:proofErr w:type="spellEnd"/>
            <w:r w:rsidRPr="00C376DE">
              <w:rPr>
                <w:rFonts w:eastAsia="Calibri"/>
                <w:color w:val="000000"/>
                <w:sz w:val="22"/>
                <w:szCs w:val="22"/>
              </w:rPr>
              <w:t xml:space="preserve"> tagja</w:t>
            </w:r>
          </w:p>
        </w:tc>
        <w:tc>
          <w:tcPr>
            <w:tcW w:w="2020" w:type="dxa"/>
            <w:shd w:val="clear" w:color="auto" w:fill="EDEDED"/>
          </w:tcPr>
          <w:p w14:paraId="16B1D8C4"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25 pont</w:t>
            </w:r>
          </w:p>
        </w:tc>
      </w:tr>
      <w:tr w:rsidR="00FD0545" w:rsidRPr="00C376DE" w14:paraId="5DDA7142" w14:textId="77777777" w:rsidTr="00026782">
        <w:trPr>
          <w:trHeight w:val="300"/>
          <w:jc w:val="center"/>
        </w:trPr>
        <w:tc>
          <w:tcPr>
            <w:tcW w:w="4065" w:type="dxa"/>
            <w:shd w:val="clear" w:color="auto" w:fill="EDEDED"/>
          </w:tcPr>
          <w:p w14:paraId="7D55D0F7" w14:textId="77777777" w:rsidR="00FD0545" w:rsidRPr="00C376DE" w:rsidRDefault="00FD0545" w:rsidP="00026782">
            <w:pPr>
              <w:rPr>
                <w:rFonts w:eastAsia="Calibri"/>
                <w:color w:val="000000"/>
                <w:sz w:val="22"/>
                <w:szCs w:val="22"/>
              </w:rPr>
            </w:pPr>
            <w:r w:rsidRPr="00C376DE">
              <w:rPr>
                <w:rFonts w:eastAsia="Calibri"/>
                <w:color w:val="000000"/>
                <w:sz w:val="22"/>
                <w:szCs w:val="22"/>
              </w:rPr>
              <w:t>Lendület kutatócsoport junior tagja</w:t>
            </w:r>
          </w:p>
        </w:tc>
        <w:tc>
          <w:tcPr>
            <w:tcW w:w="2020" w:type="dxa"/>
            <w:shd w:val="clear" w:color="auto" w:fill="EDEDED"/>
          </w:tcPr>
          <w:p w14:paraId="603EA205"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15 pont</w:t>
            </w:r>
          </w:p>
        </w:tc>
      </w:tr>
      <w:tr w:rsidR="00FD0545" w:rsidRPr="00C376DE" w14:paraId="1FBAB765" w14:textId="77777777" w:rsidTr="00026782">
        <w:trPr>
          <w:trHeight w:val="300"/>
          <w:jc w:val="center"/>
        </w:trPr>
        <w:tc>
          <w:tcPr>
            <w:tcW w:w="4065" w:type="dxa"/>
            <w:shd w:val="clear" w:color="auto" w:fill="EDEDED"/>
          </w:tcPr>
          <w:p w14:paraId="2037C9D8" w14:textId="77777777" w:rsidR="00FD0545" w:rsidRPr="00C376DE" w:rsidRDefault="00FD0545" w:rsidP="00026782">
            <w:pPr>
              <w:rPr>
                <w:rFonts w:eastAsia="Calibri"/>
                <w:color w:val="000000"/>
                <w:sz w:val="22"/>
                <w:szCs w:val="22"/>
              </w:rPr>
            </w:pPr>
            <w:r w:rsidRPr="00C376DE">
              <w:rPr>
                <w:rFonts w:eastAsia="Calibri"/>
                <w:color w:val="000000"/>
                <w:sz w:val="22"/>
                <w:szCs w:val="22"/>
              </w:rPr>
              <w:t>OTKA kutatás vezetője</w:t>
            </w:r>
          </w:p>
        </w:tc>
        <w:tc>
          <w:tcPr>
            <w:tcW w:w="2020" w:type="dxa"/>
            <w:shd w:val="clear" w:color="auto" w:fill="EDEDED"/>
          </w:tcPr>
          <w:p w14:paraId="17472748"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w:t>
            </w:r>
          </w:p>
        </w:tc>
      </w:tr>
      <w:tr w:rsidR="00FD0545" w:rsidRPr="00C376DE" w14:paraId="67D0CEB5" w14:textId="77777777" w:rsidTr="00026782">
        <w:trPr>
          <w:trHeight w:val="300"/>
          <w:jc w:val="center"/>
        </w:trPr>
        <w:tc>
          <w:tcPr>
            <w:tcW w:w="4065" w:type="dxa"/>
            <w:shd w:val="clear" w:color="auto" w:fill="EDEDED"/>
          </w:tcPr>
          <w:p w14:paraId="591A670C" w14:textId="77777777" w:rsidR="00FD0545" w:rsidRPr="00C376DE" w:rsidRDefault="00FD0545" w:rsidP="00026782">
            <w:pPr>
              <w:rPr>
                <w:rFonts w:eastAsia="Calibri"/>
                <w:color w:val="000000"/>
                <w:sz w:val="22"/>
                <w:szCs w:val="22"/>
              </w:rPr>
            </w:pPr>
            <w:r w:rsidRPr="00C376DE">
              <w:rPr>
                <w:rFonts w:eastAsia="Calibri"/>
                <w:color w:val="000000"/>
                <w:sz w:val="22"/>
                <w:szCs w:val="22"/>
              </w:rPr>
              <w:t>OTKA kutatás közreműködője</w:t>
            </w:r>
          </w:p>
        </w:tc>
        <w:tc>
          <w:tcPr>
            <w:tcW w:w="2020" w:type="dxa"/>
            <w:shd w:val="clear" w:color="auto" w:fill="EDEDED"/>
          </w:tcPr>
          <w:p w14:paraId="64F00A8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 pont</w:t>
            </w:r>
          </w:p>
        </w:tc>
      </w:tr>
      <w:tr w:rsidR="00FD0545" w:rsidRPr="00C376DE" w14:paraId="5932FE7E" w14:textId="77777777" w:rsidTr="00026782">
        <w:trPr>
          <w:trHeight w:val="300"/>
          <w:jc w:val="center"/>
        </w:trPr>
        <w:tc>
          <w:tcPr>
            <w:tcW w:w="4065" w:type="dxa"/>
            <w:shd w:val="clear" w:color="auto" w:fill="EDEDED"/>
          </w:tcPr>
          <w:p w14:paraId="5096E4A6" w14:textId="77777777" w:rsidR="00FD0545" w:rsidRPr="00C376DE" w:rsidRDefault="00FD0545" w:rsidP="00026782">
            <w:pPr>
              <w:rPr>
                <w:rFonts w:eastAsia="Calibri"/>
                <w:color w:val="000000"/>
                <w:sz w:val="22"/>
                <w:szCs w:val="22"/>
              </w:rPr>
            </w:pPr>
            <w:r w:rsidRPr="00C376DE">
              <w:rPr>
                <w:rFonts w:eastAsia="Calibri"/>
                <w:color w:val="000000"/>
                <w:sz w:val="22"/>
                <w:szCs w:val="22"/>
              </w:rPr>
              <w:t>ÚNKP pályázat nyertese</w:t>
            </w:r>
          </w:p>
        </w:tc>
        <w:tc>
          <w:tcPr>
            <w:tcW w:w="2020" w:type="dxa"/>
            <w:shd w:val="clear" w:color="auto" w:fill="EDEDED"/>
          </w:tcPr>
          <w:p w14:paraId="47CE878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w:t>
            </w:r>
          </w:p>
        </w:tc>
      </w:tr>
      <w:tr w:rsidR="00FD0545" w:rsidRPr="00C376DE" w14:paraId="62FD356E" w14:textId="77777777" w:rsidTr="00026782">
        <w:trPr>
          <w:trHeight w:val="300"/>
          <w:jc w:val="center"/>
        </w:trPr>
        <w:tc>
          <w:tcPr>
            <w:tcW w:w="4065" w:type="dxa"/>
            <w:shd w:val="clear" w:color="auto" w:fill="EDEDED"/>
          </w:tcPr>
          <w:p w14:paraId="145A128D" w14:textId="77777777" w:rsidR="00FD0545" w:rsidRPr="00C376DE" w:rsidRDefault="00FD0545" w:rsidP="00026782">
            <w:pPr>
              <w:rPr>
                <w:rFonts w:eastAsia="Calibri"/>
                <w:color w:val="000000"/>
                <w:sz w:val="22"/>
                <w:szCs w:val="22"/>
              </w:rPr>
            </w:pPr>
            <w:r w:rsidRPr="00C376DE">
              <w:rPr>
                <w:rFonts w:eastAsia="Calibri"/>
                <w:color w:val="000000"/>
                <w:sz w:val="22"/>
                <w:szCs w:val="22"/>
              </w:rPr>
              <w:t>ÚNKP pályázat nyertesének témavezetője</w:t>
            </w:r>
          </w:p>
        </w:tc>
        <w:tc>
          <w:tcPr>
            <w:tcW w:w="2020" w:type="dxa"/>
            <w:shd w:val="clear" w:color="auto" w:fill="EDEDED"/>
          </w:tcPr>
          <w:p w14:paraId="5E86587A"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 pont</w:t>
            </w:r>
          </w:p>
        </w:tc>
      </w:tr>
      <w:tr w:rsidR="00FD0545" w:rsidRPr="00C376DE" w14:paraId="2DDBD036" w14:textId="77777777" w:rsidTr="00026782">
        <w:trPr>
          <w:trHeight w:val="300"/>
          <w:jc w:val="center"/>
        </w:trPr>
        <w:tc>
          <w:tcPr>
            <w:tcW w:w="4065" w:type="dxa"/>
            <w:shd w:val="clear" w:color="auto" w:fill="EDEDED"/>
          </w:tcPr>
          <w:p w14:paraId="26F7B97E" w14:textId="77777777" w:rsidR="00FD0545" w:rsidRPr="00C376DE" w:rsidRDefault="00FD0545" w:rsidP="00026782">
            <w:pPr>
              <w:rPr>
                <w:rFonts w:eastAsia="Calibri"/>
                <w:color w:val="000000"/>
                <w:sz w:val="22"/>
                <w:szCs w:val="22"/>
              </w:rPr>
            </w:pPr>
            <w:proofErr w:type="spellStart"/>
            <w:r w:rsidRPr="00C376DE">
              <w:rPr>
                <w:rFonts w:eastAsia="Calibri"/>
                <w:color w:val="000000"/>
                <w:sz w:val="22"/>
                <w:szCs w:val="22"/>
              </w:rPr>
              <w:t>Kriszbacher</w:t>
            </w:r>
            <w:proofErr w:type="spellEnd"/>
            <w:r w:rsidRPr="00C376DE">
              <w:rPr>
                <w:rFonts w:eastAsia="Calibri"/>
                <w:color w:val="000000"/>
                <w:sz w:val="22"/>
                <w:szCs w:val="22"/>
              </w:rPr>
              <w:t xml:space="preserve"> Ildikó ösztöndíj </w:t>
            </w:r>
            <w:proofErr w:type="spellStart"/>
            <w:r w:rsidRPr="00C376DE">
              <w:rPr>
                <w:rFonts w:eastAsia="Calibri"/>
                <w:color w:val="000000"/>
                <w:sz w:val="22"/>
                <w:szCs w:val="22"/>
              </w:rPr>
              <w:t>tutora</w:t>
            </w:r>
            <w:proofErr w:type="spellEnd"/>
          </w:p>
        </w:tc>
        <w:tc>
          <w:tcPr>
            <w:tcW w:w="2020" w:type="dxa"/>
            <w:shd w:val="clear" w:color="auto" w:fill="EDEDED"/>
          </w:tcPr>
          <w:p w14:paraId="0893EC45"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 pont</w:t>
            </w:r>
          </w:p>
        </w:tc>
      </w:tr>
      <w:tr w:rsidR="00FD0545" w:rsidRPr="00C376DE" w14:paraId="409A1E79" w14:textId="77777777" w:rsidTr="00026782">
        <w:trPr>
          <w:trHeight w:val="300"/>
          <w:jc w:val="center"/>
        </w:trPr>
        <w:tc>
          <w:tcPr>
            <w:tcW w:w="4065" w:type="dxa"/>
            <w:shd w:val="clear" w:color="auto" w:fill="EDEDED"/>
          </w:tcPr>
          <w:p w14:paraId="64CF637C" w14:textId="77777777" w:rsidR="00FD0545" w:rsidRPr="00C376DE" w:rsidRDefault="00FD0545" w:rsidP="00026782">
            <w:pPr>
              <w:rPr>
                <w:rFonts w:eastAsia="Calibri"/>
                <w:color w:val="000000"/>
                <w:sz w:val="22"/>
                <w:szCs w:val="22"/>
              </w:rPr>
            </w:pPr>
            <w:r w:rsidRPr="00C376DE">
              <w:rPr>
                <w:rFonts w:eastAsia="Calibri"/>
                <w:color w:val="000000"/>
                <w:sz w:val="22"/>
                <w:szCs w:val="22"/>
              </w:rPr>
              <w:t>László János ösztöndíj nyertese</w:t>
            </w:r>
          </w:p>
        </w:tc>
        <w:tc>
          <w:tcPr>
            <w:tcW w:w="2020" w:type="dxa"/>
            <w:shd w:val="clear" w:color="auto" w:fill="EDEDED"/>
          </w:tcPr>
          <w:p w14:paraId="03286AE9"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w:t>
            </w:r>
          </w:p>
        </w:tc>
      </w:tr>
      <w:tr w:rsidR="00FD0545" w:rsidRPr="00C376DE" w14:paraId="2AB8A831" w14:textId="77777777" w:rsidTr="00026782">
        <w:trPr>
          <w:trHeight w:val="300"/>
          <w:jc w:val="center"/>
        </w:trPr>
        <w:tc>
          <w:tcPr>
            <w:tcW w:w="4065" w:type="dxa"/>
            <w:shd w:val="clear" w:color="auto" w:fill="EDEDED"/>
          </w:tcPr>
          <w:p w14:paraId="738FD9C7" w14:textId="77777777" w:rsidR="00FD0545" w:rsidRPr="00C376DE" w:rsidRDefault="00FD0545" w:rsidP="00026782">
            <w:pPr>
              <w:rPr>
                <w:rFonts w:eastAsia="Calibri"/>
                <w:color w:val="000000"/>
                <w:sz w:val="22"/>
                <w:szCs w:val="22"/>
              </w:rPr>
            </w:pPr>
            <w:r w:rsidRPr="00C376DE">
              <w:rPr>
                <w:rFonts w:eastAsia="Calibri"/>
                <w:color w:val="000000"/>
                <w:sz w:val="22"/>
                <w:szCs w:val="22"/>
              </w:rPr>
              <w:t>László János ösztöndíj nyertesének témavezetője</w:t>
            </w:r>
          </w:p>
        </w:tc>
        <w:tc>
          <w:tcPr>
            <w:tcW w:w="2020" w:type="dxa"/>
            <w:shd w:val="clear" w:color="auto" w:fill="EDEDED"/>
          </w:tcPr>
          <w:p w14:paraId="70A2A59F"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 pont</w:t>
            </w:r>
          </w:p>
        </w:tc>
      </w:tr>
    </w:tbl>
    <w:p w14:paraId="09193B24" w14:textId="77777777" w:rsidR="00FD0545" w:rsidRPr="00E13CE5" w:rsidRDefault="00FD0545" w:rsidP="00FD0545">
      <w:pPr>
        <w:rPr>
          <w:vanish/>
        </w:rPr>
      </w:pPr>
    </w:p>
    <w:tbl>
      <w:tblPr>
        <w:tblpPr w:leftFromText="141" w:rightFromText="141" w:vertAnchor="text" w:horzAnchor="margin" w:tblpY="51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2CD5BFDC" w14:textId="77777777" w:rsidTr="00026782">
        <w:tc>
          <w:tcPr>
            <w:tcW w:w="1980" w:type="dxa"/>
            <w:shd w:val="clear" w:color="auto" w:fill="F2F2F2"/>
          </w:tcPr>
          <w:p w14:paraId="27FE97AA"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6D0D2873" w14:textId="77777777" w:rsidR="00FD0545" w:rsidRPr="00C376DE" w:rsidRDefault="00FD0545" w:rsidP="00026782">
            <w:pPr>
              <w:rPr>
                <w:rFonts w:eastAsia="Calibri"/>
                <w:b/>
                <w:bCs/>
                <w:sz w:val="22"/>
                <w:szCs w:val="22"/>
              </w:rPr>
            </w:pPr>
            <w:r w:rsidRPr="00C376DE">
              <w:rPr>
                <w:rFonts w:eastAsia="Calibri"/>
                <w:b/>
                <w:bCs/>
                <w:sz w:val="22"/>
                <w:szCs w:val="22"/>
              </w:rPr>
              <w:t xml:space="preserve">TÉR jelentés a kari kutatócsoportokról és azok változásáról </w:t>
            </w:r>
          </w:p>
        </w:tc>
      </w:tr>
      <w:tr w:rsidR="00FD0545" w:rsidRPr="00C376DE" w14:paraId="4DF1EC5A" w14:textId="77777777" w:rsidTr="00026782">
        <w:tc>
          <w:tcPr>
            <w:tcW w:w="1980" w:type="dxa"/>
            <w:shd w:val="clear" w:color="auto" w:fill="F2F2F2"/>
          </w:tcPr>
          <w:p w14:paraId="1F2E2CF8"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97FFBF6" w14:textId="77777777" w:rsidR="00FD0545" w:rsidRPr="00C376DE" w:rsidRDefault="00FD0545" w:rsidP="00026782">
            <w:pPr>
              <w:rPr>
                <w:rFonts w:eastAsia="Calibri"/>
                <w:b/>
                <w:bCs/>
                <w:sz w:val="22"/>
                <w:szCs w:val="22"/>
              </w:rPr>
            </w:pPr>
            <w:r w:rsidRPr="00C376DE">
              <w:rPr>
                <w:rFonts w:eastAsia="Calibri"/>
                <w:b/>
                <w:bCs/>
                <w:sz w:val="22"/>
                <w:szCs w:val="22"/>
              </w:rPr>
              <w:t>Tudományszervezési TÉR jelentés (J/6. melléklet)</w:t>
            </w:r>
          </w:p>
        </w:tc>
      </w:tr>
      <w:tr w:rsidR="00FD0545" w:rsidRPr="00C376DE" w14:paraId="1FE0D344" w14:textId="77777777" w:rsidTr="00026782">
        <w:tc>
          <w:tcPr>
            <w:tcW w:w="1980" w:type="dxa"/>
            <w:shd w:val="clear" w:color="auto" w:fill="F2F2F2"/>
          </w:tcPr>
          <w:p w14:paraId="55050652"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3CD05886" w14:textId="77777777" w:rsidR="00FD0545" w:rsidRPr="00C376DE" w:rsidRDefault="00FD0545" w:rsidP="00026782">
            <w:pPr>
              <w:rPr>
                <w:rFonts w:eastAsia="Calibri"/>
                <w:b/>
                <w:bCs/>
                <w:sz w:val="22"/>
                <w:szCs w:val="22"/>
              </w:rPr>
            </w:pPr>
            <w:r w:rsidRPr="00C376DE">
              <w:rPr>
                <w:rFonts w:eastAsia="Calibri"/>
                <w:b/>
                <w:bCs/>
                <w:sz w:val="22"/>
                <w:szCs w:val="22"/>
              </w:rPr>
              <w:t>Projekt koordinátor</w:t>
            </w:r>
          </w:p>
        </w:tc>
      </w:tr>
    </w:tbl>
    <w:p w14:paraId="0F158F3A"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p w14:paraId="49246E66" w14:textId="77777777" w:rsidR="00FD0545" w:rsidRDefault="00FD0545" w:rsidP="00FD0545">
      <w:pPr>
        <w:ind w:left="708"/>
        <w:rPr>
          <w:b/>
          <w:sz w:val="22"/>
        </w:rPr>
      </w:pPr>
    </w:p>
    <w:p w14:paraId="15AC2017" w14:textId="77777777" w:rsidR="00FD0545" w:rsidRDefault="00FD0545" w:rsidP="00FD0545">
      <w:pPr>
        <w:ind w:left="708"/>
        <w:rPr>
          <w:b/>
          <w:sz w:val="22"/>
        </w:rPr>
      </w:pPr>
    </w:p>
    <w:p w14:paraId="0757CE74" w14:textId="77777777" w:rsidR="00FD0545" w:rsidRDefault="00FD0545" w:rsidP="00FD0545">
      <w:pPr>
        <w:ind w:left="708"/>
        <w:rPr>
          <w:b/>
          <w:sz w:val="22"/>
        </w:rPr>
      </w:pPr>
      <w:r>
        <w:rPr>
          <w:b/>
          <w:sz w:val="22"/>
        </w:rPr>
        <w:t xml:space="preserve">B) </w:t>
      </w:r>
      <w:r w:rsidRPr="00CD78CA">
        <w:rPr>
          <w:b/>
          <w:sz w:val="22"/>
        </w:rPr>
        <w:t>Degresszív tényezők</w:t>
      </w:r>
    </w:p>
    <w:p w14:paraId="4E97DF2D" w14:textId="77777777" w:rsidR="00FD0545" w:rsidRPr="00CD78CA" w:rsidRDefault="00FD0545" w:rsidP="00FD0545">
      <w:pPr>
        <w:ind w:left="708"/>
        <w:rPr>
          <w:b/>
          <w:sz w:val="22"/>
        </w:rPr>
      </w:pPr>
    </w:p>
    <w:p w14:paraId="3359B38A" w14:textId="77777777" w:rsidR="00FD0545" w:rsidRPr="00E13CE5" w:rsidRDefault="00FD0545" w:rsidP="00FD0545">
      <w:pPr>
        <w:rPr>
          <w:rFonts w:eastAsia="Calibri"/>
          <w:sz w:val="22"/>
          <w:szCs w:val="22"/>
        </w:rPr>
      </w:pPr>
      <w:r w:rsidRPr="00E13CE5">
        <w:rPr>
          <w:rFonts w:eastAsia="Calibri"/>
          <w:sz w:val="22"/>
          <w:szCs w:val="22"/>
        </w:rPr>
        <w:t>A tudományos tevékenység láthatóságának eszköze a publikáció, mely hatását abban az esetben éri el teljes mértékben, amennyiben a szerző a kutatói adatbázisokban szerepel, és azokat naprakészen tartja.</w:t>
      </w:r>
    </w:p>
    <w:p w14:paraId="13498815" w14:textId="77777777" w:rsidR="00FD0545" w:rsidRPr="00E13CE5" w:rsidRDefault="00FD0545" w:rsidP="00FD0545">
      <w:pPr>
        <w:jc w:val="both"/>
        <w:rPr>
          <w:rFonts w:eastAsia="Calibri"/>
          <w:sz w:val="22"/>
          <w:szCs w:val="22"/>
        </w:rPr>
      </w:pPr>
      <w:r w:rsidRPr="00E13CE5">
        <w:rPr>
          <w:rFonts w:eastAsia="Calibri"/>
          <w:sz w:val="22"/>
          <w:szCs w:val="22"/>
        </w:rPr>
        <w:t xml:space="preserve">E cél elérése érdekében a Kar minden értékelési időszakban megvizsgálja az alábbi adatbázisok naprakészségét, teljességét. Ennek módja a TÉR adatok alapját jelentő MTMT adatbázis és a további, MTMT szerzői személyi adatlapon rögzítendő azonosítókhoz tartozó adatbázisok (úgy, mint ORCID, Google </w:t>
      </w:r>
      <w:proofErr w:type="spellStart"/>
      <w:r w:rsidRPr="00E13CE5">
        <w:rPr>
          <w:rFonts w:eastAsia="Calibri"/>
          <w:sz w:val="22"/>
          <w:szCs w:val="22"/>
        </w:rPr>
        <w:t>Scholar</w:t>
      </w:r>
      <w:proofErr w:type="spellEnd"/>
      <w:r w:rsidRPr="00E13CE5">
        <w:rPr>
          <w:rFonts w:eastAsia="Calibri"/>
          <w:sz w:val="22"/>
          <w:szCs w:val="22"/>
        </w:rPr>
        <w:t xml:space="preserve">, </w:t>
      </w:r>
      <w:proofErr w:type="spellStart"/>
      <w:r w:rsidRPr="00E13CE5">
        <w:rPr>
          <w:rFonts w:eastAsia="Calibri"/>
          <w:sz w:val="22"/>
          <w:szCs w:val="22"/>
        </w:rPr>
        <w:t>Scopus</w:t>
      </w:r>
      <w:proofErr w:type="spellEnd"/>
      <w:r w:rsidRPr="00E13CE5">
        <w:rPr>
          <w:rFonts w:eastAsia="Calibri"/>
          <w:sz w:val="22"/>
          <w:szCs w:val="22"/>
        </w:rPr>
        <w:t xml:space="preserve">, ResearchGate, </w:t>
      </w:r>
      <w:proofErr w:type="spellStart"/>
      <w:r w:rsidRPr="00E13CE5">
        <w:rPr>
          <w:rFonts w:eastAsia="Calibri"/>
          <w:sz w:val="22"/>
          <w:szCs w:val="22"/>
        </w:rPr>
        <w:t>Publons</w:t>
      </w:r>
      <w:proofErr w:type="spellEnd"/>
      <w:r w:rsidRPr="00E13CE5">
        <w:rPr>
          <w:rFonts w:eastAsia="Calibri"/>
          <w:sz w:val="22"/>
          <w:szCs w:val="22"/>
        </w:rPr>
        <w:t xml:space="preserve">) adattartalmának összevetése. Nem megfelelő a feltöltöttség, amennyiben a rögzített publikációk száma </w:t>
      </w:r>
      <w:proofErr w:type="gramStart"/>
      <w:r w:rsidRPr="00E13CE5">
        <w:rPr>
          <w:rFonts w:eastAsia="Calibri"/>
          <w:sz w:val="22"/>
          <w:szCs w:val="22"/>
        </w:rPr>
        <w:t>több, mint</w:t>
      </w:r>
      <w:proofErr w:type="gramEnd"/>
      <w:r w:rsidRPr="00E13CE5">
        <w:rPr>
          <w:rFonts w:eastAsia="Calibri"/>
          <w:sz w:val="22"/>
          <w:szCs w:val="22"/>
        </w:rPr>
        <w:t xml:space="preserve"> 15%-</w:t>
      </w:r>
      <w:proofErr w:type="spellStart"/>
      <w:r w:rsidRPr="00E13CE5">
        <w:rPr>
          <w:rFonts w:eastAsia="Calibri"/>
          <w:sz w:val="22"/>
          <w:szCs w:val="22"/>
        </w:rPr>
        <w:t>os</w:t>
      </w:r>
      <w:proofErr w:type="spellEnd"/>
      <w:r w:rsidRPr="00E13CE5">
        <w:rPr>
          <w:rFonts w:eastAsia="Calibri"/>
          <w:sz w:val="22"/>
          <w:szCs w:val="22"/>
        </w:rPr>
        <w:t xml:space="preserve"> eltérést mutat az MTMT adatbázishoz képest.</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1984"/>
        <w:gridCol w:w="1985"/>
      </w:tblGrid>
      <w:tr w:rsidR="00FD0545" w:rsidRPr="00C376DE" w14:paraId="021DBBD0" w14:textId="77777777" w:rsidTr="00026782">
        <w:trPr>
          <w:jc w:val="center"/>
        </w:trPr>
        <w:tc>
          <w:tcPr>
            <w:tcW w:w="0" w:type="dxa"/>
            <w:tcBorders>
              <w:top w:val="single" w:sz="4" w:space="0" w:color="FFFFFF"/>
              <w:left w:val="single" w:sz="4" w:space="0" w:color="FFFFFF"/>
              <w:right w:val="nil"/>
            </w:tcBorders>
            <w:shd w:val="clear" w:color="auto" w:fill="EDEDED"/>
          </w:tcPr>
          <w:p w14:paraId="06F64408" w14:textId="77777777" w:rsidR="00FD0545" w:rsidRPr="00C376DE" w:rsidRDefault="00FD0545" w:rsidP="00026782">
            <w:pPr>
              <w:jc w:val="center"/>
              <w:rPr>
                <w:rFonts w:eastAsia="Calibri"/>
                <w:b/>
                <w:bCs/>
                <w:sz w:val="22"/>
                <w:szCs w:val="22"/>
              </w:rPr>
            </w:pPr>
            <w:r w:rsidRPr="00C376DE">
              <w:rPr>
                <w:rFonts w:eastAsia="Calibri"/>
                <w:b/>
                <w:bCs/>
                <w:sz w:val="22"/>
                <w:szCs w:val="22"/>
              </w:rPr>
              <w:t>Hiányos adatbázisok száma</w:t>
            </w:r>
          </w:p>
        </w:tc>
        <w:tc>
          <w:tcPr>
            <w:tcW w:w="0" w:type="dxa"/>
            <w:tcBorders>
              <w:top w:val="single" w:sz="4" w:space="0" w:color="FFFFFF"/>
              <w:left w:val="nil"/>
              <w:right w:val="single" w:sz="4" w:space="0" w:color="FFFFFF"/>
            </w:tcBorders>
            <w:shd w:val="clear" w:color="auto" w:fill="EDEDED"/>
          </w:tcPr>
          <w:p w14:paraId="309C9570" w14:textId="77777777" w:rsidR="00FD0545" w:rsidRPr="00C376DE" w:rsidRDefault="00FD0545" w:rsidP="00026782">
            <w:pPr>
              <w:jc w:val="center"/>
              <w:rPr>
                <w:rFonts w:eastAsia="Calibri"/>
                <w:b/>
                <w:bCs/>
                <w:sz w:val="22"/>
                <w:szCs w:val="22"/>
              </w:rPr>
            </w:pPr>
            <w:r w:rsidRPr="00C376DE">
              <w:rPr>
                <w:rFonts w:eastAsia="Calibri"/>
                <w:b/>
                <w:bCs/>
                <w:sz w:val="22"/>
                <w:szCs w:val="22"/>
              </w:rPr>
              <w:t>Levonási arány a TÉR II.1 pontokból</w:t>
            </w:r>
          </w:p>
        </w:tc>
      </w:tr>
      <w:tr w:rsidR="00FD0545" w:rsidRPr="00C376DE" w14:paraId="4A14575B" w14:textId="77777777" w:rsidTr="00026782">
        <w:trPr>
          <w:jc w:val="center"/>
        </w:trPr>
        <w:tc>
          <w:tcPr>
            <w:tcW w:w="1984" w:type="dxa"/>
            <w:shd w:val="clear" w:color="auto" w:fill="EDEDED"/>
          </w:tcPr>
          <w:p w14:paraId="49BAD109" w14:textId="77777777" w:rsidR="00FD0545" w:rsidRPr="00C376DE" w:rsidRDefault="00FD0545" w:rsidP="00026782">
            <w:pPr>
              <w:jc w:val="center"/>
              <w:rPr>
                <w:rFonts w:eastAsia="Calibri"/>
                <w:sz w:val="22"/>
                <w:szCs w:val="22"/>
              </w:rPr>
            </w:pPr>
            <w:r w:rsidRPr="00C376DE">
              <w:rPr>
                <w:rFonts w:eastAsia="Calibri"/>
                <w:sz w:val="22"/>
                <w:szCs w:val="22"/>
              </w:rPr>
              <w:t>1</w:t>
            </w:r>
          </w:p>
        </w:tc>
        <w:tc>
          <w:tcPr>
            <w:tcW w:w="1985" w:type="dxa"/>
            <w:shd w:val="clear" w:color="auto" w:fill="EDEDED"/>
          </w:tcPr>
          <w:p w14:paraId="1EF22223" w14:textId="77777777" w:rsidR="00FD0545" w:rsidRPr="00C376DE" w:rsidRDefault="00FD0545" w:rsidP="00026782">
            <w:pPr>
              <w:jc w:val="center"/>
              <w:rPr>
                <w:rFonts w:eastAsia="Calibri"/>
                <w:sz w:val="22"/>
                <w:szCs w:val="22"/>
              </w:rPr>
            </w:pPr>
            <w:r w:rsidRPr="00C376DE">
              <w:rPr>
                <w:rFonts w:eastAsia="Calibri"/>
                <w:sz w:val="22"/>
                <w:szCs w:val="22"/>
              </w:rPr>
              <w:t>3%</w:t>
            </w:r>
          </w:p>
        </w:tc>
      </w:tr>
      <w:tr w:rsidR="00FD0545" w:rsidRPr="00C376DE" w14:paraId="27E6AEC5" w14:textId="77777777" w:rsidTr="00026782">
        <w:trPr>
          <w:jc w:val="center"/>
        </w:trPr>
        <w:tc>
          <w:tcPr>
            <w:tcW w:w="1984" w:type="dxa"/>
            <w:shd w:val="clear" w:color="auto" w:fill="EDEDED"/>
          </w:tcPr>
          <w:p w14:paraId="09681235" w14:textId="77777777" w:rsidR="00FD0545" w:rsidRPr="00C376DE" w:rsidRDefault="00FD0545" w:rsidP="00026782">
            <w:pPr>
              <w:jc w:val="center"/>
              <w:rPr>
                <w:rFonts w:eastAsia="Calibri"/>
                <w:sz w:val="22"/>
                <w:szCs w:val="22"/>
              </w:rPr>
            </w:pPr>
            <w:r w:rsidRPr="00C376DE">
              <w:rPr>
                <w:rFonts w:eastAsia="Calibri"/>
                <w:sz w:val="22"/>
                <w:szCs w:val="22"/>
              </w:rPr>
              <w:t>2</w:t>
            </w:r>
          </w:p>
        </w:tc>
        <w:tc>
          <w:tcPr>
            <w:tcW w:w="1985" w:type="dxa"/>
            <w:shd w:val="clear" w:color="auto" w:fill="EDEDED"/>
          </w:tcPr>
          <w:p w14:paraId="788F2E0D" w14:textId="77777777" w:rsidR="00FD0545" w:rsidRPr="00C376DE" w:rsidRDefault="00FD0545" w:rsidP="00026782">
            <w:pPr>
              <w:jc w:val="center"/>
              <w:rPr>
                <w:rFonts w:eastAsia="Calibri"/>
                <w:sz w:val="22"/>
                <w:szCs w:val="22"/>
              </w:rPr>
            </w:pPr>
            <w:r w:rsidRPr="00C376DE">
              <w:rPr>
                <w:rFonts w:eastAsia="Calibri"/>
                <w:sz w:val="22"/>
                <w:szCs w:val="22"/>
              </w:rPr>
              <w:t>6%</w:t>
            </w:r>
          </w:p>
        </w:tc>
      </w:tr>
      <w:tr w:rsidR="00FD0545" w:rsidRPr="00C376DE" w14:paraId="188589F0" w14:textId="77777777" w:rsidTr="00026782">
        <w:trPr>
          <w:jc w:val="center"/>
        </w:trPr>
        <w:tc>
          <w:tcPr>
            <w:tcW w:w="1984" w:type="dxa"/>
            <w:shd w:val="clear" w:color="auto" w:fill="EDEDED"/>
          </w:tcPr>
          <w:p w14:paraId="57CB93C2" w14:textId="77777777" w:rsidR="00FD0545" w:rsidRPr="00C376DE" w:rsidRDefault="00FD0545" w:rsidP="00026782">
            <w:pPr>
              <w:jc w:val="center"/>
              <w:rPr>
                <w:rFonts w:eastAsia="Calibri"/>
                <w:sz w:val="22"/>
                <w:szCs w:val="22"/>
              </w:rPr>
            </w:pPr>
            <w:r w:rsidRPr="00C376DE">
              <w:rPr>
                <w:rFonts w:eastAsia="Calibri"/>
                <w:sz w:val="22"/>
                <w:szCs w:val="22"/>
              </w:rPr>
              <w:t>3</w:t>
            </w:r>
          </w:p>
        </w:tc>
        <w:tc>
          <w:tcPr>
            <w:tcW w:w="1985" w:type="dxa"/>
            <w:shd w:val="clear" w:color="auto" w:fill="EDEDED"/>
          </w:tcPr>
          <w:p w14:paraId="37F04B4D" w14:textId="77777777" w:rsidR="00FD0545" w:rsidRPr="00C376DE" w:rsidRDefault="00FD0545" w:rsidP="00026782">
            <w:pPr>
              <w:jc w:val="center"/>
              <w:rPr>
                <w:rFonts w:eastAsia="Calibri"/>
                <w:sz w:val="22"/>
                <w:szCs w:val="22"/>
              </w:rPr>
            </w:pPr>
            <w:r w:rsidRPr="00C376DE">
              <w:rPr>
                <w:rFonts w:eastAsia="Calibri"/>
                <w:sz w:val="22"/>
                <w:szCs w:val="22"/>
              </w:rPr>
              <w:t>9%</w:t>
            </w:r>
          </w:p>
        </w:tc>
      </w:tr>
      <w:tr w:rsidR="00FD0545" w:rsidRPr="00C376DE" w14:paraId="6273E658" w14:textId="77777777" w:rsidTr="00026782">
        <w:trPr>
          <w:jc w:val="center"/>
        </w:trPr>
        <w:tc>
          <w:tcPr>
            <w:tcW w:w="1984" w:type="dxa"/>
            <w:shd w:val="clear" w:color="auto" w:fill="EDEDED"/>
          </w:tcPr>
          <w:p w14:paraId="5609822B" w14:textId="77777777" w:rsidR="00FD0545" w:rsidRPr="00C376DE" w:rsidRDefault="00FD0545" w:rsidP="00026782">
            <w:pPr>
              <w:jc w:val="center"/>
              <w:rPr>
                <w:rFonts w:eastAsia="Calibri"/>
                <w:sz w:val="22"/>
                <w:szCs w:val="22"/>
              </w:rPr>
            </w:pPr>
            <w:r w:rsidRPr="00C376DE">
              <w:rPr>
                <w:rFonts w:eastAsia="Calibri"/>
                <w:sz w:val="22"/>
                <w:szCs w:val="22"/>
              </w:rPr>
              <w:t>4</w:t>
            </w:r>
          </w:p>
        </w:tc>
        <w:tc>
          <w:tcPr>
            <w:tcW w:w="1985" w:type="dxa"/>
            <w:shd w:val="clear" w:color="auto" w:fill="EDEDED"/>
          </w:tcPr>
          <w:p w14:paraId="45D39E7C" w14:textId="77777777" w:rsidR="00FD0545" w:rsidRPr="00C376DE" w:rsidRDefault="00FD0545" w:rsidP="00026782">
            <w:pPr>
              <w:jc w:val="center"/>
              <w:rPr>
                <w:rFonts w:eastAsia="Calibri"/>
                <w:sz w:val="22"/>
                <w:szCs w:val="22"/>
              </w:rPr>
            </w:pPr>
            <w:r w:rsidRPr="00C376DE">
              <w:rPr>
                <w:rFonts w:eastAsia="Calibri"/>
                <w:sz w:val="22"/>
                <w:szCs w:val="22"/>
              </w:rPr>
              <w:t>12%</w:t>
            </w:r>
          </w:p>
        </w:tc>
      </w:tr>
      <w:tr w:rsidR="00FD0545" w:rsidRPr="00C376DE" w14:paraId="5C4FBB47" w14:textId="77777777" w:rsidTr="00026782">
        <w:trPr>
          <w:jc w:val="center"/>
        </w:trPr>
        <w:tc>
          <w:tcPr>
            <w:tcW w:w="1984" w:type="dxa"/>
            <w:shd w:val="clear" w:color="auto" w:fill="EDEDED"/>
          </w:tcPr>
          <w:p w14:paraId="13589C02" w14:textId="77777777" w:rsidR="00FD0545" w:rsidRPr="00C376DE" w:rsidRDefault="00FD0545" w:rsidP="00026782">
            <w:pPr>
              <w:jc w:val="center"/>
              <w:rPr>
                <w:rFonts w:eastAsia="Calibri"/>
                <w:sz w:val="22"/>
                <w:szCs w:val="22"/>
              </w:rPr>
            </w:pPr>
            <w:r w:rsidRPr="00C376DE">
              <w:rPr>
                <w:rFonts w:eastAsia="Calibri"/>
                <w:sz w:val="22"/>
                <w:szCs w:val="22"/>
              </w:rPr>
              <w:lastRenderedPageBreak/>
              <w:t>5</w:t>
            </w:r>
          </w:p>
        </w:tc>
        <w:tc>
          <w:tcPr>
            <w:tcW w:w="1985" w:type="dxa"/>
            <w:shd w:val="clear" w:color="auto" w:fill="EDEDED"/>
          </w:tcPr>
          <w:p w14:paraId="4965AAA1" w14:textId="77777777" w:rsidR="00FD0545" w:rsidRPr="00C376DE" w:rsidRDefault="00FD0545" w:rsidP="00026782">
            <w:pPr>
              <w:jc w:val="center"/>
              <w:rPr>
                <w:rFonts w:eastAsia="Calibri"/>
                <w:sz w:val="22"/>
                <w:szCs w:val="22"/>
              </w:rPr>
            </w:pPr>
            <w:r w:rsidRPr="00C376DE">
              <w:rPr>
                <w:rFonts w:eastAsia="Calibri"/>
                <w:sz w:val="22"/>
                <w:szCs w:val="22"/>
              </w:rPr>
              <w:t>15%</w:t>
            </w:r>
          </w:p>
        </w:tc>
      </w:tr>
    </w:tbl>
    <w:p w14:paraId="79D075FF" w14:textId="77777777" w:rsidR="00FD0545" w:rsidRPr="00E13CE5" w:rsidRDefault="00FD0545" w:rsidP="00FD0545">
      <w:pPr>
        <w:rPr>
          <w:rFonts w:eastAsia="Calibri"/>
          <w:sz w:val="22"/>
          <w:szCs w:val="22"/>
        </w:rPr>
      </w:pPr>
    </w:p>
    <w:p w14:paraId="4D4BA45B" w14:textId="77777777" w:rsidR="00FD0545" w:rsidRPr="00FD0545" w:rsidRDefault="00FD0545" w:rsidP="00FD0545">
      <w:pPr>
        <w:pBdr>
          <w:top w:val="single" w:sz="4" w:space="1" w:color="auto"/>
          <w:left w:val="single" w:sz="4" w:space="4" w:color="auto"/>
          <w:bottom w:val="single" w:sz="4" w:space="1" w:color="auto"/>
          <w:right w:val="single" w:sz="4" w:space="4" w:color="auto"/>
        </w:pBdr>
        <w:rPr>
          <w:sz w:val="22"/>
          <w:szCs w:val="22"/>
        </w:rPr>
      </w:pPr>
      <m:oMathPara>
        <m:oMath>
          <m:r>
            <w:rPr>
              <w:rFonts w:ascii="Cambria Math" w:eastAsia="Calibri" w:hAnsi="Cambria Math"/>
              <w:sz w:val="22"/>
              <w:szCs w:val="22"/>
            </w:rPr>
            <m:t>TAB TÉR=</m:t>
          </m:r>
          <m:sSub>
            <m:sSubPr>
              <m:ctrlPr>
                <w:rPr>
                  <w:rFonts w:ascii="Cambria Math" w:eastAsia="Calibri" w:hAnsi="Cambria Math"/>
                  <w:i/>
                  <w:sz w:val="22"/>
                  <w:szCs w:val="22"/>
                </w:rPr>
              </m:ctrlPr>
            </m:sSubPr>
            <m:e>
              <m:r>
                <w:rPr>
                  <w:rFonts w:ascii="Cambria Math" w:eastAsia="Calibri" w:hAnsi="Cambria Math"/>
                  <w:sz w:val="22"/>
                  <w:szCs w:val="22"/>
                </w:rPr>
                <m:t>-0,02× TÉR</m:t>
              </m:r>
            </m:e>
            <m:sub>
              <m:r>
                <w:rPr>
                  <w:rFonts w:ascii="Cambria Math" w:eastAsia="Calibri" w:hAnsi="Cambria Math"/>
                  <w:sz w:val="22"/>
                  <w:szCs w:val="22"/>
                </w:rPr>
                <m:t>II.1</m:t>
              </m:r>
            </m:sub>
          </m:sSub>
          <m:r>
            <w:rPr>
              <w:rFonts w:ascii="Cambria Math" w:eastAsia="Calibri" w:hAnsi="Cambria Math"/>
              <w:sz w:val="22"/>
              <w:szCs w:val="22"/>
            </w:rPr>
            <m:t>×[HIÁNYOS ADATBÁZISOK SZÁMA</m:t>
          </m:r>
          <m:r>
            <w:rPr>
              <w:rFonts w:ascii="Cambria Math" w:hAnsi="Cambria Math"/>
              <w:sz w:val="22"/>
              <w:szCs w:val="22"/>
            </w:rPr>
            <m:t>]</m:t>
          </m:r>
        </m:oMath>
      </m:oMathPara>
    </w:p>
    <w:p w14:paraId="69ED267A"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pPr w:leftFromText="141" w:rightFromText="141" w:vertAnchor="text" w:horzAnchor="margin" w:tblpY="78"/>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086E7A7E" w14:textId="77777777" w:rsidTr="00026782">
        <w:tc>
          <w:tcPr>
            <w:tcW w:w="1980" w:type="dxa"/>
            <w:shd w:val="clear" w:color="auto" w:fill="F2F2F2"/>
          </w:tcPr>
          <w:p w14:paraId="49E9F3FB"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F41BFF9" w14:textId="77777777" w:rsidR="00FD0545" w:rsidRPr="00C376DE" w:rsidRDefault="00FD0545" w:rsidP="00026782">
            <w:pPr>
              <w:rPr>
                <w:rFonts w:eastAsia="Calibri"/>
                <w:b/>
                <w:bCs/>
                <w:sz w:val="22"/>
                <w:szCs w:val="22"/>
              </w:rPr>
            </w:pPr>
            <w:r w:rsidRPr="00C376DE">
              <w:rPr>
                <w:rFonts w:eastAsia="Calibri"/>
                <w:b/>
                <w:bCs/>
                <w:sz w:val="22"/>
                <w:szCs w:val="22"/>
              </w:rPr>
              <w:t xml:space="preserve">Online adatbázisok és MTMT ellenőrzése </w:t>
            </w:r>
          </w:p>
        </w:tc>
      </w:tr>
      <w:tr w:rsidR="00FD0545" w:rsidRPr="00C376DE" w14:paraId="288ABB31" w14:textId="77777777" w:rsidTr="00026782">
        <w:tc>
          <w:tcPr>
            <w:tcW w:w="1980" w:type="dxa"/>
            <w:shd w:val="clear" w:color="auto" w:fill="F2F2F2"/>
          </w:tcPr>
          <w:p w14:paraId="115DEEBF"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5B9CC6FD" w14:textId="77777777" w:rsidR="00FD0545" w:rsidRPr="00C376DE" w:rsidRDefault="00FD0545" w:rsidP="00026782">
            <w:pPr>
              <w:rPr>
                <w:rFonts w:eastAsia="Calibri"/>
                <w:b/>
                <w:bCs/>
                <w:sz w:val="22"/>
                <w:szCs w:val="22"/>
              </w:rPr>
            </w:pPr>
            <w:r w:rsidRPr="00C376DE">
              <w:rPr>
                <w:rFonts w:eastAsia="Calibri"/>
                <w:b/>
                <w:bCs/>
                <w:sz w:val="22"/>
                <w:szCs w:val="22"/>
              </w:rPr>
              <w:t>MTMT TÉR jelentés (J/3. melléklet)</w:t>
            </w:r>
          </w:p>
        </w:tc>
      </w:tr>
      <w:tr w:rsidR="00FD0545" w:rsidRPr="00C376DE" w14:paraId="1C902DFA" w14:textId="77777777" w:rsidTr="00026782">
        <w:tc>
          <w:tcPr>
            <w:tcW w:w="1980" w:type="dxa"/>
            <w:shd w:val="clear" w:color="auto" w:fill="F2F2F2"/>
          </w:tcPr>
          <w:p w14:paraId="6D3C1420"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34DCFAD9" w14:textId="77777777" w:rsidR="00FD0545" w:rsidRPr="00C376DE" w:rsidRDefault="00FD0545" w:rsidP="00026782">
            <w:pPr>
              <w:rPr>
                <w:rFonts w:eastAsia="Calibri"/>
                <w:b/>
                <w:bCs/>
                <w:sz w:val="22"/>
                <w:szCs w:val="22"/>
              </w:rPr>
            </w:pPr>
            <w:r w:rsidRPr="00C376DE">
              <w:rPr>
                <w:rFonts w:eastAsia="Calibri"/>
                <w:b/>
                <w:bCs/>
                <w:sz w:val="22"/>
                <w:szCs w:val="22"/>
              </w:rPr>
              <w:t>MTMT koordinátor</w:t>
            </w:r>
          </w:p>
        </w:tc>
      </w:tr>
    </w:tbl>
    <w:p w14:paraId="62408CCF" w14:textId="77777777" w:rsidR="00FD0545" w:rsidRDefault="00FD0545" w:rsidP="00FD0545">
      <w:pPr>
        <w:ind w:left="708"/>
        <w:rPr>
          <w:b/>
          <w:sz w:val="22"/>
        </w:rPr>
      </w:pPr>
    </w:p>
    <w:p w14:paraId="6166DBDB" w14:textId="77777777" w:rsidR="00FD0545" w:rsidRDefault="00FD0545" w:rsidP="00FD0545">
      <w:pPr>
        <w:ind w:left="708"/>
        <w:rPr>
          <w:b/>
          <w:sz w:val="22"/>
        </w:rPr>
      </w:pPr>
      <w:r w:rsidRPr="00633A80">
        <w:rPr>
          <w:b/>
          <w:sz w:val="22"/>
        </w:rPr>
        <w:t xml:space="preserve">C) </w:t>
      </w:r>
      <w:proofErr w:type="gramStart"/>
      <w:r w:rsidRPr="00633A80">
        <w:rPr>
          <w:b/>
          <w:sz w:val="22"/>
        </w:rPr>
        <w:t>A</w:t>
      </w:r>
      <w:proofErr w:type="gramEnd"/>
      <w:r w:rsidRPr="00633A80">
        <w:rPr>
          <w:b/>
          <w:sz w:val="22"/>
        </w:rPr>
        <w:t xml:space="preserve"> tudományos TÉR pontszám kiszámítása</w:t>
      </w:r>
    </w:p>
    <w:p w14:paraId="420D47A9" w14:textId="77777777" w:rsidR="00FD0545" w:rsidRPr="00633A80" w:rsidRDefault="00FD0545" w:rsidP="00FD0545">
      <w:pPr>
        <w:ind w:left="708"/>
        <w:rPr>
          <w:b/>
          <w:sz w:val="22"/>
        </w:rPr>
      </w:pPr>
    </w:p>
    <w:p w14:paraId="1282F5D7" w14:textId="77777777" w:rsidR="00FD0545" w:rsidRPr="00E13CE5" w:rsidRDefault="00FD0545" w:rsidP="00FD0545">
      <w:pPr>
        <w:rPr>
          <w:rFonts w:eastAsia="Calibri"/>
          <w:sz w:val="22"/>
          <w:szCs w:val="22"/>
        </w:rPr>
      </w:pPr>
      <w:r w:rsidRPr="00E13CE5">
        <w:rPr>
          <w:rFonts w:eastAsia="Calibri"/>
          <w:sz w:val="22"/>
          <w:szCs w:val="22"/>
        </w:rPr>
        <w:t xml:space="preserve">A TÉR II. fejezet </w:t>
      </w:r>
      <w:proofErr w:type="spellStart"/>
      <w:r w:rsidRPr="00E13CE5">
        <w:rPr>
          <w:rFonts w:eastAsia="Calibri"/>
          <w:sz w:val="22"/>
          <w:szCs w:val="22"/>
        </w:rPr>
        <w:t>összpontszáma</w:t>
      </w:r>
      <w:proofErr w:type="spellEnd"/>
      <w:r w:rsidRPr="00E13CE5">
        <w:rPr>
          <w:rFonts w:eastAsia="Calibri"/>
          <w:sz w:val="22"/>
          <w:szCs w:val="22"/>
        </w:rPr>
        <w:t xml:space="preserve"> az alábbi képlet alapján számítható:</w:t>
      </w:r>
    </w:p>
    <w:p w14:paraId="451DEB9B" w14:textId="77777777" w:rsidR="00FD0545" w:rsidRPr="00FD0545" w:rsidRDefault="00C54B98" w:rsidP="00FD0545">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TÉR</m:t>
              </m:r>
            </m:e>
            <m:sub>
              <m:r>
                <m:rPr>
                  <m:sty m:val="bi"/>
                </m:rPr>
                <w:rPr>
                  <w:rFonts w:ascii="Cambria Math" w:eastAsia="Calibri" w:hAnsi="Cambria Math"/>
                  <w:sz w:val="22"/>
                  <w:szCs w:val="22"/>
                </w:rPr>
                <m:t>TUDOMÁNYOS</m:t>
              </m:r>
            </m:sub>
          </m:sSub>
          <m:r>
            <m:rPr>
              <m:sty m:val="bi"/>
            </m:rPr>
            <w:rPr>
              <w:rFonts w:ascii="Cambria Math" w:eastAsia="Calibri" w:hAnsi="Cambria Math"/>
              <w:sz w:val="22"/>
              <w:szCs w:val="22"/>
            </w:rPr>
            <m:t xml:space="preserve"> =</m:t>
          </m:r>
          <m:r>
            <m:rPr>
              <m:sty m:val="bi"/>
            </m:rPr>
            <w:rPr>
              <w:rFonts w:ascii="Cambria Math" w:hAnsi="Cambria Math"/>
              <w:sz w:val="22"/>
              <w:szCs w:val="22"/>
            </w:rPr>
            <m:t>TFIR TÉR+ TKSZ TÉR+TV TÉR+DTV TÉR+TEM TÉR+KIV TÉR+TAB TÉR</m:t>
          </m:r>
        </m:oMath>
      </m:oMathPara>
    </w:p>
    <w:p w14:paraId="27E4837C" w14:textId="77777777" w:rsidR="00FD0545" w:rsidRDefault="00FD0545" w:rsidP="00FD0545">
      <w:pPr>
        <w:ind w:left="708"/>
        <w:rPr>
          <w:b/>
          <w:sz w:val="22"/>
        </w:rPr>
      </w:pPr>
    </w:p>
    <w:p w14:paraId="0494EE4A" w14:textId="77777777" w:rsidR="00FD0545" w:rsidRDefault="00FD0545" w:rsidP="00FD0545">
      <w:pPr>
        <w:ind w:left="708"/>
        <w:rPr>
          <w:b/>
          <w:sz w:val="22"/>
        </w:rPr>
      </w:pPr>
      <w:r>
        <w:rPr>
          <w:b/>
          <w:sz w:val="22"/>
        </w:rPr>
        <w:t xml:space="preserve">D) </w:t>
      </w:r>
      <w:r w:rsidRPr="00633A80">
        <w:rPr>
          <w:b/>
          <w:sz w:val="22"/>
        </w:rPr>
        <w:t>Elvárt teljesítmény</w:t>
      </w:r>
    </w:p>
    <w:p w14:paraId="60862FDF" w14:textId="77777777" w:rsidR="00FD0545" w:rsidRPr="00633A80" w:rsidRDefault="00FD0545" w:rsidP="00FD0545">
      <w:pPr>
        <w:ind w:left="708"/>
        <w:rPr>
          <w:b/>
          <w:sz w:val="22"/>
        </w:rPr>
      </w:pPr>
    </w:p>
    <w:p w14:paraId="16E7778C" w14:textId="77777777" w:rsidR="00FD0545" w:rsidRPr="00E13CE5" w:rsidRDefault="00FD0545" w:rsidP="00FD0545">
      <w:pPr>
        <w:jc w:val="both"/>
        <w:rPr>
          <w:rFonts w:eastAsia="Calibri"/>
          <w:sz w:val="22"/>
          <w:szCs w:val="22"/>
        </w:rPr>
      </w:pPr>
      <w:r w:rsidRPr="00E13CE5">
        <w:rPr>
          <w:rFonts w:eastAsia="Calibri"/>
          <w:sz w:val="22"/>
          <w:szCs w:val="22"/>
        </w:rPr>
        <w:t xml:space="preserve">A </w:t>
      </w:r>
      <w:proofErr w:type="spellStart"/>
      <w:r w:rsidRPr="00E13CE5">
        <w:rPr>
          <w:rFonts w:eastAsia="Calibri"/>
          <w:sz w:val="22"/>
          <w:szCs w:val="22"/>
        </w:rPr>
        <w:t>továbbfoglalkoztatás</w:t>
      </w:r>
      <w:proofErr w:type="spellEnd"/>
      <w:r w:rsidRPr="00E13CE5">
        <w:rPr>
          <w:rFonts w:eastAsia="Calibri"/>
          <w:sz w:val="22"/>
          <w:szCs w:val="22"/>
        </w:rPr>
        <w:t xml:space="preserve"> feltétele, hogy a három utolsó vizsgált TÉR időszakban, évenként a következő minimum pontszámot elérje az oktató:</w:t>
      </w:r>
    </w:p>
    <w:p w14:paraId="48E20129" w14:textId="77777777" w:rsidR="00FD0545" w:rsidRPr="00E13CE5" w:rsidRDefault="00FD0545" w:rsidP="00FD0545">
      <w:pPr>
        <w:jc w:val="center"/>
        <w:rPr>
          <w:rFonts w:eastAsia="Calibri"/>
          <w:b/>
          <w:bCs/>
          <w:i/>
          <w:iCs/>
          <w:sz w:val="22"/>
          <w:szCs w:val="22"/>
        </w:rPr>
      </w:pPr>
      <w:r w:rsidRPr="00E13CE5">
        <w:rPr>
          <w:rFonts w:eastAsia="Calibri"/>
          <w:b/>
          <w:bCs/>
          <w:i/>
          <w:iCs/>
          <w:sz w:val="22"/>
          <w:szCs w:val="22"/>
        </w:rPr>
        <w:t>TÉR</w:t>
      </w:r>
      <w:r w:rsidRPr="00E13CE5">
        <w:rPr>
          <w:rFonts w:eastAsia="Calibri"/>
          <w:b/>
          <w:bCs/>
          <w:i/>
          <w:iCs/>
          <w:sz w:val="22"/>
          <w:szCs w:val="22"/>
          <w:vertAlign w:val="subscript"/>
        </w:rPr>
        <w:t>TUDOMÁNYOS</w:t>
      </w:r>
      <w:r w:rsidRPr="00E13CE5">
        <w:rPr>
          <w:rFonts w:eastAsia="Calibri"/>
          <w:b/>
          <w:bCs/>
          <w:i/>
          <w:iCs/>
          <w:sz w:val="22"/>
          <w:szCs w:val="22"/>
        </w:rPr>
        <w:t xml:space="preserve"> ELVÁRT MINIMÁLIS PONTSZÁM = 20 pont</w:t>
      </w:r>
    </w:p>
    <w:p w14:paraId="215370CA" w14:textId="77777777" w:rsidR="00FD0545" w:rsidRDefault="00FD0545" w:rsidP="00FD0545">
      <w:pPr>
        <w:jc w:val="both"/>
        <w:rPr>
          <w:rFonts w:eastAsia="Calibri"/>
          <w:sz w:val="22"/>
          <w:szCs w:val="22"/>
        </w:rPr>
      </w:pPr>
      <w:r w:rsidRPr="00E13CE5">
        <w:rPr>
          <w:rFonts w:eastAsia="Calibri"/>
          <w:sz w:val="22"/>
          <w:szCs w:val="22"/>
        </w:rPr>
        <w:t xml:space="preserve">Amennyiben az adott évben a fenti </w:t>
      </w:r>
      <w:proofErr w:type="gramStart"/>
      <w:r w:rsidRPr="00E13CE5">
        <w:rPr>
          <w:rFonts w:eastAsia="Calibri"/>
          <w:sz w:val="22"/>
          <w:szCs w:val="22"/>
        </w:rPr>
        <w:t>minimális</w:t>
      </w:r>
      <w:proofErr w:type="gramEnd"/>
      <w:r w:rsidRPr="00E13CE5">
        <w:rPr>
          <w:rFonts w:eastAsia="Calibri"/>
          <w:sz w:val="22"/>
          <w:szCs w:val="22"/>
        </w:rPr>
        <w:t xml:space="preserve"> mértéket nem éri el az értékelt, a közalkalmazotti minősítés 3.3 szempontja kizárólag „Nem megfelelő” lehet, így az adott időszakban a </w:t>
      </w:r>
      <w:proofErr w:type="spellStart"/>
      <w:r w:rsidRPr="00E13CE5">
        <w:rPr>
          <w:rFonts w:eastAsia="Calibri"/>
          <w:sz w:val="22"/>
          <w:szCs w:val="22"/>
        </w:rPr>
        <w:t>Fkr</w:t>
      </w:r>
      <w:proofErr w:type="spellEnd"/>
      <w:r w:rsidRPr="00E13CE5">
        <w:rPr>
          <w:rFonts w:eastAsia="Calibri"/>
          <w:sz w:val="22"/>
          <w:szCs w:val="22"/>
        </w:rPr>
        <w:t xml:space="preserve"> 51.§ (8) alapján közalkalmazotti minősítése is „alkalmatlan”.</w:t>
      </w:r>
    </w:p>
    <w:p w14:paraId="191AC8A1" w14:textId="77777777" w:rsidR="00FD0545" w:rsidRPr="00E13CE5" w:rsidRDefault="00FD0545" w:rsidP="00FD0545">
      <w:pPr>
        <w:jc w:val="both"/>
        <w:rPr>
          <w:rFonts w:eastAsia="Calibri"/>
          <w:sz w:val="22"/>
          <w:szCs w:val="22"/>
        </w:rPr>
      </w:pPr>
    </w:p>
    <w:p w14:paraId="338F9AC3" w14:textId="77777777" w:rsidR="00FD0545" w:rsidRDefault="00FD0545" w:rsidP="00FD0545">
      <w:pPr>
        <w:rPr>
          <w:b/>
          <w:sz w:val="22"/>
        </w:rPr>
      </w:pPr>
      <w:r w:rsidRPr="004466D8">
        <w:rPr>
          <w:b/>
          <w:sz w:val="22"/>
        </w:rPr>
        <w:t>III. Közéleti tevékenység</w:t>
      </w:r>
    </w:p>
    <w:p w14:paraId="2730EF40" w14:textId="77777777" w:rsidR="00FD0545" w:rsidRPr="004466D8" w:rsidRDefault="00FD0545" w:rsidP="00FD0545">
      <w:pPr>
        <w:ind w:left="708"/>
        <w:rPr>
          <w:b/>
          <w:sz w:val="20"/>
        </w:rPr>
      </w:pPr>
    </w:p>
    <w:p w14:paraId="1B573DDF" w14:textId="77777777" w:rsidR="00FD0545" w:rsidRPr="004466D8" w:rsidRDefault="00FD0545" w:rsidP="00FD0545">
      <w:pPr>
        <w:ind w:left="708"/>
        <w:rPr>
          <w:b/>
          <w:sz w:val="22"/>
        </w:rPr>
      </w:pPr>
      <w:r>
        <w:rPr>
          <w:b/>
          <w:sz w:val="22"/>
        </w:rPr>
        <w:t xml:space="preserve">A) </w:t>
      </w:r>
      <w:r w:rsidRPr="004466D8">
        <w:rPr>
          <w:b/>
          <w:sz w:val="22"/>
        </w:rPr>
        <w:t>Pontszámítás</w:t>
      </w:r>
    </w:p>
    <w:p w14:paraId="7CED62C2" w14:textId="77777777" w:rsidR="00FD0545" w:rsidRPr="004466D8" w:rsidRDefault="00FD0545" w:rsidP="00FD0545">
      <w:pPr>
        <w:ind w:left="708"/>
        <w:rPr>
          <w:b/>
          <w:sz w:val="22"/>
        </w:rPr>
      </w:pPr>
    </w:p>
    <w:p w14:paraId="39F2A902" w14:textId="77777777" w:rsidR="00FD0545" w:rsidRPr="00E13CE5" w:rsidRDefault="00FD0545" w:rsidP="00FD0545">
      <w:pPr>
        <w:rPr>
          <w:rFonts w:eastAsia="Calibri"/>
          <w:sz w:val="22"/>
          <w:szCs w:val="22"/>
        </w:rPr>
      </w:pPr>
      <w:r w:rsidRPr="00E13CE5">
        <w:rPr>
          <w:rFonts w:eastAsia="Calibri"/>
          <w:sz w:val="22"/>
          <w:szCs w:val="22"/>
        </w:rPr>
        <w:t xml:space="preserve">A közéleti tevékenység során ismeri el a Kar a közösségért tett teljesítményeket. Kizárólag mérhető, </w:t>
      </w:r>
      <w:proofErr w:type="gramStart"/>
      <w:r w:rsidRPr="00E13CE5">
        <w:rPr>
          <w:rFonts w:eastAsia="Calibri"/>
          <w:sz w:val="22"/>
          <w:szCs w:val="22"/>
        </w:rPr>
        <w:t>objektív</w:t>
      </w:r>
      <w:proofErr w:type="gramEnd"/>
      <w:r w:rsidRPr="00E13CE5">
        <w:rPr>
          <w:rFonts w:eastAsia="Calibri"/>
          <w:sz w:val="22"/>
          <w:szCs w:val="22"/>
        </w:rPr>
        <w:t xml:space="preserve"> közéleti, közösségi teljesítmény értékelhető az alábbiak szerint részletezett szempontok alapján.</w:t>
      </w:r>
    </w:p>
    <w:p w14:paraId="2D4A875F" w14:textId="77777777" w:rsidR="00FD0545" w:rsidRDefault="00FD0545" w:rsidP="00FD0545">
      <w:pPr>
        <w:ind w:left="1416"/>
        <w:rPr>
          <w:b/>
          <w:sz w:val="22"/>
        </w:rPr>
      </w:pPr>
      <w:r>
        <w:rPr>
          <w:b/>
          <w:sz w:val="22"/>
        </w:rPr>
        <w:t xml:space="preserve">1. </w:t>
      </w:r>
      <w:r w:rsidRPr="004466D8">
        <w:rPr>
          <w:b/>
          <w:sz w:val="22"/>
        </w:rPr>
        <w:t>Marketingtevékenység támogatása (MATE TÉR)</w:t>
      </w:r>
    </w:p>
    <w:p w14:paraId="1F381298" w14:textId="77777777" w:rsidR="00FD0545" w:rsidRPr="004466D8" w:rsidRDefault="00FD0545" w:rsidP="00FD0545">
      <w:pPr>
        <w:ind w:left="1416"/>
        <w:rPr>
          <w:b/>
          <w:sz w:val="22"/>
        </w:rPr>
      </w:pPr>
    </w:p>
    <w:p w14:paraId="452E04D8" w14:textId="77777777" w:rsidR="00FD0545" w:rsidRPr="00E13CE5" w:rsidRDefault="00FD0545" w:rsidP="00FD0545">
      <w:pPr>
        <w:rPr>
          <w:rFonts w:eastAsia="Calibri"/>
          <w:sz w:val="22"/>
          <w:szCs w:val="22"/>
        </w:rPr>
      </w:pPr>
      <w:r w:rsidRPr="00E13CE5">
        <w:rPr>
          <w:rFonts w:eastAsia="Calibri"/>
          <w:sz w:val="22"/>
          <w:szCs w:val="22"/>
        </w:rPr>
        <w:t>A Kar marketingtervében szereplő marketingtevékenységek támogatását az alábbi TÉR pontokkal ismeri el:</w:t>
      </w:r>
    </w:p>
    <w:tbl>
      <w:tblPr>
        <w:tblW w:w="926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658"/>
        <w:gridCol w:w="2611"/>
      </w:tblGrid>
      <w:tr w:rsidR="00FD0545" w:rsidRPr="004466D8" w14:paraId="610D037B" w14:textId="77777777" w:rsidTr="00026782">
        <w:trPr>
          <w:trHeight w:val="227"/>
          <w:jc w:val="center"/>
        </w:trPr>
        <w:tc>
          <w:tcPr>
            <w:tcW w:w="6658" w:type="dxa"/>
            <w:tcBorders>
              <w:top w:val="single" w:sz="4" w:space="0" w:color="FFFFFF"/>
              <w:left w:val="single" w:sz="4" w:space="0" w:color="FFFFFF"/>
              <w:right w:val="nil"/>
            </w:tcBorders>
            <w:shd w:val="clear" w:color="auto" w:fill="EDEDED"/>
            <w:vAlign w:val="center"/>
          </w:tcPr>
          <w:p w14:paraId="117CB215" w14:textId="77777777" w:rsidR="00FD0545" w:rsidRPr="004466D8" w:rsidRDefault="00FD0545" w:rsidP="00026782">
            <w:pPr>
              <w:jc w:val="center"/>
              <w:rPr>
                <w:rFonts w:eastAsia="Calibri"/>
                <w:b/>
                <w:bCs/>
                <w:sz w:val="22"/>
                <w:szCs w:val="22"/>
              </w:rPr>
            </w:pPr>
            <w:r w:rsidRPr="004466D8">
              <w:rPr>
                <w:rFonts w:eastAsia="Calibri"/>
                <w:b/>
                <w:bCs/>
                <w:sz w:val="22"/>
                <w:szCs w:val="22"/>
              </w:rPr>
              <w:t>Tevékenység</w:t>
            </w:r>
          </w:p>
        </w:tc>
        <w:tc>
          <w:tcPr>
            <w:tcW w:w="2611" w:type="dxa"/>
            <w:tcBorders>
              <w:top w:val="single" w:sz="4" w:space="0" w:color="FFFFFF"/>
              <w:left w:val="nil"/>
              <w:right w:val="single" w:sz="4" w:space="0" w:color="FFFFFF"/>
            </w:tcBorders>
            <w:shd w:val="clear" w:color="auto" w:fill="EDEDED"/>
            <w:vAlign w:val="center"/>
          </w:tcPr>
          <w:p w14:paraId="77C87A69" w14:textId="77777777" w:rsidR="00FD0545" w:rsidRPr="004466D8" w:rsidRDefault="00FD0545" w:rsidP="00026782">
            <w:pPr>
              <w:jc w:val="center"/>
              <w:rPr>
                <w:rFonts w:eastAsia="Calibri"/>
                <w:b/>
                <w:bCs/>
                <w:sz w:val="22"/>
                <w:szCs w:val="22"/>
              </w:rPr>
            </w:pPr>
            <w:proofErr w:type="gramStart"/>
            <w:r w:rsidRPr="004466D8">
              <w:rPr>
                <w:rFonts w:eastAsia="Calibri"/>
                <w:b/>
                <w:bCs/>
                <w:sz w:val="22"/>
                <w:szCs w:val="22"/>
              </w:rPr>
              <w:t>Maximálisan</w:t>
            </w:r>
            <w:proofErr w:type="gramEnd"/>
            <w:r w:rsidRPr="004466D8">
              <w:rPr>
                <w:rFonts w:eastAsia="Calibri"/>
                <w:b/>
                <w:bCs/>
                <w:sz w:val="22"/>
                <w:szCs w:val="22"/>
              </w:rPr>
              <w:t xml:space="preserve"> adható MATE TÉR pont</w:t>
            </w:r>
          </w:p>
        </w:tc>
      </w:tr>
      <w:tr w:rsidR="00FD0545" w:rsidRPr="00C376DE" w14:paraId="6C5271B7" w14:textId="77777777" w:rsidTr="00026782">
        <w:trPr>
          <w:trHeight w:val="227"/>
          <w:jc w:val="center"/>
        </w:trPr>
        <w:tc>
          <w:tcPr>
            <w:tcW w:w="6658" w:type="dxa"/>
            <w:shd w:val="clear" w:color="auto" w:fill="EDEDED"/>
            <w:hideMark/>
          </w:tcPr>
          <w:p w14:paraId="4B4B70E8" w14:textId="77777777" w:rsidR="00FD0545" w:rsidRPr="00C376DE" w:rsidRDefault="00FD0545" w:rsidP="00026782">
            <w:pPr>
              <w:rPr>
                <w:rFonts w:eastAsia="Calibri"/>
                <w:color w:val="000000"/>
                <w:sz w:val="22"/>
                <w:szCs w:val="22"/>
              </w:rPr>
            </w:pPr>
            <w:proofErr w:type="gramStart"/>
            <w:r w:rsidRPr="00C376DE">
              <w:rPr>
                <w:rFonts w:eastAsia="Calibri"/>
                <w:color w:val="000000"/>
                <w:sz w:val="22"/>
                <w:szCs w:val="22"/>
              </w:rPr>
              <w:t>Konferencián</w:t>
            </w:r>
            <w:proofErr w:type="gramEnd"/>
            <w:r w:rsidRPr="00C376DE">
              <w:rPr>
                <w:rFonts w:eastAsia="Calibri"/>
                <w:color w:val="000000"/>
                <w:sz w:val="22"/>
                <w:szCs w:val="22"/>
              </w:rPr>
              <w:t xml:space="preserve"> kívüli, egyéb kari rendezvény (pl.: </w:t>
            </w:r>
            <w:proofErr w:type="spellStart"/>
            <w:r w:rsidRPr="00C376DE">
              <w:rPr>
                <w:rFonts w:eastAsia="Calibri"/>
                <w:color w:val="000000"/>
                <w:sz w:val="22"/>
                <w:szCs w:val="22"/>
              </w:rPr>
              <w:t>Kukkants</w:t>
            </w:r>
            <w:proofErr w:type="spellEnd"/>
            <w:r w:rsidRPr="00C376DE">
              <w:rPr>
                <w:rFonts w:eastAsia="Calibri"/>
                <w:color w:val="000000"/>
                <w:sz w:val="22"/>
                <w:szCs w:val="22"/>
              </w:rPr>
              <w:t xml:space="preserve"> Be!, oklevélátadó ünnepség) szervezésében (például hallgatótoborzás) történő részvétel </w:t>
            </w:r>
          </w:p>
        </w:tc>
        <w:tc>
          <w:tcPr>
            <w:tcW w:w="2611" w:type="dxa"/>
            <w:shd w:val="clear" w:color="auto" w:fill="EDEDED"/>
            <w:hideMark/>
          </w:tcPr>
          <w:p w14:paraId="28374B5A"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pont/rendezvény</w:t>
            </w:r>
          </w:p>
        </w:tc>
      </w:tr>
      <w:tr w:rsidR="00FD0545" w:rsidRPr="00C376DE" w14:paraId="7C0A6E5A" w14:textId="77777777" w:rsidTr="00026782">
        <w:trPr>
          <w:trHeight w:val="227"/>
          <w:jc w:val="center"/>
        </w:trPr>
        <w:tc>
          <w:tcPr>
            <w:tcW w:w="6658" w:type="dxa"/>
            <w:shd w:val="clear" w:color="auto" w:fill="EDEDED"/>
          </w:tcPr>
          <w:p w14:paraId="31E17843" w14:textId="77777777" w:rsidR="00FD0545" w:rsidRPr="00C376DE" w:rsidRDefault="00FD0545" w:rsidP="00026782">
            <w:pPr>
              <w:rPr>
                <w:rFonts w:eastAsia="Calibri"/>
                <w:color w:val="000000"/>
                <w:sz w:val="22"/>
                <w:szCs w:val="22"/>
              </w:rPr>
            </w:pPr>
            <w:proofErr w:type="gramStart"/>
            <w:r w:rsidRPr="00C376DE">
              <w:rPr>
                <w:rFonts w:eastAsia="Calibri"/>
                <w:color w:val="000000"/>
                <w:sz w:val="22"/>
                <w:szCs w:val="22"/>
              </w:rPr>
              <w:t>Konferencián</w:t>
            </w:r>
            <w:proofErr w:type="gramEnd"/>
            <w:r w:rsidRPr="00C376DE">
              <w:rPr>
                <w:rFonts w:eastAsia="Calibri"/>
                <w:color w:val="000000"/>
                <w:sz w:val="22"/>
                <w:szCs w:val="22"/>
              </w:rPr>
              <w:t xml:space="preserve"> kívüli, egyéb kari rendezvény lebonyolításában (például orvostechnikai eszköz előkészítése és/vagy hallgató felkészítése a használatra) történő részvétel</w:t>
            </w:r>
          </w:p>
        </w:tc>
        <w:tc>
          <w:tcPr>
            <w:tcW w:w="2611" w:type="dxa"/>
            <w:shd w:val="clear" w:color="auto" w:fill="EDEDED"/>
          </w:tcPr>
          <w:p w14:paraId="31CF62B4"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30 pont/rendezvény</w:t>
            </w:r>
          </w:p>
        </w:tc>
      </w:tr>
      <w:tr w:rsidR="00FD0545" w:rsidRPr="00C376DE" w14:paraId="64D408AA" w14:textId="77777777" w:rsidTr="00026782">
        <w:trPr>
          <w:trHeight w:val="227"/>
          <w:jc w:val="center"/>
        </w:trPr>
        <w:tc>
          <w:tcPr>
            <w:tcW w:w="6658" w:type="dxa"/>
            <w:shd w:val="clear" w:color="auto" w:fill="EDEDED"/>
          </w:tcPr>
          <w:p w14:paraId="3738602B" w14:textId="77777777" w:rsidR="00FD0545" w:rsidRPr="00C376DE" w:rsidRDefault="00FD0545" w:rsidP="00026782">
            <w:pPr>
              <w:rPr>
                <w:rFonts w:eastAsia="Calibri"/>
                <w:color w:val="000000"/>
                <w:sz w:val="22"/>
                <w:szCs w:val="22"/>
              </w:rPr>
            </w:pPr>
            <w:r w:rsidRPr="00C376DE">
              <w:rPr>
                <w:rFonts w:eastAsia="Calibri"/>
                <w:color w:val="000000"/>
                <w:sz w:val="22"/>
                <w:szCs w:val="22"/>
              </w:rPr>
              <w:t>Elsősegélynyújtó ügyelet oktatói koordinációja, részvétel az ellátói oldalon</w:t>
            </w:r>
          </w:p>
        </w:tc>
        <w:tc>
          <w:tcPr>
            <w:tcW w:w="2611" w:type="dxa"/>
            <w:shd w:val="clear" w:color="auto" w:fill="EDEDED"/>
          </w:tcPr>
          <w:p w14:paraId="08CE13A3"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pont/rendezvény</w:t>
            </w:r>
          </w:p>
        </w:tc>
      </w:tr>
      <w:tr w:rsidR="00FD0545" w:rsidRPr="00C376DE" w14:paraId="4216BCB1" w14:textId="77777777" w:rsidTr="00026782">
        <w:trPr>
          <w:trHeight w:val="227"/>
          <w:jc w:val="center"/>
        </w:trPr>
        <w:tc>
          <w:tcPr>
            <w:tcW w:w="6658" w:type="dxa"/>
            <w:shd w:val="clear" w:color="auto" w:fill="EDEDED"/>
          </w:tcPr>
          <w:p w14:paraId="355D414B" w14:textId="77777777" w:rsidR="00FD0545" w:rsidRPr="00C376DE" w:rsidRDefault="00FD0545" w:rsidP="00026782">
            <w:pPr>
              <w:rPr>
                <w:rFonts w:eastAsia="Calibri"/>
                <w:color w:val="000000"/>
                <w:sz w:val="22"/>
                <w:szCs w:val="22"/>
              </w:rPr>
            </w:pPr>
            <w:r w:rsidRPr="00C376DE">
              <w:rPr>
                <w:rFonts w:eastAsia="Calibri"/>
                <w:color w:val="000000"/>
                <w:sz w:val="22"/>
                <w:szCs w:val="22"/>
              </w:rPr>
              <w:t xml:space="preserve">Közreműködés kitelepüléses marketing rendezvény (pl. </w:t>
            </w:r>
            <w:proofErr w:type="spellStart"/>
            <w:r w:rsidRPr="00C376DE">
              <w:rPr>
                <w:rFonts w:eastAsia="Calibri"/>
                <w:color w:val="000000"/>
                <w:sz w:val="22"/>
                <w:szCs w:val="22"/>
              </w:rPr>
              <w:t>Educatio</w:t>
            </w:r>
            <w:proofErr w:type="spellEnd"/>
            <w:r w:rsidRPr="00C376DE">
              <w:rPr>
                <w:rFonts w:eastAsia="Calibri"/>
                <w:color w:val="000000"/>
                <w:sz w:val="22"/>
                <w:szCs w:val="22"/>
              </w:rPr>
              <w:t>) megvalósításában</w:t>
            </w:r>
          </w:p>
        </w:tc>
        <w:tc>
          <w:tcPr>
            <w:tcW w:w="2611" w:type="dxa"/>
            <w:shd w:val="clear" w:color="auto" w:fill="EDEDED"/>
          </w:tcPr>
          <w:p w14:paraId="559EA46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30 pont/rendezvény</w:t>
            </w:r>
          </w:p>
        </w:tc>
      </w:tr>
      <w:tr w:rsidR="00FD0545" w:rsidRPr="00C376DE" w14:paraId="15CA5A9E" w14:textId="77777777" w:rsidTr="00026782">
        <w:trPr>
          <w:trHeight w:val="227"/>
          <w:jc w:val="center"/>
        </w:trPr>
        <w:tc>
          <w:tcPr>
            <w:tcW w:w="6658" w:type="dxa"/>
            <w:shd w:val="clear" w:color="auto" w:fill="EDEDED"/>
            <w:hideMark/>
          </w:tcPr>
          <w:p w14:paraId="7D51BCFF" w14:textId="77777777" w:rsidR="00FD0545" w:rsidRPr="00C376DE" w:rsidRDefault="00FD0545" w:rsidP="00026782">
            <w:pPr>
              <w:rPr>
                <w:rFonts w:eastAsia="Calibri"/>
                <w:color w:val="000000"/>
                <w:sz w:val="22"/>
                <w:szCs w:val="22"/>
              </w:rPr>
            </w:pPr>
            <w:r w:rsidRPr="00C376DE">
              <w:rPr>
                <w:rFonts w:eastAsia="Calibri"/>
                <w:color w:val="000000"/>
                <w:sz w:val="22"/>
                <w:szCs w:val="22"/>
              </w:rPr>
              <w:t>Középiskola látogatás szervezése</w:t>
            </w:r>
          </w:p>
        </w:tc>
        <w:tc>
          <w:tcPr>
            <w:tcW w:w="2611" w:type="dxa"/>
            <w:shd w:val="clear" w:color="auto" w:fill="EDEDED"/>
            <w:hideMark/>
          </w:tcPr>
          <w:p w14:paraId="43CC75A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30 pont</w:t>
            </w:r>
          </w:p>
        </w:tc>
      </w:tr>
      <w:tr w:rsidR="00FD0545" w:rsidRPr="00C376DE" w14:paraId="2607E07D" w14:textId="77777777" w:rsidTr="00026782">
        <w:trPr>
          <w:trHeight w:val="227"/>
          <w:jc w:val="center"/>
        </w:trPr>
        <w:tc>
          <w:tcPr>
            <w:tcW w:w="6658" w:type="dxa"/>
            <w:shd w:val="clear" w:color="auto" w:fill="EDEDED"/>
          </w:tcPr>
          <w:p w14:paraId="0F0315CD" w14:textId="77777777" w:rsidR="00FD0545" w:rsidRPr="00C376DE" w:rsidRDefault="00FD0545" w:rsidP="00026782">
            <w:pPr>
              <w:rPr>
                <w:rFonts w:eastAsia="Calibri"/>
                <w:color w:val="000000"/>
                <w:sz w:val="22"/>
                <w:szCs w:val="22"/>
              </w:rPr>
            </w:pPr>
            <w:r w:rsidRPr="00C376DE">
              <w:rPr>
                <w:rFonts w:eastAsia="Calibri"/>
                <w:color w:val="000000"/>
                <w:sz w:val="22"/>
                <w:szCs w:val="22"/>
              </w:rPr>
              <w:t>Középiskolai előadás tartása a beiskolázási kampány keretében</w:t>
            </w:r>
          </w:p>
        </w:tc>
        <w:tc>
          <w:tcPr>
            <w:tcW w:w="2611" w:type="dxa"/>
            <w:shd w:val="clear" w:color="auto" w:fill="EDEDED"/>
          </w:tcPr>
          <w:p w14:paraId="04680802"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w:t>
            </w:r>
          </w:p>
        </w:tc>
      </w:tr>
      <w:tr w:rsidR="00FD0545" w:rsidRPr="00C376DE" w14:paraId="40E51FBB" w14:textId="77777777" w:rsidTr="00026782">
        <w:trPr>
          <w:trHeight w:val="227"/>
          <w:jc w:val="center"/>
        </w:trPr>
        <w:tc>
          <w:tcPr>
            <w:tcW w:w="6658" w:type="dxa"/>
            <w:shd w:val="clear" w:color="auto" w:fill="EDEDED"/>
            <w:hideMark/>
          </w:tcPr>
          <w:p w14:paraId="173BD1E3" w14:textId="77777777" w:rsidR="00FD0545" w:rsidRPr="00C376DE" w:rsidRDefault="00FD0545" w:rsidP="00026782">
            <w:pPr>
              <w:rPr>
                <w:rFonts w:eastAsia="Calibri"/>
                <w:color w:val="000000"/>
                <w:sz w:val="22"/>
                <w:szCs w:val="22"/>
              </w:rPr>
            </w:pPr>
            <w:r w:rsidRPr="00C376DE">
              <w:rPr>
                <w:rFonts w:eastAsia="Calibri"/>
                <w:color w:val="000000"/>
                <w:sz w:val="22"/>
                <w:szCs w:val="22"/>
              </w:rPr>
              <w:t>Nyílt nap szervezésében/lebonyolításában történő részvétel</w:t>
            </w:r>
          </w:p>
        </w:tc>
        <w:tc>
          <w:tcPr>
            <w:tcW w:w="2611" w:type="dxa"/>
            <w:shd w:val="clear" w:color="auto" w:fill="EDEDED"/>
            <w:hideMark/>
          </w:tcPr>
          <w:p w14:paraId="6CEFA6F6"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w:t>
            </w:r>
          </w:p>
        </w:tc>
      </w:tr>
      <w:tr w:rsidR="00FD0545" w:rsidRPr="00C376DE" w14:paraId="4B340F4E" w14:textId="77777777" w:rsidTr="00026782">
        <w:trPr>
          <w:trHeight w:val="227"/>
          <w:jc w:val="center"/>
        </w:trPr>
        <w:tc>
          <w:tcPr>
            <w:tcW w:w="6658" w:type="dxa"/>
            <w:shd w:val="clear" w:color="auto" w:fill="EDEDED"/>
          </w:tcPr>
          <w:p w14:paraId="30FF2638" w14:textId="77777777" w:rsidR="00FD0545" w:rsidRPr="00C376DE" w:rsidRDefault="00FD0545" w:rsidP="00026782">
            <w:pPr>
              <w:rPr>
                <w:rFonts w:eastAsia="Calibri"/>
                <w:color w:val="000000"/>
                <w:sz w:val="22"/>
                <w:szCs w:val="22"/>
              </w:rPr>
            </w:pPr>
            <w:r w:rsidRPr="00C376DE">
              <w:rPr>
                <w:rFonts w:eastAsia="Calibri"/>
                <w:color w:val="000000"/>
                <w:sz w:val="22"/>
                <w:szCs w:val="22"/>
              </w:rPr>
              <w:t>Nyílt nap során előadás tartása</w:t>
            </w:r>
          </w:p>
        </w:tc>
        <w:tc>
          <w:tcPr>
            <w:tcW w:w="2611" w:type="dxa"/>
            <w:shd w:val="clear" w:color="auto" w:fill="EDEDED"/>
          </w:tcPr>
          <w:p w14:paraId="476A11A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80 pont</w:t>
            </w:r>
          </w:p>
        </w:tc>
      </w:tr>
      <w:tr w:rsidR="00FD0545" w:rsidRPr="00C376DE" w14:paraId="020C9402" w14:textId="77777777" w:rsidTr="00026782">
        <w:trPr>
          <w:trHeight w:val="227"/>
          <w:jc w:val="center"/>
        </w:trPr>
        <w:tc>
          <w:tcPr>
            <w:tcW w:w="6658" w:type="dxa"/>
            <w:shd w:val="clear" w:color="auto" w:fill="EDEDED"/>
          </w:tcPr>
          <w:p w14:paraId="273C02CC" w14:textId="77777777" w:rsidR="00FD0545" w:rsidRPr="00C376DE" w:rsidRDefault="00FD0545" w:rsidP="00026782">
            <w:pPr>
              <w:rPr>
                <w:rFonts w:eastAsia="Calibri"/>
                <w:color w:val="000000"/>
                <w:sz w:val="22"/>
                <w:szCs w:val="22"/>
              </w:rPr>
            </w:pPr>
            <w:r w:rsidRPr="00C376DE">
              <w:rPr>
                <w:rFonts w:eastAsia="Calibri"/>
                <w:color w:val="000000"/>
                <w:sz w:val="22"/>
                <w:szCs w:val="22"/>
              </w:rPr>
              <w:t>Nyílt nap során szakbemutatás (kiscsoportos)</w:t>
            </w:r>
          </w:p>
        </w:tc>
        <w:tc>
          <w:tcPr>
            <w:tcW w:w="2611" w:type="dxa"/>
            <w:shd w:val="clear" w:color="auto" w:fill="EDEDED"/>
          </w:tcPr>
          <w:p w14:paraId="44440F52"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100 pont</w:t>
            </w:r>
          </w:p>
        </w:tc>
      </w:tr>
      <w:tr w:rsidR="00FD0545" w:rsidRPr="00C376DE" w14:paraId="755E14A6" w14:textId="77777777" w:rsidTr="00026782">
        <w:trPr>
          <w:trHeight w:val="227"/>
          <w:jc w:val="center"/>
        </w:trPr>
        <w:tc>
          <w:tcPr>
            <w:tcW w:w="6658" w:type="dxa"/>
            <w:shd w:val="clear" w:color="auto" w:fill="EDEDED"/>
          </w:tcPr>
          <w:p w14:paraId="3796D4B0" w14:textId="77777777" w:rsidR="00FD0545" w:rsidRPr="00C376DE" w:rsidRDefault="00FD0545" w:rsidP="00026782">
            <w:pPr>
              <w:rPr>
                <w:rFonts w:eastAsia="Calibri"/>
                <w:color w:val="000000"/>
                <w:sz w:val="22"/>
                <w:szCs w:val="22"/>
              </w:rPr>
            </w:pPr>
            <w:r w:rsidRPr="00C376DE">
              <w:rPr>
                <w:rFonts w:eastAsia="Calibri"/>
                <w:color w:val="000000"/>
                <w:sz w:val="22"/>
                <w:szCs w:val="22"/>
              </w:rPr>
              <w:lastRenderedPageBreak/>
              <w:t>Kari marketinganyag összeállításában közreműködés</w:t>
            </w:r>
          </w:p>
        </w:tc>
        <w:tc>
          <w:tcPr>
            <w:tcW w:w="2611" w:type="dxa"/>
            <w:shd w:val="clear" w:color="auto" w:fill="EDEDED"/>
          </w:tcPr>
          <w:p w14:paraId="306A341D"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0,05 pont/leütés</w:t>
            </w:r>
          </w:p>
        </w:tc>
      </w:tr>
      <w:tr w:rsidR="00FD0545" w:rsidRPr="00C376DE" w14:paraId="47C656AF" w14:textId="77777777" w:rsidTr="00026782">
        <w:trPr>
          <w:trHeight w:val="227"/>
          <w:jc w:val="center"/>
        </w:trPr>
        <w:tc>
          <w:tcPr>
            <w:tcW w:w="6658" w:type="dxa"/>
            <w:shd w:val="clear" w:color="auto" w:fill="EDEDED"/>
          </w:tcPr>
          <w:p w14:paraId="354B1586" w14:textId="77777777" w:rsidR="00FD0545" w:rsidRPr="00C376DE" w:rsidRDefault="00FD0545" w:rsidP="00026782">
            <w:pPr>
              <w:rPr>
                <w:rFonts w:eastAsia="Calibri"/>
                <w:color w:val="000000"/>
                <w:sz w:val="22"/>
                <w:szCs w:val="22"/>
              </w:rPr>
            </w:pPr>
            <w:r w:rsidRPr="00C376DE">
              <w:rPr>
                <w:rFonts w:eastAsia="Calibri"/>
                <w:color w:val="000000"/>
                <w:sz w:val="22"/>
                <w:szCs w:val="22"/>
              </w:rPr>
              <w:t>Közlés/nyilatkozat kari médiumban (internetes portál, újság)</w:t>
            </w:r>
          </w:p>
        </w:tc>
        <w:tc>
          <w:tcPr>
            <w:tcW w:w="2611" w:type="dxa"/>
            <w:shd w:val="clear" w:color="auto" w:fill="EDEDED"/>
          </w:tcPr>
          <w:p w14:paraId="1C857AD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0,05 pont/leütés</w:t>
            </w:r>
          </w:p>
        </w:tc>
      </w:tr>
      <w:tr w:rsidR="00FD0545" w:rsidRPr="00C376DE" w14:paraId="2BD4CB70" w14:textId="77777777" w:rsidTr="00026782">
        <w:trPr>
          <w:trHeight w:val="227"/>
          <w:jc w:val="center"/>
        </w:trPr>
        <w:tc>
          <w:tcPr>
            <w:tcW w:w="6658" w:type="dxa"/>
            <w:shd w:val="clear" w:color="auto" w:fill="EDEDED"/>
          </w:tcPr>
          <w:p w14:paraId="1EF8437B" w14:textId="77777777" w:rsidR="00FD0545" w:rsidRPr="00C376DE" w:rsidRDefault="00FD0545" w:rsidP="00026782">
            <w:pPr>
              <w:rPr>
                <w:rFonts w:eastAsia="Calibri"/>
                <w:color w:val="000000"/>
                <w:sz w:val="22"/>
                <w:szCs w:val="22"/>
              </w:rPr>
            </w:pPr>
            <w:r w:rsidRPr="00C376DE">
              <w:rPr>
                <w:rFonts w:eastAsia="Calibri"/>
                <w:color w:val="000000"/>
                <w:sz w:val="22"/>
                <w:szCs w:val="22"/>
              </w:rPr>
              <w:t>Közlés/nyilatkozat egyetemi médiumban (internetes portál, újság, TV)</w:t>
            </w:r>
          </w:p>
        </w:tc>
        <w:tc>
          <w:tcPr>
            <w:tcW w:w="2611" w:type="dxa"/>
            <w:shd w:val="clear" w:color="auto" w:fill="EDEDED"/>
          </w:tcPr>
          <w:p w14:paraId="3541793C"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0,08 pont/leütés</w:t>
            </w:r>
          </w:p>
        </w:tc>
      </w:tr>
      <w:tr w:rsidR="00FD0545" w:rsidRPr="00C376DE" w14:paraId="4B377EDE" w14:textId="77777777" w:rsidTr="00026782">
        <w:trPr>
          <w:trHeight w:val="227"/>
          <w:jc w:val="center"/>
        </w:trPr>
        <w:tc>
          <w:tcPr>
            <w:tcW w:w="6658" w:type="dxa"/>
            <w:shd w:val="clear" w:color="auto" w:fill="EDEDED"/>
          </w:tcPr>
          <w:p w14:paraId="1D8D5CF5" w14:textId="77777777" w:rsidR="00FD0545" w:rsidRPr="00C376DE" w:rsidRDefault="00FD0545" w:rsidP="00026782">
            <w:pPr>
              <w:rPr>
                <w:rFonts w:eastAsia="Calibri"/>
                <w:color w:val="000000"/>
                <w:sz w:val="22"/>
                <w:szCs w:val="22"/>
              </w:rPr>
            </w:pPr>
            <w:r w:rsidRPr="00C376DE">
              <w:rPr>
                <w:rFonts w:eastAsia="Calibri"/>
                <w:color w:val="000000"/>
                <w:sz w:val="22"/>
                <w:szCs w:val="22"/>
              </w:rPr>
              <w:t>Közlés/nyilatkozat egyetemen kívüli médiumban (internetes portál, újság, rádió, TV)</w:t>
            </w:r>
          </w:p>
        </w:tc>
        <w:tc>
          <w:tcPr>
            <w:tcW w:w="2611" w:type="dxa"/>
            <w:shd w:val="clear" w:color="auto" w:fill="EDEDED"/>
          </w:tcPr>
          <w:p w14:paraId="5333F19A" w14:textId="77777777" w:rsidR="00FD0545" w:rsidRPr="00C376DE" w:rsidRDefault="00FD0545" w:rsidP="00026782">
            <w:pPr>
              <w:rPr>
                <w:rFonts w:eastAsia="Calibri"/>
                <w:color w:val="000000"/>
                <w:sz w:val="22"/>
                <w:szCs w:val="22"/>
              </w:rPr>
            </w:pPr>
            <w:r w:rsidRPr="00C376DE">
              <w:rPr>
                <w:rFonts w:eastAsia="Calibri"/>
                <w:color w:val="000000"/>
                <w:sz w:val="22"/>
                <w:szCs w:val="22"/>
              </w:rPr>
              <w:t>Regionális: 0,1 pont/ leütés, amennyiben ebben nem mérhető 50 pont (kizárólag akkor kapható, amennyiben az Egyetem és a Kar neve megjelenik)</w:t>
            </w:r>
          </w:p>
          <w:p w14:paraId="0AC88F8B" w14:textId="77777777" w:rsidR="00FD0545" w:rsidRPr="00C376DE" w:rsidRDefault="00FD0545" w:rsidP="00026782">
            <w:pPr>
              <w:rPr>
                <w:rFonts w:eastAsia="Calibri"/>
                <w:color w:val="000000"/>
                <w:sz w:val="22"/>
                <w:szCs w:val="22"/>
              </w:rPr>
            </w:pPr>
            <w:r w:rsidRPr="00C376DE">
              <w:rPr>
                <w:rFonts w:eastAsia="Calibri"/>
                <w:color w:val="000000"/>
                <w:sz w:val="22"/>
                <w:szCs w:val="22"/>
              </w:rPr>
              <w:t>Országos: 0,15 pont/ leütés, amennyiben ebben nem mérhető 75 pont (kizárólag akkor kapható, amennyiben az Egyetem és a Kar neve megjelenik)</w:t>
            </w:r>
          </w:p>
        </w:tc>
      </w:tr>
    </w:tbl>
    <w:p w14:paraId="2B0AED68" w14:textId="77777777" w:rsidR="00FD0545" w:rsidRDefault="00FD0545" w:rsidP="00FD0545">
      <w:pPr>
        <w:spacing w:before="160"/>
        <w:jc w:val="both"/>
        <w:rPr>
          <w:rFonts w:eastAsia="Calibri"/>
          <w:sz w:val="22"/>
          <w:szCs w:val="22"/>
        </w:rPr>
      </w:pPr>
      <w:r w:rsidRPr="00E13CE5">
        <w:rPr>
          <w:rFonts w:eastAsia="Calibri"/>
          <w:sz w:val="22"/>
          <w:szCs w:val="22"/>
        </w:rPr>
        <w:t>A fent feltüntetett pontok odaítéléséről a Kar marketing és szolgáltatási vezetője dönt az elvégzett munka alapján. A feltüntetett TÉR pontok maximum pontok, annál kevesebb pont is adható. A pontdifferenciálás elsődleges tényezői a rendezvény, illetve a szükséges felkészülési idő hossza, továbbá a résztvevői létszám. Az értékelés alapjául szolgáló adatok forrása, az adatnyerés módja:</w:t>
      </w:r>
    </w:p>
    <w:p w14:paraId="5D4271B1" w14:textId="77777777" w:rsidR="00FD0545" w:rsidRDefault="00FD0545" w:rsidP="00FD0545">
      <w:pPr>
        <w:spacing w:before="160"/>
        <w:jc w:val="both"/>
        <w:rPr>
          <w:rFonts w:eastAsia="Calibri"/>
          <w:sz w:val="22"/>
          <w:szCs w:val="22"/>
        </w:rPr>
      </w:pPr>
    </w:p>
    <w:p w14:paraId="59107502" w14:textId="77777777" w:rsidR="00FD0545" w:rsidRPr="00E13CE5" w:rsidRDefault="00FD0545" w:rsidP="00FD0545">
      <w:pPr>
        <w:spacing w:before="160"/>
        <w:jc w:val="both"/>
        <w:rPr>
          <w:rFonts w:eastAsia="Calibri"/>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67BC6297" w14:textId="77777777" w:rsidTr="00026782">
        <w:tc>
          <w:tcPr>
            <w:tcW w:w="1980" w:type="dxa"/>
            <w:shd w:val="clear" w:color="auto" w:fill="F2F2F2"/>
          </w:tcPr>
          <w:p w14:paraId="6765A22B"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410B40A9" w14:textId="77777777" w:rsidR="00FD0545" w:rsidRPr="00C376DE" w:rsidRDefault="00FD0545" w:rsidP="00026782">
            <w:pPr>
              <w:rPr>
                <w:rFonts w:eastAsia="Calibri"/>
                <w:b/>
                <w:bCs/>
                <w:sz w:val="22"/>
                <w:szCs w:val="22"/>
              </w:rPr>
            </w:pPr>
            <w:r w:rsidRPr="00C376DE">
              <w:rPr>
                <w:rFonts w:eastAsia="Calibri"/>
                <w:b/>
                <w:bCs/>
                <w:sz w:val="22"/>
                <w:szCs w:val="22"/>
              </w:rPr>
              <w:t xml:space="preserve">Értékelt oktatókként a differenciált pont és az alapjául szolgáló tevékenység jelentése </w:t>
            </w:r>
          </w:p>
        </w:tc>
      </w:tr>
      <w:tr w:rsidR="00FD0545" w:rsidRPr="00C376DE" w14:paraId="1651C0FB" w14:textId="77777777" w:rsidTr="00026782">
        <w:tc>
          <w:tcPr>
            <w:tcW w:w="1980" w:type="dxa"/>
            <w:shd w:val="clear" w:color="auto" w:fill="F2F2F2"/>
          </w:tcPr>
          <w:p w14:paraId="411F3AD5"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620E082" w14:textId="77777777" w:rsidR="00FD0545" w:rsidRPr="00C376DE" w:rsidRDefault="00FD0545" w:rsidP="00026782">
            <w:pPr>
              <w:rPr>
                <w:rFonts w:eastAsia="Calibri"/>
                <w:b/>
                <w:bCs/>
                <w:sz w:val="22"/>
                <w:szCs w:val="22"/>
              </w:rPr>
            </w:pPr>
            <w:r w:rsidRPr="00C376DE">
              <w:rPr>
                <w:rFonts w:eastAsia="Calibri"/>
                <w:b/>
                <w:bCs/>
                <w:sz w:val="22"/>
                <w:szCs w:val="22"/>
              </w:rPr>
              <w:t>Marketing és rendezvényszervezési TÉR jelentés (J/7. melléklet)</w:t>
            </w:r>
          </w:p>
        </w:tc>
      </w:tr>
      <w:tr w:rsidR="00FD0545" w:rsidRPr="00C376DE" w14:paraId="30A3DD2C" w14:textId="77777777" w:rsidTr="00026782">
        <w:tc>
          <w:tcPr>
            <w:tcW w:w="1980" w:type="dxa"/>
            <w:shd w:val="clear" w:color="auto" w:fill="F2F2F2"/>
          </w:tcPr>
          <w:p w14:paraId="59652A49"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91408D7" w14:textId="77777777" w:rsidR="00FD0545" w:rsidRPr="00C376DE" w:rsidRDefault="00FD0545" w:rsidP="00026782">
            <w:pPr>
              <w:rPr>
                <w:rFonts w:eastAsia="Calibri"/>
                <w:b/>
                <w:bCs/>
                <w:sz w:val="22"/>
                <w:szCs w:val="22"/>
              </w:rPr>
            </w:pPr>
            <w:r w:rsidRPr="00C376DE">
              <w:rPr>
                <w:rFonts w:eastAsia="Calibri"/>
                <w:b/>
                <w:bCs/>
                <w:sz w:val="22"/>
                <w:szCs w:val="22"/>
              </w:rPr>
              <w:t>Marketing és szolgáltatási vezető</w:t>
            </w:r>
          </w:p>
        </w:tc>
      </w:tr>
    </w:tbl>
    <w:p w14:paraId="1968BC40" w14:textId="77777777" w:rsidR="00FD0545" w:rsidRDefault="00FD0545" w:rsidP="00FD0545">
      <w:pPr>
        <w:ind w:left="1416"/>
        <w:rPr>
          <w:b/>
          <w:sz w:val="22"/>
        </w:rPr>
      </w:pPr>
    </w:p>
    <w:p w14:paraId="620A9FDE" w14:textId="77777777" w:rsidR="00FD0545" w:rsidRDefault="00FD0545" w:rsidP="00FD0545">
      <w:pPr>
        <w:ind w:left="1416"/>
        <w:rPr>
          <w:b/>
          <w:sz w:val="22"/>
        </w:rPr>
      </w:pPr>
      <w:r>
        <w:rPr>
          <w:b/>
          <w:sz w:val="22"/>
        </w:rPr>
        <w:t xml:space="preserve">2. </w:t>
      </w:r>
      <w:r w:rsidRPr="004466D8">
        <w:rPr>
          <w:b/>
          <w:sz w:val="22"/>
        </w:rPr>
        <w:t>Rendezvényszervezési tevékenység (RSZ TÉR)</w:t>
      </w:r>
    </w:p>
    <w:p w14:paraId="4CA3DF77" w14:textId="77777777" w:rsidR="00FD0545" w:rsidRPr="004466D8" w:rsidRDefault="00FD0545" w:rsidP="00FD0545">
      <w:pPr>
        <w:ind w:left="1416"/>
        <w:rPr>
          <w:b/>
          <w:sz w:val="22"/>
        </w:rPr>
      </w:pPr>
    </w:p>
    <w:p w14:paraId="45C0AD93" w14:textId="77777777" w:rsidR="00FD0545" w:rsidRPr="00E13CE5" w:rsidRDefault="00FD0545" w:rsidP="00FD0545">
      <w:pPr>
        <w:jc w:val="both"/>
        <w:rPr>
          <w:rFonts w:eastAsia="Calibri"/>
          <w:sz w:val="22"/>
          <w:szCs w:val="22"/>
        </w:rPr>
      </w:pPr>
      <w:r w:rsidRPr="00E13CE5">
        <w:rPr>
          <w:rFonts w:eastAsia="Calibri"/>
          <w:sz w:val="22"/>
          <w:szCs w:val="22"/>
        </w:rPr>
        <w:t xml:space="preserve">A Kar, a marketingtevékenységen kívüli rendezvényszervezési feladatok ellátását (például kari vagy intézeti szervezésű </w:t>
      </w:r>
      <w:proofErr w:type="gramStart"/>
      <w:r w:rsidRPr="00E13CE5">
        <w:rPr>
          <w:rFonts w:eastAsia="Calibri"/>
          <w:sz w:val="22"/>
          <w:szCs w:val="22"/>
        </w:rPr>
        <w:t>konferencia</w:t>
      </w:r>
      <w:proofErr w:type="gramEnd"/>
      <w:r w:rsidRPr="00E13CE5">
        <w:rPr>
          <w:rFonts w:eastAsia="Calibri"/>
          <w:sz w:val="22"/>
          <w:szCs w:val="22"/>
        </w:rPr>
        <w:t>, tudományos ülés, tudománynépszerűsítési esemény, közösségi esemény), ideértve a karhoz kapcsolódó sportrendezvények megvalósításában történő közreműködést, a következők szerint ismeri el TÉR ponttal:</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966"/>
        <w:gridCol w:w="2835"/>
      </w:tblGrid>
      <w:tr w:rsidR="00FD0545" w:rsidRPr="004466D8" w14:paraId="1501F9CA" w14:textId="77777777" w:rsidTr="00026782">
        <w:trPr>
          <w:tblHeader/>
          <w:jc w:val="center"/>
        </w:trPr>
        <w:tc>
          <w:tcPr>
            <w:tcW w:w="4966" w:type="dxa"/>
            <w:tcBorders>
              <w:top w:val="single" w:sz="4" w:space="0" w:color="FFFFFF"/>
              <w:left w:val="single" w:sz="4" w:space="0" w:color="FFFFFF"/>
              <w:right w:val="nil"/>
            </w:tcBorders>
            <w:shd w:val="clear" w:color="auto" w:fill="EDEDED"/>
          </w:tcPr>
          <w:p w14:paraId="0BCFB5F9" w14:textId="77777777" w:rsidR="00FD0545" w:rsidRPr="004466D8" w:rsidRDefault="00FD0545" w:rsidP="00026782">
            <w:pPr>
              <w:jc w:val="center"/>
              <w:rPr>
                <w:rFonts w:eastAsia="Calibri"/>
                <w:b/>
                <w:bCs/>
                <w:sz w:val="22"/>
                <w:szCs w:val="22"/>
              </w:rPr>
            </w:pPr>
            <w:r w:rsidRPr="004466D8">
              <w:rPr>
                <w:rFonts w:eastAsia="Calibri"/>
                <w:b/>
                <w:bCs/>
                <w:sz w:val="22"/>
                <w:szCs w:val="22"/>
              </w:rPr>
              <w:t>Tevékenység</w:t>
            </w:r>
          </w:p>
        </w:tc>
        <w:tc>
          <w:tcPr>
            <w:tcW w:w="2835" w:type="dxa"/>
            <w:tcBorders>
              <w:top w:val="single" w:sz="4" w:space="0" w:color="FFFFFF"/>
              <w:left w:val="nil"/>
              <w:right w:val="single" w:sz="4" w:space="0" w:color="FFFFFF"/>
            </w:tcBorders>
            <w:shd w:val="clear" w:color="auto" w:fill="EDEDED"/>
          </w:tcPr>
          <w:p w14:paraId="3A84D591" w14:textId="77777777" w:rsidR="00FD0545" w:rsidRPr="004466D8" w:rsidRDefault="00FD0545" w:rsidP="00026782">
            <w:pPr>
              <w:jc w:val="center"/>
              <w:rPr>
                <w:rFonts w:eastAsia="Calibri"/>
                <w:b/>
                <w:bCs/>
                <w:sz w:val="22"/>
                <w:szCs w:val="22"/>
              </w:rPr>
            </w:pPr>
            <w:r w:rsidRPr="004466D8">
              <w:rPr>
                <w:rFonts w:eastAsia="Calibri"/>
                <w:b/>
                <w:bCs/>
                <w:sz w:val="22"/>
                <w:szCs w:val="22"/>
              </w:rPr>
              <w:t>RSZ TÉR pont</w:t>
            </w:r>
          </w:p>
        </w:tc>
      </w:tr>
      <w:tr w:rsidR="00FD0545" w:rsidRPr="00C376DE" w14:paraId="5D05CF7F" w14:textId="77777777" w:rsidTr="00026782">
        <w:trPr>
          <w:jc w:val="center"/>
        </w:trPr>
        <w:tc>
          <w:tcPr>
            <w:tcW w:w="4966" w:type="dxa"/>
            <w:shd w:val="clear" w:color="auto" w:fill="EDEDED"/>
          </w:tcPr>
          <w:p w14:paraId="07D87342" w14:textId="77777777" w:rsidR="00FD0545" w:rsidRPr="00C376DE" w:rsidRDefault="00FD0545" w:rsidP="00026782">
            <w:pPr>
              <w:rPr>
                <w:rFonts w:eastAsia="Calibri"/>
                <w:sz w:val="22"/>
                <w:szCs w:val="22"/>
              </w:rPr>
            </w:pPr>
            <w:r w:rsidRPr="00C376DE">
              <w:rPr>
                <w:rFonts w:eastAsia="Calibri"/>
                <w:sz w:val="22"/>
                <w:szCs w:val="22"/>
              </w:rPr>
              <w:t>Szervezés</w:t>
            </w:r>
          </w:p>
        </w:tc>
        <w:tc>
          <w:tcPr>
            <w:tcW w:w="2835" w:type="dxa"/>
            <w:shd w:val="clear" w:color="auto" w:fill="EDEDED"/>
          </w:tcPr>
          <w:p w14:paraId="15CA5949" w14:textId="77777777" w:rsidR="00FD0545" w:rsidRPr="00C376DE" w:rsidRDefault="00FD0545" w:rsidP="00026782">
            <w:pPr>
              <w:jc w:val="center"/>
              <w:rPr>
                <w:rFonts w:eastAsia="Calibri"/>
                <w:sz w:val="22"/>
                <w:szCs w:val="22"/>
              </w:rPr>
            </w:pPr>
            <w:r w:rsidRPr="00C376DE">
              <w:rPr>
                <w:rFonts w:eastAsia="Calibri"/>
                <w:sz w:val="22"/>
                <w:szCs w:val="22"/>
              </w:rPr>
              <w:t>Hazai: 75 pont</w:t>
            </w:r>
          </w:p>
          <w:p w14:paraId="0ED002BD" w14:textId="77777777" w:rsidR="00FD0545" w:rsidRPr="00C376DE" w:rsidRDefault="00FD0545" w:rsidP="00026782">
            <w:pPr>
              <w:jc w:val="center"/>
              <w:rPr>
                <w:rFonts w:eastAsia="Calibri"/>
                <w:sz w:val="22"/>
                <w:szCs w:val="22"/>
              </w:rPr>
            </w:pPr>
            <w:r w:rsidRPr="00C376DE">
              <w:rPr>
                <w:rFonts w:eastAsia="Calibri"/>
                <w:sz w:val="22"/>
                <w:szCs w:val="22"/>
              </w:rPr>
              <w:t>Nemzetközi: 150 pont</w:t>
            </w:r>
          </w:p>
        </w:tc>
      </w:tr>
      <w:tr w:rsidR="00FD0545" w:rsidRPr="00C376DE" w14:paraId="0F00B6FF" w14:textId="77777777" w:rsidTr="00026782">
        <w:trPr>
          <w:jc w:val="center"/>
        </w:trPr>
        <w:tc>
          <w:tcPr>
            <w:tcW w:w="4966" w:type="dxa"/>
            <w:shd w:val="clear" w:color="auto" w:fill="EDEDED"/>
          </w:tcPr>
          <w:p w14:paraId="42F615E0" w14:textId="77777777" w:rsidR="00FD0545" w:rsidRPr="00C376DE" w:rsidRDefault="00FD0545" w:rsidP="00026782">
            <w:pPr>
              <w:rPr>
                <w:rFonts w:eastAsia="Calibri"/>
                <w:sz w:val="22"/>
                <w:szCs w:val="22"/>
              </w:rPr>
            </w:pPr>
            <w:r w:rsidRPr="00C376DE">
              <w:rPr>
                <w:rFonts w:eastAsia="Calibri"/>
                <w:sz w:val="22"/>
                <w:szCs w:val="22"/>
              </w:rPr>
              <w:t xml:space="preserve">Közreműködés a lebonyolításban (moderátor, hosztesz, fényképész, informatikai segítő stb.) </w:t>
            </w:r>
          </w:p>
        </w:tc>
        <w:tc>
          <w:tcPr>
            <w:tcW w:w="2835" w:type="dxa"/>
            <w:shd w:val="clear" w:color="auto" w:fill="EDEDED"/>
          </w:tcPr>
          <w:p w14:paraId="75B20AF0" w14:textId="77777777" w:rsidR="00FD0545" w:rsidRPr="00C376DE" w:rsidRDefault="00FD0545" w:rsidP="00026782">
            <w:pPr>
              <w:jc w:val="center"/>
              <w:rPr>
                <w:rFonts w:eastAsia="Calibri"/>
                <w:sz w:val="22"/>
                <w:szCs w:val="22"/>
              </w:rPr>
            </w:pPr>
            <w:r w:rsidRPr="00C376DE">
              <w:rPr>
                <w:rFonts w:eastAsia="Calibri"/>
                <w:sz w:val="22"/>
                <w:szCs w:val="22"/>
              </w:rPr>
              <w:t>Hazai: 25 pont</w:t>
            </w:r>
          </w:p>
          <w:p w14:paraId="4A5A8DDA" w14:textId="77777777" w:rsidR="00FD0545" w:rsidRPr="00C376DE" w:rsidRDefault="00FD0545" w:rsidP="00026782">
            <w:pPr>
              <w:jc w:val="center"/>
              <w:rPr>
                <w:rFonts w:eastAsia="Calibri"/>
                <w:sz w:val="22"/>
                <w:szCs w:val="22"/>
              </w:rPr>
            </w:pPr>
            <w:r w:rsidRPr="00C376DE">
              <w:rPr>
                <w:rFonts w:eastAsia="Calibri"/>
                <w:sz w:val="22"/>
                <w:szCs w:val="22"/>
              </w:rPr>
              <w:t>Nemzetközi: 50 pont</w:t>
            </w:r>
          </w:p>
        </w:tc>
      </w:tr>
      <w:tr w:rsidR="00FD0545" w:rsidRPr="00C376DE" w14:paraId="5AF5FE5C" w14:textId="77777777" w:rsidTr="00026782">
        <w:trPr>
          <w:jc w:val="center"/>
        </w:trPr>
        <w:tc>
          <w:tcPr>
            <w:tcW w:w="4966" w:type="dxa"/>
            <w:shd w:val="clear" w:color="auto" w:fill="EDEDED"/>
          </w:tcPr>
          <w:p w14:paraId="2978FD1A" w14:textId="77777777" w:rsidR="00FD0545" w:rsidRPr="00C376DE" w:rsidRDefault="00FD0545" w:rsidP="00026782">
            <w:pPr>
              <w:rPr>
                <w:rFonts w:eastAsia="Calibri"/>
                <w:sz w:val="22"/>
                <w:szCs w:val="22"/>
              </w:rPr>
            </w:pPr>
            <w:r w:rsidRPr="00C376DE">
              <w:rPr>
                <w:rFonts w:eastAsia="Calibri"/>
                <w:sz w:val="22"/>
                <w:szCs w:val="22"/>
              </w:rPr>
              <w:t xml:space="preserve">Közreműködés az előkészítésben (honlap és </w:t>
            </w:r>
            <w:proofErr w:type="spellStart"/>
            <w:r w:rsidRPr="00C376DE">
              <w:rPr>
                <w:rFonts w:eastAsia="Calibri"/>
                <w:sz w:val="22"/>
                <w:szCs w:val="22"/>
              </w:rPr>
              <w:t>facebook</w:t>
            </w:r>
            <w:proofErr w:type="spellEnd"/>
            <w:r w:rsidRPr="00C376DE">
              <w:rPr>
                <w:rFonts w:eastAsia="Calibri"/>
                <w:sz w:val="22"/>
                <w:szCs w:val="22"/>
              </w:rPr>
              <w:t xml:space="preserve"> eseményprofil gondozása, kiadványszerkesztés, kitűzőnyomtatás, ajándékcsomag összekészítés, </w:t>
            </w:r>
            <w:proofErr w:type="spellStart"/>
            <w:r w:rsidRPr="00C376DE">
              <w:rPr>
                <w:rFonts w:eastAsia="Calibri"/>
                <w:sz w:val="22"/>
                <w:szCs w:val="22"/>
              </w:rPr>
              <w:t>stb</w:t>
            </w:r>
            <w:proofErr w:type="spellEnd"/>
            <w:r w:rsidRPr="00C376DE">
              <w:rPr>
                <w:rFonts w:eastAsia="Calibri"/>
                <w:sz w:val="22"/>
                <w:szCs w:val="22"/>
              </w:rPr>
              <w:t>).</w:t>
            </w:r>
          </w:p>
        </w:tc>
        <w:tc>
          <w:tcPr>
            <w:tcW w:w="2835" w:type="dxa"/>
            <w:shd w:val="clear" w:color="auto" w:fill="EDEDED"/>
          </w:tcPr>
          <w:p w14:paraId="21928538" w14:textId="77777777" w:rsidR="00FD0545" w:rsidRPr="00C376DE" w:rsidRDefault="00FD0545" w:rsidP="00026782">
            <w:pPr>
              <w:jc w:val="center"/>
              <w:rPr>
                <w:rFonts w:eastAsia="Calibri"/>
                <w:sz w:val="22"/>
                <w:szCs w:val="22"/>
              </w:rPr>
            </w:pPr>
            <w:r w:rsidRPr="00C376DE">
              <w:rPr>
                <w:rFonts w:eastAsia="Calibri"/>
                <w:sz w:val="22"/>
                <w:szCs w:val="22"/>
              </w:rPr>
              <w:t>Hazai: 20 pont</w:t>
            </w:r>
          </w:p>
          <w:p w14:paraId="0D0D86B8" w14:textId="77777777" w:rsidR="00FD0545" w:rsidRPr="00C376DE" w:rsidRDefault="00FD0545" w:rsidP="00026782">
            <w:pPr>
              <w:jc w:val="center"/>
              <w:rPr>
                <w:rFonts w:eastAsia="Calibri"/>
                <w:sz w:val="22"/>
                <w:szCs w:val="22"/>
              </w:rPr>
            </w:pPr>
            <w:r w:rsidRPr="00C376DE">
              <w:rPr>
                <w:rFonts w:eastAsia="Calibri"/>
                <w:sz w:val="22"/>
                <w:szCs w:val="22"/>
              </w:rPr>
              <w:t>Nemzetközi: 40 pont</w:t>
            </w:r>
          </w:p>
        </w:tc>
      </w:tr>
    </w:tbl>
    <w:p w14:paraId="2A2BEE22" w14:textId="77777777" w:rsidR="00FD0545" w:rsidRPr="00E13CE5" w:rsidRDefault="00FD0545" w:rsidP="00FD0545">
      <w:pPr>
        <w:spacing w:before="160"/>
        <w:jc w:val="both"/>
        <w:rPr>
          <w:rFonts w:eastAsia="Calibri"/>
          <w:sz w:val="22"/>
          <w:szCs w:val="22"/>
        </w:rPr>
      </w:pPr>
      <w:r w:rsidRPr="00E13CE5">
        <w:rPr>
          <w:rFonts w:eastAsia="Calibri"/>
          <w:sz w:val="22"/>
          <w:szCs w:val="22"/>
        </w:rPr>
        <w:t>A szervező a rendezvényt a marketing és szolgáltatási vezető részére bejelenti, majd a megvalósítást követően, a TÉR értékelési időszakban nyilatkozik az odaítélt TÉR pontokról. Ezeket a marketing és szolgáltatási vezető összesítve továbbítja a TÉR jelentésben. Előzetesen be nem jelentett rendezvényért TÉR pont nem adható! 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33DE7F3D" w14:textId="77777777" w:rsidTr="00026782">
        <w:tc>
          <w:tcPr>
            <w:tcW w:w="1980" w:type="dxa"/>
            <w:shd w:val="clear" w:color="auto" w:fill="F2F2F2"/>
          </w:tcPr>
          <w:p w14:paraId="725B589A"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5630C60" w14:textId="77777777" w:rsidR="00FD0545" w:rsidRPr="00C376DE" w:rsidRDefault="00FD0545" w:rsidP="00026782">
            <w:pPr>
              <w:rPr>
                <w:rFonts w:eastAsia="Calibri"/>
                <w:b/>
                <w:bCs/>
                <w:sz w:val="22"/>
                <w:szCs w:val="22"/>
              </w:rPr>
            </w:pPr>
            <w:r w:rsidRPr="00C376DE">
              <w:rPr>
                <w:rFonts w:eastAsia="Calibri"/>
                <w:b/>
                <w:bCs/>
                <w:sz w:val="22"/>
                <w:szCs w:val="22"/>
              </w:rPr>
              <w:t xml:space="preserve">A szervezők által odaítélt, értékelt oktatónként a pontot és az alapjául szolgáló tevékenységet tartalmazó összesítő jelentés </w:t>
            </w:r>
          </w:p>
        </w:tc>
      </w:tr>
      <w:tr w:rsidR="00FD0545" w:rsidRPr="00C376DE" w14:paraId="524FAA4F" w14:textId="77777777" w:rsidTr="00026782">
        <w:tc>
          <w:tcPr>
            <w:tcW w:w="1980" w:type="dxa"/>
            <w:shd w:val="clear" w:color="auto" w:fill="F2F2F2"/>
          </w:tcPr>
          <w:p w14:paraId="79C4221F"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745DECBB" w14:textId="77777777" w:rsidR="00FD0545" w:rsidRPr="00C376DE" w:rsidRDefault="00FD0545" w:rsidP="00026782">
            <w:pPr>
              <w:rPr>
                <w:rFonts w:eastAsia="Calibri"/>
                <w:b/>
                <w:bCs/>
                <w:sz w:val="22"/>
                <w:szCs w:val="22"/>
              </w:rPr>
            </w:pPr>
            <w:r w:rsidRPr="00C376DE">
              <w:rPr>
                <w:rFonts w:eastAsia="Calibri"/>
                <w:b/>
                <w:bCs/>
                <w:sz w:val="22"/>
                <w:szCs w:val="22"/>
              </w:rPr>
              <w:t>Marketing és rendezvényszervezési TÉR jelentés (J/7. melléklet)</w:t>
            </w:r>
          </w:p>
        </w:tc>
      </w:tr>
      <w:tr w:rsidR="00FD0545" w:rsidRPr="00C376DE" w14:paraId="3DBB27B2" w14:textId="77777777" w:rsidTr="00026782">
        <w:tc>
          <w:tcPr>
            <w:tcW w:w="1980" w:type="dxa"/>
            <w:shd w:val="clear" w:color="auto" w:fill="F2F2F2"/>
          </w:tcPr>
          <w:p w14:paraId="5545739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47027FE" w14:textId="77777777" w:rsidR="00FD0545" w:rsidRPr="00C376DE" w:rsidRDefault="00FD0545" w:rsidP="00026782">
            <w:pPr>
              <w:rPr>
                <w:rFonts w:eastAsia="Calibri"/>
                <w:b/>
                <w:bCs/>
                <w:sz w:val="22"/>
                <w:szCs w:val="22"/>
              </w:rPr>
            </w:pPr>
            <w:r w:rsidRPr="00C376DE">
              <w:rPr>
                <w:rFonts w:eastAsia="Calibri"/>
                <w:b/>
                <w:bCs/>
                <w:sz w:val="22"/>
                <w:szCs w:val="22"/>
              </w:rPr>
              <w:t>Marketing és szolgáltatási vezető</w:t>
            </w:r>
          </w:p>
        </w:tc>
      </w:tr>
    </w:tbl>
    <w:p w14:paraId="4FEEAB22" w14:textId="77777777" w:rsidR="00FD0545" w:rsidRDefault="00FD0545" w:rsidP="00FD0545">
      <w:pPr>
        <w:ind w:left="1416"/>
        <w:rPr>
          <w:b/>
          <w:sz w:val="22"/>
        </w:rPr>
      </w:pPr>
    </w:p>
    <w:p w14:paraId="12281E88" w14:textId="77777777" w:rsidR="00FD0545" w:rsidRDefault="00FD0545" w:rsidP="00FD0545">
      <w:pPr>
        <w:ind w:left="1416"/>
        <w:rPr>
          <w:b/>
          <w:sz w:val="22"/>
        </w:rPr>
      </w:pPr>
      <w:r w:rsidRPr="004466D8">
        <w:rPr>
          <w:b/>
          <w:sz w:val="22"/>
        </w:rPr>
        <w:t xml:space="preserve">3. Testületi tagság, </w:t>
      </w:r>
      <w:proofErr w:type="gramStart"/>
      <w:r w:rsidRPr="004466D8">
        <w:rPr>
          <w:b/>
          <w:sz w:val="22"/>
        </w:rPr>
        <w:t>funkciók</w:t>
      </w:r>
      <w:proofErr w:type="gramEnd"/>
      <w:r w:rsidRPr="004466D8">
        <w:rPr>
          <w:b/>
          <w:sz w:val="22"/>
        </w:rPr>
        <w:t xml:space="preserve"> (TTF TÉR)</w:t>
      </w:r>
    </w:p>
    <w:p w14:paraId="2827FF74" w14:textId="77777777" w:rsidR="00FD0545" w:rsidRPr="004466D8" w:rsidRDefault="00FD0545" w:rsidP="00FD0545">
      <w:pPr>
        <w:ind w:left="1416"/>
        <w:rPr>
          <w:b/>
          <w:sz w:val="22"/>
        </w:rPr>
      </w:pPr>
    </w:p>
    <w:p w14:paraId="217FD9E3" w14:textId="77777777" w:rsidR="00FD0545" w:rsidRPr="00E13CE5" w:rsidRDefault="00FD0545" w:rsidP="00FD0545">
      <w:pPr>
        <w:jc w:val="both"/>
        <w:rPr>
          <w:rFonts w:eastAsia="Calibri"/>
          <w:sz w:val="22"/>
          <w:szCs w:val="22"/>
        </w:rPr>
      </w:pPr>
      <w:r w:rsidRPr="00E13CE5">
        <w:rPr>
          <w:rFonts w:eastAsia="Calibri"/>
          <w:sz w:val="22"/>
          <w:szCs w:val="22"/>
        </w:rPr>
        <w:t>A kari működés alapja a döntéselőkészítő, döntésvéleményező és döntéshozó testületek minőségi munkája, melyekben betöltött tagságot a Kar az alábbiak szerint ismer el:</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5807"/>
        <w:gridCol w:w="3255"/>
      </w:tblGrid>
      <w:tr w:rsidR="00FD0545" w:rsidRPr="004466D8" w14:paraId="107C60B8" w14:textId="77777777" w:rsidTr="00026782">
        <w:trPr>
          <w:jc w:val="center"/>
        </w:trPr>
        <w:tc>
          <w:tcPr>
            <w:tcW w:w="5807" w:type="dxa"/>
            <w:tcBorders>
              <w:top w:val="single" w:sz="4" w:space="0" w:color="FFFFFF"/>
              <w:left w:val="single" w:sz="4" w:space="0" w:color="FFFFFF"/>
              <w:right w:val="nil"/>
            </w:tcBorders>
            <w:shd w:val="clear" w:color="auto" w:fill="EDEDED"/>
          </w:tcPr>
          <w:p w14:paraId="40D69DA6" w14:textId="77777777" w:rsidR="00FD0545" w:rsidRPr="004466D8" w:rsidRDefault="00FD0545" w:rsidP="00026782">
            <w:pPr>
              <w:jc w:val="center"/>
              <w:rPr>
                <w:rFonts w:eastAsia="Calibri"/>
                <w:b/>
                <w:bCs/>
                <w:sz w:val="22"/>
                <w:szCs w:val="22"/>
              </w:rPr>
            </w:pPr>
            <w:proofErr w:type="gramStart"/>
            <w:r w:rsidRPr="004466D8">
              <w:rPr>
                <w:rFonts w:eastAsia="Calibri"/>
                <w:b/>
                <w:bCs/>
                <w:sz w:val="22"/>
                <w:szCs w:val="22"/>
              </w:rPr>
              <w:t>Funkció</w:t>
            </w:r>
            <w:proofErr w:type="gramEnd"/>
          </w:p>
        </w:tc>
        <w:tc>
          <w:tcPr>
            <w:tcW w:w="3255" w:type="dxa"/>
            <w:tcBorders>
              <w:top w:val="single" w:sz="4" w:space="0" w:color="FFFFFF"/>
              <w:left w:val="nil"/>
              <w:right w:val="single" w:sz="4" w:space="0" w:color="FFFFFF"/>
            </w:tcBorders>
            <w:shd w:val="clear" w:color="auto" w:fill="EDEDED"/>
          </w:tcPr>
          <w:p w14:paraId="046ACE63" w14:textId="77777777" w:rsidR="00FD0545" w:rsidRPr="004466D8" w:rsidRDefault="00FD0545" w:rsidP="00026782">
            <w:pPr>
              <w:jc w:val="center"/>
              <w:rPr>
                <w:rFonts w:eastAsia="Calibri"/>
                <w:b/>
                <w:bCs/>
                <w:sz w:val="22"/>
                <w:szCs w:val="22"/>
              </w:rPr>
            </w:pPr>
            <w:r w:rsidRPr="004466D8">
              <w:rPr>
                <w:rFonts w:eastAsia="Calibri"/>
                <w:b/>
                <w:bCs/>
                <w:sz w:val="22"/>
                <w:szCs w:val="22"/>
              </w:rPr>
              <w:t>TÉR Pont</w:t>
            </w:r>
          </w:p>
        </w:tc>
      </w:tr>
      <w:tr w:rsidR="00FD0545" w:rsidRPr="00C376DE" w14:paraId="015FB442" w14:textId="77777777" w:rsidTr="00026782">
        <w:trPr>
          <w:jc w:val="center"/>
        </w:trPr>
        <w:tc>
          <w:tcPr>
            <w:tcW w:w="5807" w:type="dxa"/>
            <w:shd w:val="clear" w:color="auto" w:fill="EDEDED"/>
          </w:tcPr>
          <w:p w14:paraId="0E972187" w14:textId="77777777" w:rsidR="00FD0545" w:rsidRPr="00C376DE" w:rsidRDefault="00FD0545" w:rsidP="00026782">
            <w:pPr>
              <w:rPr>
                <w:rFonts w:eastAsia="Calibri"/>
                <w:sz w:val="22"/>
                <w:szCs w:val="22"/>
              </w:rPr>
            </w:pPr>
            <w:r w:rsidRPr="00C376DE">
              <w:rPr>
                <w:rFonts w:eastAsia="Calibri"/>
                <w:sz w:val="22"/>
                <w:szCs w:val="22"/>
              </w:rPr>
              <w:t>Szenátus tagság</w:t>
            </w:r>
          </w:p>
        </w:tc>
        <w:tc>
          <w:tcPr>
            <w:tcW w:w="3255" w:type="dxa"/>
            <w:shd w:val="clear" w:color="auto" w:fill="EDEDED"/>
          </w:tcPr>
          <w:p w14:paraId="56EDF1BD" w14:textId="77777777" w:rsidR="00FD0545" w:rsidRPr="00C376DE" w:rsidRDefault="00FD0545" w:rsidP="00026782">
            <w:pPr>
              <w:jc w:val="center"/>
              <w:rPr>
                <w:rFonts w:eastAsia="Calibri"/>
                <w:sz w:val="22"/>
                <w:szCs w:val="22"/>
              </w:rPr>
            </w:pPr>
            <w:r w:rsidRPr="00C376DE">
              <w:rPr>
                <w:rFonts w:eastAsia="Calibri"/>
                <w:sz w:val="22"/>
                <w:szCs w:val="22"/>
              </w:rPr>
              <w:t>300 pont</w:t>
            </w:r>
          </w:p>
        </w:tc>
      </w:tr>
      <w:tr w:rsidR="00FD0545" w:rsidRPr="00C376DE" w14:paraId="2399F85F" w14:textId="77777777" w:rsidTr="00026782">
        <w:trPr>
          <w:jc w:val="center"/>
        </w:trPr>
        <w:tc>
          <w:tcPr>
            <w:tcW w:w="5807" w:type="dxa"/>
            <w:shd w:val="clear" w:color="auto" w:fill="EDEDED"/>
          </w:tcPr>
          <w:p w14:paraId="4F92FE39" w14:textId="77777777" w:rsidR="00FD0545" w:rsidRPr="00C376DE" w:rsidRDefault="00FD0545" w:rsidP="00026782">
            <w:pPr>
              <w:rPr>
                <w:rFonts w:eastAsia="Calibri"/>
                <w:sz w:val="22"/>
                <w:szCs w:val="22"/>
              </w:rPr>
            </w:pPr>
            <w:r w:rsidRPr="00C376DE">
              <w:rPr>
                <w:rFonts w:eastAsia="Calibri"/>
                <w:sz w:val="22"/>
                <w:szCs w:val="22"/>
              </w:rPr>
              <w:t>Kari tanács tagja</w:t>
            </w:r>
          </w:p>
        </w:tc>
        <w:tc>
          <w:tcPr>
            <w:tcW w:w="3255" w:type="dxa"/>
            <w:shd w:val="clear" w:color="auto" w:fill="EDEDED"/>
          </w:tcPr>
          <w:p w14:paraId="552FBE07" w14:textId="77777777" w:rsidR="00FD0545" w:rsidRPr="00C376DE" w:rsidRDefault="00FD0545" w:rsidP="00026782">
            <w:pPr>
              <w:jc w:val="center"/>
              <w:rPr>
                <w:rFonts w:eastAsia="Calibri"/>
                <w:sz w:val="22"/>
                <w:szCs w:val="22"/>
              </w:rPr>
            </w:pPr>
            <w:r w:rsidRPr="00C376DE">
              <w:rPr>
                <w:rFonts w:eastAsia="Calibri"/>
                <w:sz w:val="22"/>
                <w:szCs w:val="22"/>
              </w:rPr>
              <w:t>200 pont</w:t>
            </w:r>
          </w:p>
        </w:tc>
      </w:tr>
      <w:tr w:rsidR="00FD0545" w:rsidRPr="00C376DE" w14:paraId="455389F5" w14:textId="77777777" w:rsidTr="00026782">
        <w:trPr>
          <w:jc w:val="center"/>
        </w:trPr>
        <w:tc>
          <w:tcPr>
            <w:tcW w:w="5807" w:type="dxa"/>
            <w:shd w:val="clear" w:color="auto" w:fill="EDEDED"/>
          </w:tcPr>
          <w:p w14:paraId="64DA2894" w14:textId="77777777" w:rsidR="00FD0545" w:rsidRPr="00C376DE" w:rsidRDefault="00FD0545" w:rsidP="00026782">
            <w:pPr>
              <w:rPr>
                <w:rFonts w:eastAsia="Calibri"/>
                <w:sz w:val="22"/>
                <w:szCs w:val="22"/>
              </w:rPr>
            </w:pPr>
            <w:r w:rsidRPr="00C376DE">
              <w:rPr>
                <w:rFonts w:eastAsia="Calibri"/>
                <w:sz w:val="22"/>
                <w:szCs w:val="22"/>
              </w:rPr>
              <w:t>Allandó egyetemi bizottság tagja</w:t>
            </w:r>
          </w:p>
        </w:tc>
        <w:tc>
          <w:tcPr>
            <w:tcW w:w="3255" w:type="dxa"/>
            <w:shd w:val="clear" w:color="auto" w:fill="EDEDED"/>
          </w:tcPr>
          <w:p w14:paraId="2053AE54" w14:textId="77777777" w:rsidR="00FD0545" w:rsidRPr="00C376DE" w:rsidRDefault="00FD0545" w:rsidP="00026782">
            <w:pPr>
              <w:jc w:val="center"/>
              <w:rPr>
                <w:rFonts w:eastAsia="Calibri"/>
                <w:sz w:val="22"/>
                <w:szCs w:val="22"/>
              </w:rPr>
            </w:pPr>
            <w:r w:rsidRPr="00C376DE">
              <w:rPr>
                <w:rFonts w:eastAsia="Calibri"/>
                <w:sz w:val="22"/>
                <w:szCs w:val="22"/>
              </w:rPr>
              <w:t>20 pont/ülés, maximum 200 pont</w:t>
            </w:r>
          </w:p>
        </w:tc>
      </w:tr>
      <w:tr w:rsidR="00FD0545" w:rsidRPr="00C376DE" w14:paraId="09CCD688" w14:textId="77777777" w:rsidTr="00026782">
        <w:trPr>
          <w:jc w:val="center"/>
        </w:trPr>
        <w:tc>
          <w:tcPr>
            <w:tcW w:w="5807" w:type="dxa"/>
            <w:shd w:val="clear" w:color="auto" w:fill="EDEDED"/>
          </w:tcPr>
          <w:p w14:paraId="30E053BF" w14:textId="77777777" w:rsidR="00FD0545" w:rsidRPr="00C376DE" w:rsidRDefault="00FD0545" w:rsidP="00026782">
            <w:pPr>
              <w:rPr>
                <w:rFonts w:eastAsia="Calibri"/>
                <w:sz w:val="22"/>
                <w:szCs w:val="22"/>
              </w:rPr>
            </w:pPr>
            <w:r w:rsidRPr="00C376DE">
              <w:rPr>
                <w:rFonts w:eastAsia="Calibri"/>
                <w:sz w:val="22"/>
                <w:szCs w:val="22"/>
              </w:rPr>
              <w:t>Állandó kari bizottság tagja</w:t>
            </w:r>
          </w:p>
        </w:tc>
        <w:tc>
          <w:tcPr>
            <w:tcW w:w="3255" w:type="dxa"/>
            <w:shd w:val="clear" w:color="auto" w:fill="EDEDED"/>
          </w:tcPr>
          <w:p w14:paraId="28F994C3" w14:textId="77777777" w:rsidR="00FD0545" w:rsidRPr="00C376DE" w:rsidRDefault="00FD0545" w:rsidP="00026782">
            <w:pPr>
              <w:jc w:val="center"/>
              <w:rPr>
                <w:rFonts w:eastAsia="Calibri"/>
                <w:sz w:val="22"/>
                <w:szCs w:val="22"/>
              </w:rPr>
            </w:pPr>
            <w:r w:rsidRPr="00C376DE">
              <w:rPr>
                <w:rFonts w:eastAsia="Calibri"/>
                <w:sz w:val="22"/>
                <w:szCs w:val="22"/>
              </w:rPr>
              <w:t>20 pont/ülés, maximum 200 pont</w:t>
            </w:r>
          </w:p>
        </w:tc>
      </w:tr>
      <w:tr w:rsidR="00FD0545" w:rsidRPr="00C376DE" w14:paraId="21B6BC98" w14:textId="77777777" w:rsidTr="00026782">
        <w:trPr>
          <w:jc w:val="center"/>
        </w:trPr>
        <w:tc>
          <w:tcPr>
            <w:tcW w:w="5807" w:type="dxa"/>
            <w:shd w:val="clear" w:color="auto" w:fill="EDEDED"/>
          </w:tcPr>
          <w:p w14:paraId="124EE325" w14:textId="77777777" w:rsidR="00FD0545" w:rsidRPr="00C376DE" w:rsidRDefault="00FD0545" w:rsidP="00026782">
            <w:pPr>
              <w:rPr>
                <w:rFonts w:eastAsia="Calibri"/>
                <w:sz w:val="22"/>
                <w:szCs w:val="22"/>
              </w:rPr>
            </w:pPr>
            <w:r w:rsidRPr="00C376DE">
              <w:rPr>
                <w:rFonts w:eastAsia="Calibri"/>
                <w:sz w:val="22"/>
                <w:szCs w:val="22"/>
              </w:rPr>
              <w:t>Eseti egyetemi bizottság tagja</w:t>
            </w:r>
          </w:p>
        </w:tc>
        <w:tc>
          <w:tcPr>
            <w:tcW w:w="3255" w:type="dxa"/>
            <w:shd w:val="clear" w:color="auto" w:fill="EDEDED"/>
          </w:tcPr>
          <w:p w14:paraId="776CBDB5" w14:textId="77777777" w:rsidR="00FD0545" w:rsidRPr="00C376DE" w:rsidRDefault="00FD0545" w:rsidP="00026782">
            <w:pPr>
              <w:jc w:val="center"/>
              <w:rPr>
                <w:rFonts w:eastAsia="Calibri"/>
                <w:sz w:val="22"/>
                <w:szCs w:val="22"/>
              </w:rPr>
            </w:pPr>
            <w:r w:rsidRPr="00C376DE">
              <w:rPr>
                <w:rFonts w:eastAsia="Calibri"/>
                <w:sz w:val="22"/>
                <w:szCs w:val="22"/>
              </w:rPr>
              <w:t>20 pont/működési hónap</w:t>
            </w:r>
          </w:p>
        </w:tc>
      </w:tr>
      <w:tr w:rsidR="00FD0545" w:rsidRPr="00C376DE" w14:paraId="260AB2DD" w14:textId="77777777" w:rsidTr="00026782">
        <w:trPr>
          <w:jc w:val="center"/>
        </w:trPr>
        <w:tc>
          <w:tcPr>
            <w:tcW w:w="5807" w:type="dxa"/>
            <w:shd w:val="clear" w:color="auto" w:fill="EDEDED"/>
          </w:tcPr>
          <w:p w14:paraId="7A6DE629" w14:textId="77777777" w:rsidR="00FD0545" w:rsidRPr="00C376DE" w:rsidRDefault="00FD0545" w:rsidP="00026782">
            <w:pPr>
              <w:rPr>
                <w:rFonts w:eastAsia="Calibri"/>
                <w:sz w:val="22"/>
                <w:szCs w:val="22"/>
              </w:rPr>
            </w:pPr>
            <w:r w:rsidRPr="00C376DE">
              <w:rPr>
                <w:rFonts w:eastAsia="Calibri"/>
                <w:sz w:val="22"/>
                <w:szCs w:val="22"/>
              </w:rPr>
              <w:t>Eseti kari bizottság tagja</w:t>
            </w:r>
          </w:p>
        </w:tc>
        <w:tc>
          <w:tcPr>
            <w:tcW w:w="3255" w:type="dxa"/>
            <w:shd w:val="clear" w:color="auto" w:fill="EDEDED"/>
          </w:tcPr>
          <w:p w14:paraId="6523B604" w14:textId="77777777" w:rsidR="00FD0545" w:rsidRPr="00C376DE" w:rsidRDefault="00FD0545" w:rsidP="00026782">
            <w:pPr>
              <w:jc w:val="center"/>
              <w:rPr>
                <w:rFonts w:eastAsia="Calibri"/>
                <w:sz w:val="22"/>
                <w:szCs w:val="22"/>
              </w:rPr>
            </w:pPr>
            <w:r w:rsidRPr="00C376DE">
              <w:rPr>
                <w:rFonts w:eastAsia="Calibri"/>
                <w:sz w:val="22"/>
                <w:szCs w:val="22"/>
              </w:rPr>
              <w:t>20 pont/működési hónap</w:t>
            </w:r>
          </w:p>
        </w:tc>
      </w:tr>
      <w:tr w:rsidR="00FD0545" w:rsidRPr="00C376DE" w14:paraId="604204E7" w14:textId="77777777" w:rsidTr="00026782">
        <w:trPr>
          <w:jc w:val="center"/>
        </w:trPr>
        <w:tc>
          <w:tcPr>
            <w:tcW w:w="5807" w:type="dxa"/>
            <w:shd w:val="clear" w:color="auto" w:fill="EDEDED"/>
          </w:tcPr>
          <w:p w14:paraId="037C81FC" w14:textId="77777777" w:rsidR="00FD0545" w:rsidRPr="00C376DE" w:rsidRDefault="00FD0545" w:rsidP="00026782">
            <w:pPr>
              <w:rPr>
                <w:rFonts w:eastAsia="Calibri"/>
                <w:sz w:val="22"/>
                <w:szCs w:val="22"/>
              </w:rPr>
            </w:pPr>
            <w:r w:rsidRPr="00C376DE">
              <w:rPr>
                <w:rFonts w:eastAsia="Calibri"/>
                <w:sz w:val="22"/>
                <w:szCs w:val="22"/>
              </w:rPr>
              <w:t xml:space="preserve">Egyetemen kívüli tudományos bizottsági (MTA választás útján elnyert tisztség vagy bizottsági tagság, </w:t>
            </w:r>
            <w:proofErr w:type="gramStart"/>
            <w:r w:rsidRPr="00C376DE">
              <w:rPr>
                <w:rFonts w:eastAsia="Calibri"/>
                <w:sz w:val="22"/>
                <w:szCs w:val="22"/>
              </w:rPr>
              <w:t>etikai</w:t>
            </w:r>
            <w:proofErr w:type="gramEnd"/>
            <w:r w:rsidRPr="00C376DE">
              <w:rPr>
                <w:rFonts w:eastAsia="Calibri"/>
                <w:sz w:val="22"/>
                <w:szCs w:val="22"/>
              </w:rPr>
              <w:t xml:space="preserve"> bizottság), szakmai kollégiumi tagság, kamarai tisztség</w:t>
            </w:r>
          </w:p>
        </w:tc>
        <w:tc>
          <w:tcPr>
            <w:tcW w:w="3255" w:type="dxa"/>
            <w:shd w:val="clear" w:color="auto" w:fill="EDEDED"/>
          </w:tcPr>
          <w:p w14:paraId="5A934EC7" w14:textId="77777777" w:rsidR="00FD0545" w:rsidRPr="00C376DE" w:rsidRDefault="00FD0545" w:rsidP="00026782">
            <w:pPr>
              <w:jc w:val="center"/>
              <w:rPr>
                <w:rFonts w:eastAsia="Calibri"/>
                <w:sz w:val="22"/>
                <w:szCs w:val="22"/>
              </w:rPr>
            </w:pPr>
            <w:r w:rsidRPr="00C376DE">
              <w:rPr>
                <w:rFonts w:eastAsia="Calibri"/>
                <w:sz w:val="22"/>
                <w:szCs w:val="22"/>
              </w:rPr>
              <w:t>200 pont</w:t>
            </w:r>
          </w:p>
        </w:tc>
      </w:tr>
    </w:tbl>
    <w:p w14:paraId="5FC2FF3D" w14:textId="77777777" w:rsidR="00FD0545" w:rsidRDefault="00FD0545" w:rsidP="00FD0545">
      <w:pPr>
        <w:spacing w:before="160"/>
        <w:rPr>
          <w:rFonts w:eastAsia="Calibri"/>
          <w:sz w:val="22"/>
          <w:szCs w:val="22"/>
        </w:rPr>
      </w:pPr>
    </w:p>
    <w:p w14:paraId="56C6A186" w14:textId="77777777" w:rsidR="00FD0545" w:rsidRDefault="00FD0545" w:rsidP="00FD0545">
      <w:pPr>
        <w:spacing w:before="160"/>
        <w:rPr>
          <w:rFonts w:eastAsia="Calibri"/>
          <w:sz w:val="22"/>
          <w:szCs w:val="22"/>
        </w:rPr>
      </w:pPr>
    </w:p>
    <w:p w14:paraId="1D2F6DC5"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pPr w:leftFromText="141" w:rightFromText="141" w:vertAnchor="text" w:horzAnchor="margin" w:tblpY="179"/>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31AAA348" w14:textId="77777777" w:rsidTr="00026782">
        <w:tc>
          <w:tcPr>
            <w:tcW w:w="1980" w:type="dxa"/>
            <w:shd w:val="clear" w:color="auto" w:fill="F2F2F2"/>
          </w:tcPr>
          <w:p w14:paraId="3F92DB1C"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FEC9204" w14:textId="77777777" w:rsidR="00FD0545" w:rsidRPr="00C376DE" w:rsidRDefault="00FD0545" w:rsidP="00026782">
            <w:pPr>
              <w:rPr>
                <w:rFonts w:eastAsia="Calibri"/>
                <w:b/>
                <w:bCs/>
                <w:sz w:val="22"/>
                <w:szCs w:val="22"/>
              </w:rPr>
            </w:pPr>
            <w:r w:rsidRPr="00C376DE">
              <w:rPr>
                <w:rFonts w:eastAsia="Calibri"/>
                <w:b/>
                <w:bCs/>
                <w:sz w:val="22"/>
                <w:szCs w:val="22"/>
              </w:rPr>
              <w:t xml:space="preserve">Szervezeti térkép és SZMSZ szerinti testületi összetétel </w:t>
            </w:r>
          </w:p>
        </w:tc>
      </w:tr>
      <w:tr w:rsidR="00FD0545" w:rsidRPr="00C376DE" w14:paraId="2DE4F0CD" w14:textId="77777777" w:rsidTr="00026782">
        <w:tc>
          <w:tcPr>
            <w:tcW w:w="1980" w:type="dxa"/>
            <w:shd w:val="clear" w:color="auto" w:fill="F2F2F2"/>
          </w:tcPr>
          <w:p w14:paraId="7A46D67F"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A9FC212" w14:textId="77777777" w:rsidR="00FD0545" w:rsidRPr="00C376DE" w:rsidRDefault="00FD0545" w:rsidP="00026782">
            <w:pPr>
              <w:rPr>
                <w:rFonts w:eastAsia="Calibri"/>
                <w:b/>
                <w:bCs/>
                <w:sz w:val="22"/>
                <w:szCs w:val="22"/>
              </w:rPr>
            </w:pPr>
            <w:r w:rsidRPr="00C376DE">
              <w:rPr>
                <w:rFonts w:eastAsia="Calibri"/>
                <w:b/>
                <w:bCs/>
                <w:sz w:val="22"/>
                <w:szCs w:val="22"/>
              </w:rPr>
              <w:t>Szervezetfejlesztési TÉR jelentés (J/8. melléklet)</w:t>
            </w:r>
          </w:p>
        </w:tc>
      </w:tr>
      <w:tr w:rsidR="00FD0545" w:rsidRPr="00C376DE" w14:paraId="40BAE919" w14:textId="77777777" w:rsidTr="00026782">
        <w:tc>
          <w:tcPr>
            <w:tcW w:w="1980" w:type="dxa"/>
            <w:shd w:val="clear" w:color="auto" w:fill="F2F2F2"/>
          </w:tcPr>
          <w:p w14:paraId="42F6AE28"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0C840B87" w14:textId="77777777" w:rsidR="00FD0545" w:rsidRPr="00C376DE" w:rsidRDefault="00FD0545" w:rsidP="00026782">
            <w:pPr>
              <w:rPr>
                <w:rFonts w:eastAsia="Calibri"/>
                <w:b/>
                <w:bCs/>
                <w:sz w:val="22"/>
                <w:szCs w:val="22"/>
              </w:rPr>
            </w:pPr>
            <w:r w:rsidRPr="00C376DE">
              <w:rPr>
                <w:rFonts w:eastAsia="Calibri"/>
                <w:b/>
                <w:bCs/>
                <w:sz w:val="22"/>
                <w:szCs w:val="22"/>
              </w:rPr>
              <w:t>Szervezetfejlesztési és folyamatmenedzsment koordinátor</w:t>
            </w:r>
          </w:p>
        </w:tc>
      </w:tr>
    </w:tbl>
    <w:p w14:paraId="5D8D409E" w14:textId="77777777" w:rsidR="00FD0545" w:rsidRDefault="00FD0545" w:rsidP="00FD0545">
      <w:pPr>
        <w:ind w:left="1416"/>
        <w:rPr>
          <w:b/>
          <w:sz w:val="22"/>
        </w:rPr>
      </w:pPr>
    </w:p>
    <w:p w14:paraId="0EF4D3C1" w14:textId="77777777" w:rsidR="00FD0545" w:rsidRDefault="00FD0545" w:rsidP="00FD0545">
      <w:pPr>
        <w:ind w:left="1416"/>
        <w:rPr>
          <w:b/>
          <w:sz w:val="22"/>
        </w:rPr>
      </w:pPr>
      <w:r>
        <w:rPr>
          <w:b/>
          <w:sz w:val="22"/>
        </w:rPr>
        <w:t xml:space="preserve">4. </w:t>
      </w:r>
      <w:r w:rsidRPr="004466D8">
        <w:rPr>
          <w:b/>
          <w:sz w:val="22"/>
        </w:rPr>
        <w:t>Intézeti, tanszéki teljesítmény (ITT TÉR)</w:t>
      </w:r>
    </w:p>
    <w:p w14:paraId="616C4B3C" w14:textId="77777777" w:rsidR="00FD0545" w:rsidRPr="004466D8" w:rsidRDefault="00FD0545" w:rsidP="00FD0545">
      <w:pPr>
        <w:ind w:left="1416"/>
        <w:rPr>
          <w:b/>
          <w:sz w:val="22"/>
        </w:rPr>
      </w:pPr>
    </w:p>
    <w:p w14:paraId="128F1883" w14:textId="77777777" w:rsidR="00FD0545" w:rsidRPr="00E13CE5" w:rsidRDefault="00FD0545" w:rsidP="00FD0545">
      <w:pPr>
        <w:jc w:val="both"/>
        <w:rPr>
          <w:rFonts w:eastAsia="Calibri"/>
          <w:sz w:val="22"/>
          <w:szCs w:val="22"/>
        </w:rPr>
      </w:pPr>
      <w:r w:rsidRPr="00E13CE5">
        <w:rPr>
          <w:rFonts w:eastAsia="Calibri"/>
          <w:sz w:val="22"/>
          <w:szCs w:val="22"/>
        </w:rPr>
        <w:t xml:space="preserve">Az értékelt oktatók legszűkebb munkakörnyezete a tanszék, illetve az intézet. Ennek megfelelően a </w:t>
      </w:r>
      <w:proofErr w:type="gramStart"/>
      <w:r w:rsidRPr="00E13CE5">
        <w:rPr>
          <w:rFonts w:eastAsia="Calibri"/>
          <w:sz w:val="22"/>
          <w:szCs w:val="22"/>
        </w:rPr>
        <w:t>komplex</w:t>
      </w:r>
      <w:proofErr w:type="gramEnd"/>
      <w:r w:rsidRPr="00E13CE5">
        <w:rPr>
          <w:rFonts w:eastAsia="Calibri"/>
          <w:sz w:val="22"/>
          <w:szCs w:val="22"/>
        </w:rPr>
        <w:t xml:space="preserve"> teljesítményértékelési rendszerben minden oktató 1000 pont erejéig a tanszéki és intézeti munkavégzés minőségi szempontjai szerint is értékelésre kerül. Amennyiben az intézeten belül tanszék is működik, az 1000 ITT TÉR pontról a tanszék vezetője nyilatkozik, tanszék hiányában az intézet vezetője értékel, az alábbiakban szereplő, egységes szempontok alapján. Az intézetigazgatót intézeti teljesítménye tekintetében az intézetigazgató helyettes, a tanszékvezetőt nem önálló tanszék esetén az intézetigazgató, önálló tanszék esetén a tanszékvezető helyettes (hiányában a dékán) értékeli.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232"/>
        <w:gridCol w:w="2552"/>
      </w:tblGrid>
      <w:tr w:rsidR="00FD0545" w:rsidRPr="004466D8" w14:paraId="1B74D9DB" w14:textId="77777777" w:rsidTr="00026782">
        <w:tc>
          <w:tcPr>
            <w:tcW w:w="6232" w:type="dxa"/>
            <w:tcBorders>
              <w:top w:val="single" w:sz="4" w:space="0" w:color="FFFFFF"/>
              <w:left w:val="single" w:sz="4" w:space="0" w:color="FFFFFF"/>
              <w:right w:val="nil"/>
            </w:tcBorders>
            <w:shd w:val="clear" w:color="auto" w:fill="EDEDED"/>
          </w:tcPr>
          <w:p w14:paraId="16AC19A8" w14:textId="77777777" w:rsidR="00FD0545" w:rsidRPr="004466D8" w:rsidRDefault="00FD0545" w:rsidP="00026782">
            <w:pPr>
              <w:jc w:val="center"/>
              <w:rPr>
                <w:rFonts w:eastAsia="Calibri"/>
                <w:b/>
                <w:bCs/>
                <w:sz w:val="22"/>
                <w:szCs w:val="22"/>
              </w:rPr>
            </w:pPr>
            <w:r w:rsidRPr="004466D8">
              <w:rPr>
                <w:rFonts w:eastAsia="Calibri"/>
                <w:b/>
                <w:bCs/>
                <w:sz w:val="22"/>
                <w:szCs w:val="22"/>
              </w:rPr>
              <w:t>Szempont</w:t>
            </w:r>
          </w:p>
        </w:tc>
        <w:tc>
          <w:tcPr>
            <w:tcW w:w="2552" w:type="dxa"/>
            <w:tcBorders>
              <w:top w:val="single" w:sz="4" w:space="0" w:color="FFFFFF"/>
              <w:left w:val="nil"/>
              <w:right w:val="single" w:sz="4" w:space="0" w:color="FFFFFF"/>
            </w:tcBorders>
            <w:shd w:val="clear" w:color="auto" w:fill="EDEDED"/>
          </w:tcPr>
          <w:p w14:paraId="6361011E" w14:textId="77777777" w:rsidR="00FD0545" w:rsidRPr="004466D8" w:rsidRDefault="00FD0545" w:rsidP="00026782">
            <w:pPr>
              <w:jc w:val="center"/>
              <w:rPr>
                <w:rFonts w:eastAsia="Calibri"/>
                <w:b/>
                <w:bCs/>
                <w:sz w:val="22"/>
                <w:szCs w:val="22"/>
              </w:rPr>
            </w:pPr>
            <w:r w:rsidRPr="004466D8">
              <w:rPr>
                <w:rFonts w:eastAsia="Calibri"/>
                <w:b/>
                <w:bCs/>
                <w:sz w:val="22"/>
                <w:szCs w:val="22"/>
              </w:rPr>
              <w:t>Adható pontszám aránya</w:t>
            </w:r>
          </w:p>
        </w:tc>
      </w:tr>
      <w:tr w:rsidR="00FD0545" w:rsidRPr="00C376DE" w14:paraId="69E67219" w14:textId="77777777" w:rsidTr="00026782">
        <w:tc>
          <w:tcPr>
            <w:tcW w:w="6232" w:type="dxa"/>
            <w:shd w:val="clear" w:color="auto" w:fill="EDEDED"/>
          </w:tcPr>
          <w:p w14:paraId="6CD666FF" w14:textId="77777777" w:rsidR="00FD0545" w:rsidRPr="00C376DE" w:rsidRDefault="00FD0545" w:rsidP="00026782">
            <w:pPr>
              <w:rPr>
                <w:rFonts w:eastAsia="Calibri"/>
                <w:sz w:val="22"/>
                <w:szCs w:val="22"/>
              </w:rPr>
            </w:pPr>
            <w:r w:rsidRPr="00C376DE">
              <w:rPr>
                <w:rFonts w:eastAsia="Calibri"/>
                <w:sz w:val="22"/>
                <w:szCs w:val="22"/>
              </w:rPr>
              <w:t>Határidő tartása</w:t>
            </w:r>
          </w:p>
        </w:tc>
        <w:tc>
          <w:tcPr>
            <w:tcW w:w="2552" w:type="dxa"/>
            <w:shd w:val="clear" w:color="auto" w:fill="EDEDED"/>
          </w:tcPr>
          <w:p w14:paraId="783A2691"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63B7DC3E" w14:textId="77777777" w:rsidTr="00026782">
        <w:tc>
          <w:tcPr>
            <w:tcW w:w="6232" w:type="dxa"/>
            <w:shd w:val="clear" w:color="auto" w:fill="EDEDED"/>
          </w:tcPr>
          <w:p w14:paraId="48B418CD" w14:textId="77777777" w:rsidR="00FD0545" w:rsidRPr="00C376DE" w:rsidRDefault="00FD0545" w:rsidP="00026782">
            <w:pPr>
              <w:rPr>
                <w:rFonts w:eastAsia="Calibri"/>
                <w:sz w:val="22"/>
                <w:szCs w:val="22"/>
              </w:rPr>
            </w:pPr>
            <w:r w:rsidRPr="00C376DE">
              <w:rPr>
                <w:rFonts w:eastAsia="Calibri"/>
                <w:sz w:val="22"/>
                <w:szCs w:val="22"/>
              </w:rPr>
              <w:t xml:space="preserve">Pontos, </w:t>
            </w:r>
            <w:proofErr w:type="gramStart"/>
            <w:r w:rsidRPr="00C376DE">
              <w:rPr>
                <w:rFonts w:eastAsia="Calibri"/>
                <w:sz w:val="22"/>
                <w:szCs w:val="22"/>
              </w:rPr>
              <w:t>precíz</w:t>
            </w:r>
            <w:proofErr w:type="gramEnd"/>
            <w:r w:rsidRPr="00C376DE">
              <w:rPr>
                <w:rFonts w:eastAsia="Calibri"/>
                <w:sz w:val="22"/>
                <w:szCs w:val="22"/>
              </w:rPr>
              <w:t xml:space="preserve"> feladatvégrehajtás</w:t>
            </w:r>
          </w:p>
        </w:tc>
        <w:tc>
          <w:tcPr>
            <w:tcW w:w="2552" w:type="dxa"/>
            <w:shd w:val="clear" w:color="auto" w:fill="EDEDED"/>
          </w:tcPr>
          <w:p w14:paraId="402843A5"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5B344A2B" w14:textId="77777777" w:rsidTr="00026782">
        <w:tc>
          <w:tcPr>
            <w:tcW w:w="6232" w:type="dxa"/>
            <w:shd w:val="clear" w:color="auto" w:fill="EDEDED"/>
          </w:tcPr>
          <w:p w14:paraId="1F89256B" w14:textId="77777777" w:rsidR="00FD0545" w:rsidRPr="00C376DE" w:rsidRDefault="00FD0545" w:rsidP="00026782">
            <w:pPr>
              <w:rPr>
                <w:rFonts w:eastAsia="Calibri"/>
                <w:sz w:val="22"/>
                <w:szCs w:val="22"/>
              </w:rPr>
            </w:pPr>
            <w:r w:rsidRPr="00C376DE">
              <w:rPr>
                <w:rFonts w:eastAsia="Calibri"/>
                <w:sz w:val="22"/>
                <w:szCs w:val="22"/>
              </w:rPr>
              <w:t>Önálló munkavégzés</w:t>
            </w:r>
          </w:p>
        </w:tc>
        <w:tc>
          <w:tcPr>
            <w:tcW w:w="2552" w:type="dxa"/>
            <w:shd w:val="clear" w:color="auto" w:fill="EDEDED"/>
          </w:tcPr>
          <w:p w14:paraId="6B6D4D1D"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4846AB98" w14:textId="77777777" w:rsidTr="00026782">
        <w:tc>
          <w:tcPr>
            <w:tcW w:w="6232" w:type="dxa"/>
            <w:shd w:val="clear" w:color="auto" w:fill="EDEDED"/>
          </w:tcPr>
          <w:p w14:paraId="000E3E8C" w14:textId="77777777" w:rsidR="00FD0545" w:rsidRPr="00C376DE" w:rsidRDefault="00FD0545" w:rsidP="00026782">
            <w:pPr>
              <w:rPr>
                <w:rFonts w:eastAsia="Calibri"/>
                <w:sz w:val="22"/>
                <w:szCs w:val="22"/>
              </w:rPr>
            </w:pPr>
            <w:r w:rsidRPr="00C376DE">
              <w:rPr>
                <w:rFonts w:eastAsia="Calibri"/>
                <w:sz w:val="22"/>
                <w:szCs w:val="22"/>
              </w:rPr>
              <w:t>Pontos és megfelelő kommunikáció</w:t>
            </w:r>
          </w:p>
        </w:tc>
        <w:tc>
          <w:tcPr>
            <w:tcW w:w="2552" w:type="dxa"/>
            <w:shd w:val="clear" w:color="auto" w:fill="EDEDED"/>
          </w:tcPr>
          <w:p w14:paraId="3D823C0E"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11359205" w14:textId="77777777" w:rsidTr="00026782">
        <w:tc>
          <w:tcPr>
            <w:tcW w:w="6232" w:type="dxa"/>
            <w:shd w:val="clear" w:color="auto" w:fill="EDEDED"/>
          </w:tcPr>
          <w:p w14:paraId="5A31CAC5" w14:textId="77777777" w:rsidR="00FD0545" w:rsidRPr="00C376DE" w:rsidRDefault="00FD0545" w:rsidP="00026782">
            <w:pPr>
              <w:rPr>
                <w:rFonts w:eastAsia="Calibri"/>
                <w:sz w:val="22"/>
                <w:szCs w:val="22"/>
              </w:rPr>
            </w:pPr>
            <w:r w:rsidRPr="00C376DE">
              <w:rPr>
                <w:rFonts w:eastAsia="Calibri"/>
                <w:sz w:val="22"/>
                <w:szCs w:val="22"/>
              </w:rPr>
              <w:t>Kezdeményezőképesség</w:t>
            </w:r>
          </w:p>
        </w:tc>
        <w:tc>
          <w:tcPr>
            <w:tcW w:w="2552" w:type="dxa"/>
            <w:shd w:val="clear" w:color="auto" w:fill="EDEDED"/>
          </w:tcPr>
          <w:p w14:paraId="433CDEA1"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4466D8" w14:paraId="6C7071B5" w14:textId="77777777" w:rsidTr="00026782">
        <w:tc>
          <w:tcPr>
            <w:tcW w:w="8784" w:type="dxa"/>
            <w:gridSpan w:val="2"/>
            <w:shd w:val="clear" w:color="auto" w:fill="A6A6A6"/>
          </w:tcPr>
          <w:p w14:paraId="4F2F80E3" w14:textId="77777777" w:rsidR="00FD0545" w:rsidRPr="004466D8" w:rsidRDefault="00FD0545" w:rsidP="00026782">
            <w:pPr>
              <w:jc w:val="center"/>
              <w:rPr>
                <w:rFonts w:eastAsia="Calibri"/>
                <w:b/>
                <w:bCs/>
                <w:sz w:val="22"/>
                <w:szCs w:val="22"/>
              </w:rPr>
            </w:pPr>
            <w:r w:rsidRPr="004466D8">
              <w:rPr>
                <w:rFonts w:eastAsia="Calibri"/>
                <w:b/>
                <w:bCs/>
                <w:sz w:val="22"/>
                <w:szCs w:val="22"/>
              </w:rPr>
              <w:t>Kötelező levonások</w:t>
            </w:r>
          </w:p>
        </w:tc>
      </w:tr>
      <w:tr w:rsidR="00FD0545" w:rsidRPr="00C376DE" w14:paraId="768E0782" w14:textId="77777777" w:rsidTr="00026782">
        <w:tc>
          <w:tcPr>
            <w:tcW w:w="6232" w:type="dxa"/>
            <w:shd w:val="clear" w:color="auto" w:fill="EDEDED"/>
          </w:tcPr>
          <w:p w14:paraId="30C72683" w14:textId="77777777" w:rsidR="00FD0545" w:rsidRPr="00C376DE" w:rsidRDefault="00FD0545" w:rsidP="00026782">
            <w:pPr>
              <w:rPr>
                <w:rFonts w:eastAsia="Calibri"/>
                <w:sz w:val="22"/>
                <w:szCs w:val="22"/>
              </w:rPr>
            </w:pPr>
            <w:r w:rsidRPr="00C376DE">
              <w:rPr>
                <w:rFonts w:eastAsia="Calibri"/>
                <w:sz w:val="22"/>
                <w:szCs w:val="22"/>
              </w:rPr>
              <w:t>Kötelező értekezlet elmulasztása kimentés nélkül</w:t>
            </w:r>
          </w:p>
        </w:tc>
        <w:tc>
          <w:tcPr>
            <w:tcW w:w="2552" w:type="dxa"/>
            <w:shd w:val="clear" w:color="auto" w:fill="EDEDED"/>
          </w:tcPr>
          <w:p w14:paraId="631D4FDF" w14:textId="77777777" w:rsidR="00FD0545" w:rsidRPr="00C376DE" w:rsidRDefault="00FD0545" w:rsidP="00026782">
            <w:pPr>
              <w:jc w:val="center"/>
              <w:rPr>
                <w:rFonts w:eastAsia="Calibri"/>
                <w:sz w:val="22"/>
                <w:szCs w:val="22"/>
              </w:rPr>
            </w:pPr>
            <w:r w:rsidRPr="00C376DE">
              <w:rPr>
                <w:rFonts w:eastAsia="Calibri"/>
                <w:sz w:val="22"/>
                <w:szCs w:val="22"/>
              </w:rPr>
              <w:t>-15% / alkalom</w:t>
            </w:r>
          </w:p>
        </w:tc>
      </w:tr>
    </w:tbl>
    <w:p w14:paraId="41C2FCD7"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38CA9BD6" w14:textId="77777777" w:rsidTr="00026782">
        <w:tc>
          <w:tcPr>
            <w:tcW w:w="1980" w:type="dxa"/>
            <w:shd w:val="clear" w:color="auto" w:fill="F2F2F2"/>
          </w:tcPr>
          <w:p w14:paraId="706A8C42"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4293BD1B" w14:textId="77777777" w:rsidR="00FD0545" w:rsidRPr="00C376DE" w:rsidRDefault="00FD0545" w:rsidP="00026782">
            <w:pPr>
              <w:rPr>
                <w:rFonts w:eastAsia="Calibri"/>
                <w:b/>
                <w:bCs/>
                <w:sz w:val="22"/>
                <w:szCs w:val="22"/>
              </w:rPr>
            </w:pPr>
            <w:r w:rsidRPr="00C376DE">
              <w:rPr>
                <w:rFonts w:eastAsia="Calibri"/>
                <w:b/>
                <w:bCs/>
                <w:sz w:val="22"/>
                <w:szCs w:val="22"/>
              </w:rPr>
              <w:t>A megadott szempontok szerinti értékelés</w:t>
            </w:r>
          </w:p>
        </w:tc>
      </w:tr>
      <w:tr w:rsidR="00FD0545" w:rsidRPr="00C376DE" w14:paraId="50DCD887" w14:textId="77777777" w:rsidTr="00026782">
        <w:tc>
          <w:tcPr>
            <w:tcW w:w="1980" w:type="dxa"/>
            <w:shd w:val="clear" w:color="auto" w:fill="F2F2F2"/>
          </w:tcPr>
          <w:p w14:paraId="4FC93137"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7471E7F7" w14:textId="77777777" w:rsidR="00FD0545" w:rsidRPr="00C376DE" w:rsidRDefault="00FD0545" w:rsidP="00026782">
            <w:pPr>
              <w:rPr>
                <w:rFonts w:eastAsia="Calibri"/>
                <w:b/>
                <w:bCs/>
                <w:sz w:val="22"/>
                <w:szCs w:val="22"/>
              </w:rPr>
            </w:pPr>
            <w:r w:rsidRPr="00C376DE">
              <w:rPr>
                <w:rFonts w:eastAsia="Calibri"/>
                <w:b/>
                <w:bCs/>
                <w:sz w:val="22"/>
                <w:szCs w:val="22"/>
              </w:rPr>
              <w:t>Tanszéki és intézeti TÉR értékelés (É/2. melléklet)</w:t>
            </w:r>
          </w:p>
        </w:tc>
      </w:tr>
      <w:tr w:rsidR="00FD0545" w:rsidRPr="00C376DE" w14:paraId="4E03F1A4" w14:textId="77777777" w:rsidTr="00026782">
        <w:tc>
          <w:tcPr>
            <w:tcW w:w="1980" w:type="dxa"/>
            <w:shd w:val="clear" w:color="auto" w:fill="F2F2F2"/>
          </w:tcPr>
          <w:p w14:paraId="436B9F2A"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2C5EC39" w14:textId="77777777" w:rsidR="00FD0545" w:rsidRPr="00C376DE" w:rsidRDefault="00FD0545" w:rsidP="00026782">
            <w:pPr>
              <w:rPr>
                <w:rFonts w:eastAsia="Calibri"/>
                <w:b/>
                <w:bCs/>
                <w:sz w:val="22"/>
                <w:szCs w:val="22"/>
              </w:rPr>
            </w:pPr>
            <w:r w:rsidRPr="00C376DE">
              <w:rPr>
                <w:rFonts w:eastAsia="Calibri"/>
                <w:b/>
                <w:bCs/>
                <w:sz w:val="22"/>
                <w:szCs w:val="22"/>
              </w:rPr>
              <w:t>Tanszékvezető és/vagy intézetigazgató</w:t>
            </w:r>
          </w:p>
        </w:tc>
      </w:tr>
    </w:tbl>
    <w:p w14:paraId="0859FD7E" w14:textId="77777777" w:rsidR="00FD0545" w:rsidRDefault="00FD0545" w:rsidP="00FD0545">
      <w:pPr>
        <w:ind w:left="1416"/>
        <w:rPr>
          <w:sz w:val="22"/>
        </w:rPr>
      </w:pPr>
    </w:p>
    <w:p w14:paraId="7F5E873D" w14:textId="77777777" w:rsidR="00FD0545" w:rsidRPr="004466D8" w:rsidRDefault="00FD0545" w:rsidP="00FD0545">
      <w:pPr>
        <w:ind w:left="1416"/>
        <w:rPr>
          <w:b/>
          <w:sz w:val="22"/>
        </w:rPr>
      </w:pPr>
      <w:r w:rsidRPr="004466D8">
        <w:rPr>
          <w:b/>
          <w:sz w:val="22"/>
        </w:rPr>
        <w:t>5. Oktatásszervezési feladatok (OSZ TÉR)</w:t>
      </w:r>
    </w:p>
    <w:p w14:paraId="68771F67" w14:textId="77777777" w:rsidR="00FD0545" w:rsidRPr="004466D8" w:rsidRDefault="00FD0545" w:rsidP="00FD0545">
      <w:pPr>
        <w:ind w:left="1416"/>
        <w:rPr>
          <w:sz w:val="22"/>
        </w:rPr>
      </w:pPr>
    </w:p>
    <w:p w14:paraId="3CFC9027" w14:textId="77777777" w:rsidR="00FD0545" w:rsidRPr="00E13CE5" w:rsidRDefault="00FD0545" w:rsidP="00FD0545">
      <w:pPr>
        <w:jc w:val="both"/>
        <w:rPr>
          <w:rFonts w:eastAsia="Calibri"/>
          <w:sz w:val="22"/>
          <w:szCs w:val="22"/>
        </w:rPr>
      </w:pPr>
      <w:r w:rsidRPr="00E13CE5">
        <w:rPr>
          <w:rFonts w:eastAsia="Calibri"/>
          <w:sz w:val="22"/>
          <w:szCs w:val="22"/>
        </w:rPr>
        <w:t>A Kar alaptevékenysége az oktatás, melynek szervezési tevékenységei, különösen szakindításkor, illetve a szakok, szakirányok irányításakor jelentős többletfeladatot jelent, melyet a TÉR az alábbiak szerint ismer el:</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5637"/>
        <w:gridCol w:w="1588"/>
        <w:gridCol w:w="1837"/>
      </w:tblGrid>
      <w:tr w:rsidR="00FD0545" w:rsidRPr="004466D8" w14:paraId="38DD1DC5" w14:textId="77777777" w:rsidTr="00026782">
        <w:trPr>
          <w:jc w:val="center"/>
        </w:trPr>
        <w:tc>
          <w:tcPr>
            <w:tcW w:w="5637" w:type="dxa"/>
            <w:tcBorders>
              <w:top w:val="single" w:sz="4" w:space="0" w:color="FFFFFF"/>
              <w:left w:val="single" w:sz="4" w:space="0" w:color="FFFFFF"/>
              <w:right w:val="nil"/>
            </w:tcBorders>
            <w:shd w:val="clear" w:color="auto" w:fill="EDEDED"/>
          </w:tcPr>
          <w:p w14:paraId="40330AEC" w14:textId="77777777" w:rsidR="00FD0545" w:rsidRPr="004466D8" w:rsidRDefault="00FD0545" w:rsidP="00026782">
            <w:pPr>
              <w:jc w:val="center"/>
              <w:rPr>
                <w:rFonts w:eastAsia="Calibri"/>
                <w:b/>
                <w:bCs/>
                <w:sz w:val="20"/>
                <w:szCs w:val="22"/>
              </w:rPr>
            </w:pPr>
            <w:r w:rsidRPr="004466D8">
              <w:rPr>
                <w:rFonts w:eastAsia="Calibri"/>
                <w:b/>
                <w:bCs/>
                <w:sz w:val="20"/>
                <w:szCs w:val="22"/>
              </w:rPr>
              <w:lastRenderedPageBreak/>
              <w:t>Feladat</w:t>
            </w:r>
          </w:p>
        </w:tc>
        <w:tc>
          <w:tcPr>
            <w:tcW w:w="1588" w:type="dxa"/>
            <w:tcBorders>
              <w:top w:val="single" w:sz="4" w:space="0" w:color="FFFFFF"/>
              <w:left w:val="nil"/>
              <w:right w:val="nil"/>
            </w:tcBorders>
            <w:shd w:val="clear" w:color="auto" w:fill="EDEDED"/>
          </w:tcPr>
          <w:p w14:paraId="0136E903" w14:textId="77777777" w:rsidR="00FD0545" w:rsidRPr="004466D8" w:rsidRDefault="00FD0545" w:rsidP="00026782">
            <w:pPr>
              <w:jc w:val="center"/>
              <w:rPr>
                <w:rFonts w:eastAsia="Calibri"/>
                <w:b/>
                <w:bCs/>
                <w:sz w:val="20"/>
                <w:szCs w:val="22"/>
              </w:rPr>
            </w:pPr>
            <w:r w:rsidRPr="004466D8">
              <w:rPr>
                <w:rFonts w:eastAsia="Calibri"/>
                <w:b/>
                <w:bCs/>
                <w:sz w:val="20"/>
                <w:szCs w:val="22"/>
              </w:rPr>
              <w:t>TÉR pont</w:t>
            </w:r>
          </w:p>
        </w:tc>
        <w:tc>
          <w:tcPr>
            <w:tcW w:w="1837" w:type="dxa"/>
            <w:tcBorders>
              <w:top w:val="single" w:sz="4" w:space="0" w:color="FFFFFF"/>
              <w:left w:val="nil"/>
              <w:right w:val="single" w:sz="4" w:space="0" w:color="FFFFFF"/>
            </w:tcBorders>
            <w:shd w:val="clear" w:color="auto" w:fill="EDEDED"/>
          </w:tcPr>
          <w:p w14:paraId="3295D36F" w14:textId="77777777" w:rsidR="00FD0545" w:rsidRPr="004466D8" w:rsidRDefault="00FD0545" w:rsidP="00026782">
            <w:pPr>
              <w:jc w:val="center"/>
              <w:rPr>
                <w:rFonts w:eastAsia="Calibri"/>
                <w:b/>
                <w:bCs/>
                <w:sz w:val="20"/>
                <w:szCs w:val="22"/>
              </w:rPr>
            </w:pPr>
            <w:r w:rsidRPr="004466D8">
              <w:rPr>
                <w:rFonts w:eastAsia="Calibri"/>
                <w:b/>
                <w:bCs/>
                <w:sz w:val="20"/>
                <w:szCs w:val="22"/>
              </w:rPr>
              <w:t>TÉR pont idegen nyelvű képzés esetén</w:t>
            </w:r>
          </w:p>
        </w:tc>
      </w:tr>
      <w:tr w:rsidR="00FD0545" w:rsidRPr="00C376DE" w14:paraId="6AFA3EAE" w14:textId="77777777" w:rsidTr="00026782">
        <w:trPr>
          <w:jc w:val="center"/>
        </w:trPr>
        <w:tc>
          <w:tcPr>
            <w:tcW w:w="5637" w:type="dxa"/>
            <w:shd w:val="clear" w:color="auto" w:fill="EDEDED"/>
          </w:tcPr>
          <w:p w14:paraId="15CBE8BF" w14:textId="77777777" w:rsidR="00FD0545" w:rsidRPr="004466D8" w:rsidRDefault="00FD0545" w:rsidP="00026782">
            <w:pPr>
              <w:rPr>
                <w:rFonts w:eastAsia="Calibri"/>
                <w:sz w:val="20"/>
                <w:szCs w:val="22"/>
              </w:rPr>
            </w:pPr>
            <w:r w:rsidRPr="004466D8">
              <w:rPr>
                <w:rFonts w:eastAsia="Calibri"/>
                <w:sz w:val="20"/>
                <w:szCs w:val="22"/>
              </w:rPr>
              <w:t>Szakfelelősi feladatok ellátása alapszakon</w:t>
            </w:r>
          </w:p>
        </w:tc>
        <w:tc>
          <w:tcPr>
            <w:tcW w:w="1588" w:type="dxa"/>
            <w:shd w:val="clear" w:color="auto" w:fill="EDEDED"/>
          </w:tcPr>
          <w:p w14:paraId="4AAC9ED5"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200 pont</w:t>
            </w:r>
          </w:p>
          <w:p w14:paraId="5B563B1A"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100 pont</w:t>
            </w:r>
          </w:p>
        </w:tc>
        <w:tc>
          <w:tcPr>
            <w:tcW w:w="1837" w:type="dxa"/>
            <w:shd w:val="clear" w:color="auto" w:fill="EDEDED"/>
          </w:tcPr>
          <w:p w14:paraId="1626399A"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300 pont</w:t>
            </w:r>
          </w:p>
          <w:p w14:paraId="537C84AA"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150 pont</w:t>
            </w:r>
          </w:p>
        </w:tc>
      </w:tr>
      <w:tr w:rsidR="00FD0545" w:rsidRPr="00C376DE" w14:paraId="66E8DB2C" w14:textId="77777777" w:rsidTr="00026782">
        <w:trPr>
          <w:jc w:val="center"/>
        </w:trPr>
        <w:tc>
          <w:tcPr>
            <w:tcW w:w="5637" w:type="dxa"/>
            <w:shd w:val="clear" w:color="auto" w:fill="EDEDED"/>
          </w:tcPr>
          <w:p w14:paraId="1D4379A5" w14:textId="77777777" w:rsidR="00FD0545" w:rsidRPr="004466D8" w:rsidRDefault="00FD0545" w:rsidP="00026782">
            <w:pPr>
              <w:rPr>
                <w:rFonts w:eastAsia="Calibri"/>
                <w:sz w:val="20"/>
                <w:szCs w:val="22"/>
              </w:rPr>
            </w:pPr>
            <w:r w:rsidRPr="004466D8">
              <w:rPr>
                <w:rFonts w:eastAsia="Calibri"/>
                <w:sz w:val="20"/>
                <w:szCs w:val="22"/>
              </w:rPr>
              <w:t>Szakfelelősi feladatok ellátása szakirányos</w:t>
            </w:r>
          </w:p>
        </w:tc>
        <w:tc>
          <w:tcPr>
            <w:tcW w:w="1588" w:type="dxa"/>
            <w:shd w:val="clear" w:color="auto" w:fill="EDEDED"/>
          </w:tcPr>
          <w:p w14:paraId="409E8017"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250 pont</w:t>
            </w:r>
          </w:p>
          <w:p w14:paraId="1BA4C155"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120 pont</w:t>
            </w:r>
          </w:p>
        </w:tc>
        <w:tc>
          <w:tcPr>
            <w:tcW w:w="1837" w:type="dxa"/>
            <w:shd w:val="clear" w:color="auto" w:fill="EDEDED"/>
          </w:tcPr>
          <w:p w14:paraId="1A999E97"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375 pont</w:t>
            </w:r>
          </w:p>
          <w:p w14:paraId="1265CFFD"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180 pont</w:t>
            </w:r>
          </w:p>
        </w:tc>
      </w:tr>
      <w:tr w:rsidR="00FD0545" w:rsidRPr="00C376DE" w14:paraId="44FDC807" w14:textId="77777777" w:rsidTr="00026782">
        <w:trPr>
          <w:jc w:val="center"/>
        </w:trPr>
        <w:tc>
          <w:tcPr>
            <w:tcW w:w="5637" w:type="dxa"/>
            <w:shd w:val="clear" w:color="auto" w:fill="EDEDED"/>
          </w:tcPr>
          <w:p w14:paraId="0E2D2504" w14:textId="77777777" w:rsidR="00FD0545" w:rsidRPr="004466D8" w:rsidRDefault="00FD0545" w:rsidP="00026782">
            <w:pPr>
              <w:rPr>
                <w:rFonts w:eastAsia="Calibri"/>
                <w:sz w:val="20"/>
                <w:szCs w:val="22"/>
              </w:rPr>
            </w:pPr>
            <w:r w:rsidRPr="004466D8">
              <w:rPr>
                <w:rFonts w:eastAsia="Calibri"/>
                <w:sz w:val="20"/>
                <w:szCs w:val="22"/>
              </w:rPr>
              <w:t>Szakvezető (operatív) alapszakon</w:t>
            </w:r>
          </w:p>
        </w:tc>
        <w:tc>
          <w:tcPr>
            <w:tcW w:w="1588" w:type="dxa"/>
            <w:shd w:val="clear" w:color="auto" w:fill="EDEDED"/>
          </w:tcPr>
          <w:p w14:paraId="74F1D1DB"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250 pont</w:t>
            </w:r>
          </w:p>
          <w:p w14:paraId="7C0CC2BB" w14:textId="77777777" w:rsidR="00FD0545" w:rsidRPr="004466D8" w:rsidRDefault="00FD0545" w:rsidP="00026782">
            <w:pPr>
              <w:jc w:val="center"/>
              <w:rPr>
                <w:rFonts w:eastAsia="Calibri"/>
                <w:sz w:val="20"/>
                <w:szCs w:val="22"/>
              </w:rPr>
            </w:pPr>
            <w:r w:rsidRPr="004466D8">
              <w:rPr>
                <w:rFonts w:eastAsia="Calibri"/>
                <w:sz w:val="20"/>
                <w:szCs w:val="22"/>
              </w:rPr>
              <w:t>MSC: 150 pont</w:t>
            </w:r>
          </w:p>
        </w:tc>
        <w:tc>
          <w:tcPr>
            <w:tcW w:w="1837" w:type="dxa"/>
            <w:shd w:val="clear" w:color="auto" w:fill="EDEDED"/>
          </w:tcPr>
          <w:p w14:paraId="109769A9"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375 pont</w:t>
            </w:r>
          </w:p>
          <w:p w14:paraId="1BBD3743" w14:textId="77777777" w:rsidR="00FD0545" w:rsidRPr="004466D8" w:rsidRDefault="00FD0545" w:rsidP="00026782">
            <w:pPr>
              <w:jc w:val="center"/>
              <w:rPr>
                <w:rFonts w:eastAsia="Calibri"/>
                <w:sz w:val="20"/>
                <w:szCs w:val="22"/>
              </w:rPr>
            </w:pPr>
            <w:r w:rsidRPr="004466D8">
              <w:rPr>
                <w:rFonts w:eastAsia="Calibri"/>
                <w:sz w:val="20"/>
                <w:szCs w:val="22"/>
              </w:rPr>
              <w:t>MSC: 225 pont</w:t>
            </w:r>
          </w:p>
        </w:tc>
      </w:tr>
      <w:tr w:rsidR="00FD0545" w:rsidRPr="00C376DE" w14:paraId="38CD4403" w14:textId="77777777" w:rsidTr="00026782">
        <w:trPr>
          <w:jc w:val="center"/>
        </w:trPr>
        <w:tc>
          <w:tcPr>
            <w:tcW w:w="5637" w:type="dxa"/>
            <w:shd w:val="clear" w:color="auto" w:fill="EDEDED"/>
          </w:tcPr>
          <w:p w14:paraId="56EF8158" w14:textId="77777777" w:rsidR="00FD0545" w:rsidRPr="004466D8" w:rsidRDefault="00FD0545" w:rsidP="00026782">
            <w:pPr>
              <w:rPr>
                <w:rFonts w:eastAsia="Calibri"/>
                <w:sz w:val="20"/>
                <w:szCs w:val="22"/>
              </w:rPr>
            </w:pPr>
            <w:r w:rsidRPr="004466D8">
              <w:rPr>
                <w:rFonts w:eastAsia="Calibri"/>
                <w:sz w:val="20"/>
                <w:szCs w:val="22"/>
              </w:rPr>
              <w:t>Szakvezető (operatív) szakirányon</w:t>
            </w:r>
          </w:p>
        </w:tc>
        <w:tc>
          <w:tcPr>
            <w:tcW w:w="1588" w:type="dxa"/>
            <w:shd w:val="clear" w:color="auto" w:fill="EDEDED"/>
          </w:tcPr>
          <w:p w14:paraId="3D41EDC7"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300 pont</w:t>
            </w:r>
          </w:p>
          <w:p w14:paraId="254BB8D9"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200 pont</w:t>
            </w:r>
          </w:p>
        </w:tc>
        <w:tc>
          <w:tcPr>
            <w:tcW w:w="1837" w:type="dxa"/>
            <w:shd w:val="clear" w:color="auto" w:fill="EDEDED"/>
          </w:tcPr>
          <w:p w14:paraId="64FF103B"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450 pont</w:t>
            </w:r>
          </w:p>
          <w:p w14:paraId="281E9881"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300 pont</w:t>
            </w:r>
          </w:p>
        </w:tc>
      </w:tr>
      <w:tr w:rsidR="00FD0545" w:rsidRPr="00C376DE" w14:paraId="4C50C84F" w14:textId="77777777" w:rsidTr="00026782">
        <w:trPr>
          <w:jc w:val="center"/>
        </w:trPr>
        <w:tc>
          <w:tcPr>
            <w:tcW w:w="5637" w:type="dxa"/>
            <w:shd w:val="clear" w:color="auto" w:fill="EDEDED"/>
          </w:tcPr>
          <w:p w14:paraId="35B6F4F1" w14:textId="77777777" w:rsidR="00FD0545" w:rsidRPr="004466D8" w:rsidRDefault="00FD0545" w:rsidP="00026782">
            <w:pPr>
              <w:rPr>
                <w:rFonts w:eastAsia="Calibri"/>
                <w:sz w:val="20"/>
                <w:szCs w:val="22"/>
              </w:rPr>
            </w:pPr>
            <w:r w:rsidRPr="004466D8">
              <w:rPr>
                <w:rFonts w:eastAsia="Calibri"/>
                <w:sz w:val="20"/>
                <w:szCs w:val="22"/>
              </w:rPr>
              <w:t>Évfolyamfelelős</w:t>
            </w:r>
          </w:p>
        </w:tc>
        <w:tc>
          <w:tcPr>
            <w:tcW w:w="1588" w:type="dxa"/>
            <w:shd w:val="clear" w:color="auto" w:fill="EDEDED"/>
          </w:tcPr>
          <w:p w14:paraId="46DF90D3"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200 pont</w:t>
            </w:r>
          </w:p>
          <w:p w14:paraId="09C3CF3D"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150 pont</w:t>
            </w:r>
          </w:p>
        </w:tc>
        <w:tc>
          <w:tcPr>
            <w:tcW w:w="1837" w:type="dxa"/>
            <w:shd w:val="clear" w:color="auto" w:fill="EDEDED"/>
          </w:tcPr>
          <w:p w14:paraId="37F20FCF" w14:textId="77777777" w:rsidR="00FD0545" w:rsidRPr="004466D8" w:rsidRDefault="00FD0545" w:rsidP="00026782">
            <w:pPr>
              <w:jc w:val="center"/>
              <w:rPr>
                <w:rFonts w:eastAsia="Calibri"/>
                <w:sz w:val="20"/>
                <w:szCs w:val="22"/>
              </w:rPr>
            </w:pPr>
            <w:proofErr w:type="spellStart"/>
            <w:r w:rsidRPr="004466D8">
              <w:rPr>
                <w:rFonts w:eastAsia="Calibri"/>
                <w:sz w:val="20"/>
                <w:szCs w:val="22"/>
              </w:rPr>
              <w:t>BSc</w:t>
            </w:r>
            <w:proofErr w:type="spellEnd"/>
            <w:r w:rsidRPr="004466D8">
              <w:rPr>
                <w:rFonts w:eastAsia="Calibri"/>
                <w:sz w:val="20"/>
                <w:szCs w:val="22"/>
              </w:rPr>
              <w:t>: 300 pont</w:t>
            </w:r>
          </w:p>
          <w:p w14:paraId="5C5537F6" w14:textId="77777777" w:rsidR="00FD0545" w:rsidRPr="004466D8" w:rsidRDefault="00FD0545" w:rsidP="00026782">
            <w:pPr>
              <w:jc w:val="center"/>
              <w:rPr>
                <w:rFonts w:eastAsia="Calibri"/>
                <w:sz w:val="20"/>
                <w:szCs w:val="22"/>
              </w:rPr>
            </w:pPr>
            <w:proofErr w:type="spellStart"/>
            <w:r w:rsidRPr="004466D8">
              <w:rPr>
                <w:rFonts w:eastAsia="Calibri"/>
                <w:sz w:val="20"/>
                <w:szCs w:val="22"/>
              </w:rPr>
              <w:t>MSc</w:t>
            </w:r>
            <w:proofErr w:type="spellEnd"/>
            <w:r w:rsidRPr="004466D8">
              <w:rPr>
                <w:rFonts w:eastAsia="Calibri"/>
                <w:sz w:val="20"/>
                <w:szCs w:val="22"/>
              </w:rPr>
              <w:t>: 225 pont</w:t>
            </w:r>
          </w:p>
        </w:tc>
      </w:tr>
      <w:tr w:rsidR="00FD0545" w:rsidRPr="00C376DE" w14:paraId="62614CD2" w14:textId="77777777" w:rsidTr="00026782">
        <w:trPr>
          <w:jc w:val="center"/>
        </w:trPr>
        <w:tc>
          <w:tcPr>
            <w:tcW w:w="5637" w:type="dxa"/>
            <w:shd w:val="clear" w:color="auto" w:fill="EDEDED"/>
          </w:tcPr>
          <w:p w14:paraId="522166C6" w14:textId="77777777" w:rsidR="00FD0545" w:rsidRPr="004466D8" w:rsidRDefault="00FD0545" w:rsidP="00026782">
            <w:pPr>
              <w:rPr>
                <w:rFonts w:eastAsia="Calibri"/>
                <w:sz w:val="20"/>
                <w:szCs w:val="22"/>
              </w:rPr>
            </w:pPr>
            <w:r w:rsidRPr="004466D8">
              <w:rPr>
                <w:rFonts w:eastAsia="Calibri"/>
                <w:sz w:val="20"/>
                <w:szCs w:val="22"/>
              </w:rPr>
              <w:t>Szakindítás előkészítése (közreműködők között felosztandó)</w:t>
            </w:r>
          </w:p>
        </w:tc>
        <w:tc>
          <w:tcPr>
            <w:tcW w:w="1588" w:type="dxa"/>
            <w:shd w:val="clear" w:color="auto" w:fill="EDEDED"/>
          </w:tcPr>
          <w:p w14:paraId="66709F3B" w14:textId="77777777" w:rsidR="00FD0545" w:rsidRPr="004466D8" w:rsidRDefault="00FD0545" w:rsidP="00026782">
            <w:pPr>
              <w:jc w:val="center"/>
              <w:rPr>
                <w:rFonts w:eastAsia="Calibri"/>
                <w:sz w:val="20"/>
                <w:szCs w:val="22"/>
              </w:rPr>
            </w:pPr>
            <w:r w:rsidRPr="004466D8">
              <w:rPr>
                <w:rFonts w:eastAsia="Calibri"/>
                <w:sz w:val="20"/>
                <w:szCs w:val="22"/>
              </w:rPr>
              <w:t>1000 pont</w:t>
            </w:r>
          </w:p>
        </w:tc>
        <w:tc>
          <w:tcPr>
            <w:tcW w:w="1837" w:type="dxa"/>
            <w:shd w:val="clear" w:color="auto" w:fill="EDEDED"/>
          </w:tcPr>
          <w:p w14:paraId="09998A74" w14:textId="77777777" w:rsidR="00FD0545" w:rsidRPr="004466D8" w:rsidRDefault="00FD0545" w:rsidP="00026782">
            <w:pPr>
              <w:jc w:val="center"/>
              <w:rPr>
                <w:rFonts w:eastAsia="Calibri"/>
                <w:sz w:val="20"/>
                <w:szCs w:val="22"/>
              </w:rPr>
            </w:pPr>
            <w:r w:rsidRPr="004466D8">
              <w:rPr>
                <w:rFonts w:eastAsia="Calibri"/>
                <w:sz w:val="20"/>
                <w:szCs w:val="22"/>
              </w:rPr>
              <w:t>1500 pont</w:t>
            </w:r>
          </w:p>
        </w:tc>
      </w:tr>
    </w:tbl>
    <w:p w14:paraId="49CCF579" w14:textId="77777777" w:rsidR="00FD0545" w:rsidRPr="00E13CE5" w:rsidRDefault="00FD0545" w:rsidP="00FD0545">
      <w:pPr>
        <w:spacing w:before="160"/>
        <w:jc w:val="both"/>
        <w:rPr>
          <w:rFonts w:eastAsia="Calibri"/>
          <w:sz w:val="22"/>
          <w:szCs w:val="22"/>
        </w:rPr>
      </w:pPr>
      <w:r w:rsidRPr="00E13CE5">
        <w:rPr>
          <w:rFonts w:eastAsia="Calibri"/>
          <w:sz w:val="22"/>
          <w:szCs w:val="22"/>
        </w:rPr>
        <w:t xml:space="preserve">Csak olyan szak/szakirány tekinthető TÉR pontra jogosítónak, mely az értékelési időszakban rendelkezik </w:t>
      </w:r>
      <w:proofErr w:type="gramStart"/>
      <w:r w:rsidRPr="00E13CE5">
        <w:rPr>
          <w:rFonts w:eastAsia="Calibri"/>
          <w:sz w:val="22"/>
          <w:szCs w:val="22"/>
        </w:rPr>
        <w:t>aktív</w:t>
      </w:r>
      <w:proofErr w:type="gramEnd"/>
      <w:r w:rsidRPr="00E13CE5">
        <w:rPr>
          <w:rFonts w:eastAsia="Calibri"/>
          <w:sz w:val="22"/>
          <w:szCs w:val="22"/>
        </w:rPr>
        <w:t xml:space="preserve"> hallgatóval.</w:t>
      </w:r>
    </w:p>
    <w:p w14:paraId="56F1ECFC"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AA470CD" w14:textId="77777777" w:rsidTr="00026782">
        <w:tc>
          <w:tcPr>
            <w:tcW w:w="1980" w:type="dxa"/>
            <w:shd w:val="clear" w:color="auto" w:fill="F2F2F2"/>
          </w:tcPr>
          <w:p w14:paraId="1A1D6B12"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75A15E1D" w14:textId="77777777" w:rsidR="00FD0545" w:rsidRPr="00C376DE" w:rsidRDefault="00FD0545" w:rsidP="00026782">
            <w:pPr>
              <w:rPr>
                <w:rFonts w:eastAsia="Calibri"/>
                <w:b/>
                <w:bCs/>
                <w:sz w:val="22"/>
                <w:szCs w:val="22"/>
              </w:rPr>
            </w:pPr>
            <w:r w:rsidRPr="00C376DE">
              <w:rPr>
                <w:rFonts w:eastAsia="Calibri"/>
                <w:b/>
                <w:bCs/>
                <w:sz w:val="22"/>
                <w:szCs w:val="22"/>
              </w:rPr>
              <w:t>OH és kari nyilvántartás</w:t>
            </w:r>
          </w:p>
        </w:tc>
      </w:tr>
      <w:tr w:rsidR="00FD0545" w:rsidRPr="00C376DE" w14:paraId="29028178" w14:textId="77777777" w:rsidTr="00026782">
        <w:tc>
          <w:tcPr>
            <w:tcW w:w="1980" w:type="dxa"/>
            <w:shd w:val="clear" w:color="auto" w:fill="F2F2F2"/>
          </w:tcPr>
          <w:p w14:paraId="21884277"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036A887B" w14:textId="77777777" w:rsidR="00FD0545" w:rsidRPr="00C376DE" w:rsidRDefault="00FD0545" w:rsidP="00026782">
            <w:pPr>
              <w:rPr>
                <w:rFonts w:eastAsia="Calibri"/>
                <w:b/>
                <w:bCs/>
                <w:sz w:val="22"/>
                <w:szCs w:val="22"/>
              </w:rPr>
            </w:pPr>
            <w:r w:rsidRPr="00C376DE">
              <w:rPr>
                <w:rFonts w:eastAsia="Calibri"/>
                <w:b/>
                <w:bCs/>
                <w:sz w:val="22"/>
                <w:szCs w:val="22"/>
              </w:rPr>
              <w:t>Akkreditációs TÉR jelentés (J/10. melléklet)</w:t>
            </w:r>
          </w:p>
        </w:tc>
      </w:tr>
      <w:tr w:rsidR="00FD0545" w:rsidRPr="00C376DE" w14:paraId="6C609EE1" w14:textId="77777777" w:rsidTr="00026782">
        <w:tc>
          <w:tcPr>
            <w:tcW w:w="1980" w:type="dxa"/>
            <w:shd w:val="clear" w:color="auto" w:fill="F2F2F2"/>
          </w:tcPr>
          <w:p w14:paraId="602DA791"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28250BF" w14:textId="77777777" w:rsidR="00FD0545" w:rsidRPr="00C376DE" w:rsidRDefault="00FD0545" w:rsidP="00026782">
            <w:pPr>
              <w:rPr>
                <w:rFonts w:eastAsia="Calibri"/>
                <w:b/>
                <w:bCs/>
                <w:sz w:val="22"/>
                <w:szCs w:val="22"/>
              </w:rPr>
            </w:pPr>
            <w:r w:rsidRPr="00C376DE">
              <w:rPr>
                <w:rFonts w:eastAsia="Calibri"/>
                <w:b/>
                <w:bCs/>
                <w:sz w:val="22"/>
                <w:szCs w:val="22"/>
              </w:rPr>
              <w:t>Akkreditációs koordinátor</w:t>
            </w:r>
          </w:p>
        </w:tc>
      </w:tr>
    </w:tbl>
    <w:p w14:paraId="51BC025E" w14:textId="77777777" w:rsidR="00FD0545" w:rsidRPr="00E13CE5" w:rsidRDefault="00FD0545" w:rsidP="00FD0545">
      <w:pPr>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2541"/>
        <w:gridCol w:w="2620"/>
        <w:gridCol w:w="2315"/>
        <w:gridCol w:w="1586"/>
      </w:tblGrid>
      <w:tr w:rsidR="00FD0545" w:rsidRPr="00347D14" w14:paraId="2CF232CA" w14:textId="77777777" w:rsidTr="00026782">
        <w:trPr>
          <w:jc w:val="center"/>
        </w:trPr>
        <w:tc>
          <w:tcPr>
            <w:tcW w:w="2541" w:type="dxa"/>
            <w:tcBorders>
              <w:top w:val="single" w:sz="4" w:space="0" w:color="FFFFFF"/>
              <w:left w:val="single" w:sz="4" w:space="0" w:color="FFFFFF"/>
              <w:right w:val="nil"/>
            </w:tcBorders>
            <w:shd w:val="clear" w:color="auto" w:fill="EDEDED"/>
          </w:tcPr>
          <w:p w14:paraId="34B3A7E4" w14:textId="77777777" w:rsidR="00FD0545" w:rsidRPr="00347D14" w:rsidRDefault="00FD0545" w:rsidP="00026782">
            <w:pPr>
              <w:jc w:val="center"/>
              <w:rPr>
                <w:rFonts w:eastAsia="Calibri"/>
                <w:b/>
                <w:bCs/>
                <w:sz w:val="22"/>
                <w:szCs w:val="22"/>
              </w:rPr>
            </w:pPr>
            <w:r w:rsidRPr="00347D14">
              <w:rPr>
                <w:rFonts w:eastAsia="Calibri"/>
                <w:b/>
                <w:bCs/>
                <w:sz w:val="22"/>
                <w:szCs w:val="22"/>
              </w:rPr>
              <w:t>Elismert teljesítmény</w:t>
            </w:r>
          </w:p>
        </w:tc>
        <w:tc>
          <w:tcPr>
            <w:tcW w:w="2620" w:type="dxa"/>
            <w:tcBorders>
              <w:top w:val="single" w:sz="4" w:space="0" w:color="FFFFFF"/>
              <w:left w:val="nil"/>
              <w:right w:val="nil"/>
            </w:tcBorders>
            <w:shd w:val="clear" w:color="auto" w:fill="EDEDED"/>
          </w:tcPr>
          <w:p w14:paraId="6B3CA433" w14:textId="77777777" w:rsidR="00FD0545" w:rsidRPr="00347D14" w:rsidRDefault="00FD0545" w:rsidP="00026782">
            <w:pPr>
              <w:jc w:val="center"/>
              <w:rPr>
                <w:rFonts w:eastAsia="Calibri"/>
                <w:b/>
                <w:bCs/>
                <w:sz w:val="22"/>
                <w:szCs w:val="22"/>
              </w:rPr>
            </w:pPr>
            <w:r w:rsidRPr="00347D14">
              <w:rPr>
                <w:rFonts w:eastAsia="Calibri"/>
                <w:b/>
                <w:bCs/>
                <w:sz w:val="22"/>
                <w:szCs w:val="22"/>
              </w:rPr>
              <w:t>Mérésegység</w:t>
            </w:r>
          </w:p>
        </w:tc>
        <w:tc>
          <w:tcPr>
            <w:tcW w:w="2315" w:type="dxa"/>
            <w:tcBorders>
              <w:top w:val="single" w:sz="4" w:space="0" w:color="FFFFFF"/>
              <w:left w:val="nil"/>
              <w:right w:val="nil"/>
            </w:tcBorders>
            <w:shd w:val="clear" w:color="auto" w:fill="EDEDED"/>
          </w:tcPr>
          <w:p w14:paraId="10743895" w14:textId="77777777" w:rsidR="00FD0545" w:rsidRPr="00347D14" w:rsidRDefault="00FD0545" w:rsidP="00026782">
            <w:pPr>
              <w:jc w:val="center"/>
              <w:rPr>
                <w:rFonts w:eastAsia="Calibri"/>
                <w:b/>
                <w:bCs/>
                <w:sz w:val="22"/>
                <w:szCs w:val="22"/>
              </w:rPr>
            </w:pPr>
            <w:r w:rsidRPr="00347D14">
              <w:rPr>
                <w:rFonts w:eastAsia="Calibri"/>
                <w:b/>
                <w:bCs/>
                <w:sz w:val="22"/>
                <w:szCs w:val="22"/>
              </w:rPr>
              <w:t>Egységpont</w:t>
            </w:r>
          </w:p>
        </w:tc>
        <w:tc>
          <w:tcPr>
            <w:tcW w:w="1586" w:type="dxa"/>
            <w:tcBorders>
              <w:top w:val="single" w:sz="4" w:space="0" w:color="FFFFFF"/>
              <w:left w:val="nil"/>
              <w:right w:val="single" w:sz="4" w:space="0" w:color="FFFFFF"/>
            </w:tcBorders>
            <w:shd w:val="clear" w:color="auto" w:fill="EDEDED"/>
          </w:tcPr>
          <w:p w14:paraId="55AB6FF0" w14:textId="77777777" w:rsidR="00FD0545" w:rsidRPr="00347D14" w:rsidRDefault="00FD0545" w:rsidP="00026782">
            <w:pPr>
              <w:jc w:val="center"/>
              <w:rPr>
                <w:rFonts w:eastAsia="Calibri"/>
                <w:b/>
                <w:bCs/>
                <w:sz w:val="22"/>
                <w:szCs w:val="22"/>
              </w:rPr>
            </w:pPr>
            <w:r w:rsidRPr="00347D14">
              <w:rPr>
                <w:rFonts w:eastAsia="Calibri"/>
                <w:b/>
                <w:bCs/>
                <w:sz w:val="22"/>
                <w:szCs w:val="22"/>
              </w:rPr>
              <w:t>Maximum pont</w:t>
            </w:r>
          </w:p>
        </w:tc>
      </w:tr>
      <w:tr w:rsidR="00FD0545" w:rsidRPr="00C376DE" w14:paraId="466FF00E" w14:textId="77777777" w:rsidTr="00026782">
        <w:trPr>
          <w:jc w:val="center"/>
        </w:trPr>
        <w:tc>
          <w:tcPr>
            <w:tcW w:w="2541" w:type="dxa"/>
            <w:shd w:val="clear" w:color="auto" w:fill="EDEDED"/>
          </w:tcPr>
          <w:p w14:paraId="629338BC" w14:textId="77777777" w:rsidR="00FD0545" w:rsidRPr="00C376DE" w:rsidRDefault="00FD0545" w:rsidP="00026782">
            <w:pPr>
              <w:rPr>
                <w:rFonts w:eastAsia="Calibri"/>
                <w:sz w:val="22"/>
                <w:szCs w:val="22"/>
              </w:rPr>
            </w:pPr>
            <w:proofErr w:type="spellStart"/>
            <w:r w:rsidRPr="00C376DE">
              <w:rPr>
                <w:rFonts w:eastAsia="Calibri"/>
                <w:sz w:val="22"/>
                <w:szCs w:val="22"/>
              </w:rPr>
              <w:t>MSc</w:t>
            </w:r>
            <w:proofErr w:type="spellEnd"/>
            <w:r w:rsidRPr="00C376DE">
              <w:rPr>
                <w:rFonts w:eastAsia="Calibri"/>
                <w:sz w:val="22"/>
                <w:szCs w:val="22"/>
              </w:rPr>
              <w:t xml:space="preserve"> felvételi bizottsági tagság</w:t>
            </w:r>
          </w:p>
        </w:tc>
        <w:tc>
          <w:tcPr>
            <w:tcW w:w="2620" w:type="dxa"/>
            <w:shd w:val="clear" w:color="auto" w:fill="EDEDED"/>
          </w:tcPr>
          <w:p w14:paraId="44F47DD5"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2315" w:type="dxa"/>
            <w:shd w:val="clear" w:color="auto" w:fill="EDEDED"/>
          </w:tcPr>
          <w:p w14:paraId="728C1FAE" w14:textId="77777777" w:rsidR="00FD0545" w:rsidRPr="00C376DE" w:rsidRDefault="00FD0545" w:rsidP="00026782">
            <w:pPr>
              <w:jc w:val="center"/>
              <w:rPr>
                <w:rFonts w:eastAsia="Calibri"/>
                <w:sz w:val="22"/>
                <w:szCs w:val="22"/>
              </w:rPr>
            </w:pPr>
            <w:r w:rsidRPr="00C376DE">
              <w:rPr>
                <w:rFonts w:eastAsia="Calibri"/>
                <w:sz w:val="22"/>
                <w:szCs w:val="22"/>
              </w:rPr>
              <w:t>0,5 pont</w:t>
            </w:r>
          </w:p>
        </w:tc>
        <w:tc>
          <w:tcPr>
            <w:tcW w:w="1586" w:type="dxa"/>
            <w:shd w:val="clear" w:color="auto" w:fill="EDEDED"/>
          </w:tcPr>
          <w:p w14:paraId="04A8451C" w14:textId="77777777" w:rsidR="00FD0545" w:rsidRPr="00C376DE" w:rsidRDefault="00FD0545" w:rsidP="00026782">
            <w:pPr>
              <w:jc w:val="center"/>
              <w:rPr>
                <w:rFonts w:eastAsia="Calibri"/>
                <w:sz w:val="22"/>
                <w:szCs w:val="22"/>
              </w:rPr>
            </w:pPr>
            <w:r w:rsidRPr="00C376DE">
              <w:rPr>
                <w:rFonts w:eastAsia="Calibri"/>
                <w:sz w:val="22"/>
                <w:szCs w:val="22"/>
              </w:rPr>
              <w:t>10 pont</w:t>
            </w:r>
          </w:p>
        </w:tc>
      </w:tr>
      <w:tr w:rsidR="00FD0545" w:rsidRPr="00C376DE" w14:paraId="33D234EB" w14:textId="77777777" w:rsidTr="00026782">
        <w:trPr>
          <w:jc w:val="center"/>
        </w:trPr>
        <w:tc>
          <w:tcPr>
            <w:tcW w:w="2541" w:type="dxa"/>
            <w:shd w:val="clear" w:color="auto" w:fill="EDEDED"/>
          </w:tcPr>
          <w:p w14:paraId="4F591B5B" w14:textId="77777777" w:rsidR="00FD0545" w:rsidRPr="00C376DE" w:rsidRDefault="00FD0545" w:rsidP="00026782">
            <w:pPr>
              <w:rPr>
                <w:rFonts w:eastAsia="Calibri"/>
                <w:sz w:val="22"/>
                <w:szCs w:val="22"/>
              </w:rPr>
            </w:pPr>
            <w:proofErr w:type="spellStart"/>
            <w:r w:rsidRPr="00C376DE">
              <w:rPr>
                <w:rFonts w:eastAsia="Calibri"/>
                <w:sz w:val="22"/>
                <w:szCs w:val="22"/>
              </w:rPr>
              <w:t>MSc</w:t>
            </w:r>
            <w:proofErr w:type="spellEnd"/>
            <w:r w:rsidRPr="00C376DE">
              <w:rPr>
                <w:rFonts w:eastAsia="Calibri"/>
                <w:sz w:val="22"/>
                <w:szCs w:val="22"/>
              </w:rPr>
              <w:t xml:space="preserve"> felvételi bizottság elnöke</w:t>
            </w:r>
          </w:p>
        </w:tc>
        <w:tc>
          <w:tcPr>
            <w:tcW w:w="2620" w:type="dxa"/>
            <w:shd w:val="clear" w:color="auto" w:fill="EDEDED"/>
          </w:tcPr>
          <w:p w14:paraId="287B5CD5" w14:textId="77777777" w:rsidR="00FD0545" w:rsidRPr="00C376DE" w:rsidRDefault="00FD0545" w:rsidP="00026782">
            <w:pPr>
              <w:jc w:val="center"/>
              <w:rPr>
                <w:rFonts w:eastAsia="Calibri"/>
                <w:sz w:val="22"/>
                <w:szCs w:val="22"/>
              </w:rPr>
            </w:pPr>
            <w:r w:rsidRPr="00C376DE">
              <w:rPr>
                <w:rFonts w:eastAsia="Calibri"/>
                <w:sz w:val="22"/>
                <w:szCs w:val="22"/>
              </w:rPr>
              <w:t>fő hallgató</w:t>
            </w:r>
          </w:p>
        </w:tc>
        <w:tc>
          <w:tcPr>
            <w:tcW w:w="2315" w:type="dxa"/>
            <w:shd w:val="clear" w:color="auto" w:fill="EDEDED"/>
          </w:tcPr>
          <w:p w14:paraId="1FA52B00" w14:textId="77777777" w:rsidR="00FD0545" w:rsidRPr="00C376DE" w:rsidRDefault="00FD0545" w:rsidP="00026782">
            <w:pPr>
              <w:jc w:val="center"/>
              <w:rPr>
                <w:rFonts w:eastAsia="Calibri"/>
                <w:sz w:val="22"/>
                <w:szCs w:val="22"/>
              </w:rPr>
            </w:pPr>
            <w:r w:rsidRPr="00C376DE">
              <w:rPr>
                <w:rFonts w:eastAsia="Calibri"/>
                <w:sz w:val="22"/>
                <w:szCs w:val="22"/>
              </w:rPr>
              <w:t>1 pont</w:t>
            </w:r>
          </w:p>
        </w:tc>
        <w:tc>
          <w:tcPr>
            <w:tcW w:w="1586" w:type="dxa"/>
            <w:shd w:val="clear" w:color="auto" w:fill="EDEDED"/>
          </w:tcPr>
          <w:p w14:paraId="1E6F6DC1" w14:textId="77777777" w:rsidR="00FD0545" w:rsidRPr="00C376DE" w:rsidRDefault="00FD0545" w:rsidP="00026782">
            <w:pPr>
              <w:jc w:val="center"/>
              <w:rPr>
                <w:rFonts w:eastAsia="Calibri"/>
                <w:sz w:val="22"/>
                <w:szCs w:val="22"/>
              </w:rPr>
            </w:pPr>
            <w:r w:rsidRPr="00C376DE">
              <w:rPr>
                <w:rFonts w:eastAsia="Calibri"/>
                <w:sz w:val="22"/>
                <w:szCs w:val="22"/>
              </w:rPr>
              <w:t>15 pont</w:t>
            </w:r>
          </w:p>
        </w:tc>
      </w:tr>
    </w:tbl>
    <w:p w14:paraId="2244F0DE"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55009E5" w14:textId="77777777" w:rsidTr="00026782">
        <w:tc>
          <w:tcPr>
            <w:tcW w:w="1980" w:type="dxa"/>
            <w:shd w:val="clear" w:color="auto" w:fill="F2F2F2"/>
          </w:tcPr>
          <w:p w14:paraId="49D931CA"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C57F49E" w14:textId="77777777" w:rsidR="00FD0545" w:rsidRPr="00C376DE" w:rsidRDefault="00FD0545" w:rsidP="00026782">
            <w:pPr>
              <w:rPr>
                <w:rFonts w:eastAsia="Calibri"/>
                <w:b/>
                <w:bCs/>
                <w:sz w:val="22"/>
                <w:szCs w:val="22"/>
              </w:rPr>
            </w:pPr>
            <w:r w:rsidRPr="00C376DE">
              <w:rPr>
                <w:rFonts w:eastAsia="Calibri"/>
                <w:b/>
                <w:bCs/>
                <w:sz w:val="22"/>
                <w:szCs w:val="22"/>
              </w:rPr>
              <w:t>Tanulmányi Osztály nyilvántartása</w:t>
            </w:r>
          </w:p>
        </w:tc>
      </w:tr>
      <w:tr w:rsidR="00FD0545" w:rsidRPr="00C376DE" w14:paraId="16255190" w14:textId="77777777" w:rsidTr="00026782">
        <w:tc>
          <w:tcPr>
            <w:tcW w:w="1980" w:type="dxa"/>
            <w:shd w:val="clear" w:color="auto" w:fill="F2F2F2"/>
          </w:tcPr>
          <w:p w14:paraId="2A986E62"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34CF776D"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3367CC78" w14:textId="77777777" w:rsidTr="00026782">
        <w:tc>
          <w:tcPr>
            <w:tcW w:w="1980" w:type="dxa"/>
            <w:shd w:val="clear" w:color="auto" w:fill="F2F2F2"/>
          </w:tcPr>
          <w:p w14:paraId="30B6C74C"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6F087B1C"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301BF5A1" w14:textId="77777777" w:rsidR="00FD0545" w:rsidRPr="00347D14" w:rsidRDefault="00FD0545" w:rsidP="00FD0545">
      <w:pPr>
        <w:rPr>
          <w:rFonts w:eastAsia="Calibri"/>
          <w:sz w:val="22"/>
        </w:rPr>
      </w:pPr>
    </w:p>
    <w:p w14:paraId="3BAAF9C1" w14:textId="77777777" w:rsidR="00FD0545" w:rsidRDefault="00FD0545" w:rsidP="00FD0545">
      <w:pPr>
        <w:ind w:left="1416"/>
        <w:rPr>
          <w:b/>
          <w:sz w:val="22"/>
        </w:rPr>
      </w:pPr>
      <w:r w:rsidRPr="00347D14">
        <w:rPr>
          <w:b/>
          <w:sz w:val="22"/>
        </w:rPr>
        <w:t>6. Külkapcsolatok (KÜL TÉR)</w:t>
      </w:r>
    </w:p>
    <w:p w14:paraId="293C39E8" w14:textId="77777777" w:rsidR="00FD0545" w:rsidRPr="00347D14" w:rsidRDefault="00FD0545" w:rsidP="00FD0545">
      <w:pPr>
        <w:ind w:left="1416"/>
        <w:rPr>
          <w:b/>
          <w:sz w:val="22"/>
        </w:rPr>
      </w:pPr>
    </w:p>
    <w:p w14:paraId="06863620" w14:textId="77777777" w:rsidR="00FD0545" w:rsidRPr="00E13CE5" w:rsidRDefault="00FD0545" w:rsidP="00FD0545">
      <w:pPr>
        <w:jc w:val="both"/>
        <w:rPr>
          <w:rFonts w:eastAsia="Calibri"/>
          <w:sz w:val="22"/>
          <w:szCs w:val="22"/>
        </w:rPr>
      </w:pPr>
      <w:r w:rsidRPr="00E13CE5">
        <w:rPr>
          <w:rFonts w:eastAsia="Calibri"/>
          <w:sz w:val="22"/>
          <w:szCs w:val="22"/>
        </w:rPr>
        <w:t xml:space="preserve">A Kar presztízsének növeléséhez hozzájárul a nemzetközi láthatóság, mely </w:t>
      </w:r>
      <w:proofErr w:type="gramStart"/>
      <w:r w:rsidRPr="00E13CE5">
        <w:rPr>
          <w:rFonts w:eastAsia="Calibri"/>
          <w:sz w:val="22"/>
          <w:szCs w:val="22"/>
        </w:rPr>
        <w:t>aktív</w:t>
      </w:r>
      <w:proofErr w:type="gramEnd"/>
      <w:r w:rsidRPr="00E13CE5">
        <w:rPr>
          <w:rFonts w:eastAsia="Calibri"/>
          <w:sz w:val="22"/>
          <w:szCs w:val="22"/>
        </w:rPr>
        <w:t xml:space="preserve"> kapcsolatokon keresztül biztosítható. ezek kiépítése és ápolása a következő TÉR pontokkal kerül elismerésre:</w:t>
      </w:r>
    </w:p>
    <w:tbl>
      <w:tblPr>
        <w:tblW w:w="87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320"/>
        <w:gridCol w:w="2410"/>
      </w:tblGrid>
      <w:tr w:rsidR="00FD0545" w:rsidRPr="00347D14" w14:paraId="61ECD4BC" w14:textId="77777777" w:rsidTr="00026782">
        <w:trPr>
          <w:trHeight w:val="262"/>
          <w:tblHeader/>
          <w:jc w:val="center"/>
        </w:trPr>
        <w:tc>
          <w:tcPr>
            <w:tcW w:w="6320" w:type="dxa"/>
            <w:tcBorders>
              <w:top w:val="single" w:sz="4" w:space="0" w:color="FFFFFF"/>
              <w:left w:val="single" w:sz="4" w:space="0" w:color="FFFFFF"/>
              <w:right w:val="nil"/>
            </w:tcBorders>
            <w:shd w:val="clear" w:color="auto" w:fill="EDEDED"/>
          </w:tcPr>
          <w:p w14:paraId="65D72FFB" w14:textId="77777777" w:rsidR="00FD0545" w:rsidRPr="00347D14" w:rsidRDefault="00FD0545" w:rsidP="00026782">
            <w:pPr>
              <w:jc w:val="center"/>
              <w:rPr>
                <w:rFonts w:eastAsia="Calibri"/>
                <w:b/>
                <w:bCs/>
                <w:sz w:val="22"/>
                <w:szCs w:val="22"/>
              </w:rPr>
            </w:pPr>
            <w:r w:rsidRPr="00347D14">
              <w:rPr>
                <w:rFonts w:eastAsia="Calibri"/>
                <w:b/>
                <w:bCs/>
                <w:sz w:val="22"/>
                <w:szCs w:val="22"/>
              </w:rPr>
              <w:t>Tevékenység</w:t>
            </w:r>
          </w:p>
        </w:tc>
        <w:tc>
          <w:tcPr>
            <w:tcW w:w="2410" w:type="dxa"/>
            <w:tcBorders>
              <w:top w:val="single" w:sz="4" w:space="0" w:color="FFFFFF"/>
              <w:left w:val="nil"/>
              <w:right w:val="single" w:sz="4" w:space="0" w:color="FFFFFF"/>
            </w:tcBorders>
            <w:shd w:val="clear" w:color="auto" w:fill="EDEDED"/>
          </w:tcPr>
          <w:p w14:paraId="0B589F88" w14:textId="77777777" w:rsidR="00FD0545" w:rsidRPr="00347D14" w:rsidRDefault="00FD0545" w:rsidP="00026782">
            <w:pPr>
              <w:jc w:val="center"/>
              <w:rPr>
                <w:rFonts w:eastAsia="Calibri"/>
                <w:b/>
                <w:bCs/>
                <w:sz w:val="22"/>
                <w:szCs w:val="22"/>
              </w:rPr>
            </w:pPr>
            <w:r w:rsidRPr="00347D14">
              <w:rPr>
                <w:rFonts w:eastAsia="Calibri"/>
                <w:b/>
                <w:bCs/>
                <w:sz w:val="22"/>
                <w:szCs w:val="22"/>
              </w:rPr>
              <w:t>TÉR Pont</w:t>
            </w:r>
          </w:p>
        </w:tc>
      </w:tr>
      <w:tr w:rsidR="00FD0545" w:rsidRPr="00C376DE" w14:paraId="4536DA7F" w14:textId="77777777" w:rsidTr="00026782">
        <w:trPr>
          <w:trHeight w:val="525"/>
          <w:jc w:val="center"/>
        </w:trPr>
        <w:tc>
          <w:tcPr>
            <w:tcW w:w="6320" w:type="dxa"/>
            <w:shd w:val="clear" w:color="auto" w:fill="EDEDED"/>
            <w:hideMark/>
          </w:tcPr>
          <w:p w14:paraId="55AA1034" w14:textId="77777777" w:rsidR="00FD0545" w:rsidRPr="00C376DE" w:rsidRDefault="00FD0545" w:rsidP="00026782">
            <w:pPr>
              <w:rPr>
                <w:rFonts w:eastAsia="Calibri"/>
                <w:sz w:val="22"/>
                <w:szCs w:val="22"/>
              </w:rPr>
            </w:pPr>
            <w:r w:rsidRPr="00C376DE">
              <w:rPr>
                <w:rFonts w:eastAsia="Calibri"/>
                <w:sz w:val="22"/>
                <w:szCs w:val="22"/>
              </w:rPr>
              <w:t xml:space="preserve">Külföldi partnerkapcsolat (pl. Erasmus program) keretében érkező hallgatókkal, oktatókkal történő foglalkozás, gyakorlat előkészítése </w:t>
            </w:r>
          </w:p>
        </w:tc>
        <w:tc>
          <w:tcPr>
            <w:tcW w:w="2410" w:type="dxa"/>
            <w:shd w:val="clear" w:color="auto" w:fill="EDEDED"/>
            <w:hideMark/>
          </w:tcPr>
          <w:p w14:paraId="783C87E8"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50 pont/hallgató</w:t>
            </w:r>
          </w:p>
        </w:tc>
      </w:tr>
      <w:tr w:rsidR="00FD0545" w:rsidRPr="00C376DE" w14:paraId="5202E294" w14:textId="77777777" w:rsidTr="00026782">
        <w:trPr>
          <w:trHeight w:val="525"/>
          <w:jc w:val="center"/>
        </w:trPr>
        <w:tc>
          <w:tcPr>
            <w:tcW w:w="6320" w:type="dxa"/>
            <w:shd w:val="clear" w:color="auto" w:fill="EDEDED"/>
            <w:hideMark/>
          </w:tcPr>
          <w:p w14:paraId="646926DB" w14:textId="77777777" w:rsidR="00FD0545" w:rsidRPr="00C376DE" w:rsidRDefault="00FD0545" w:rsidP="00026782">
            <w:pPr>
              <w:rPr>
                <w:rFonts w:eastAsia="Calibri"/>
                <w:sz w:val="22"/>
                <w:szCs w:val="22"/>
              </w:rPr>
            </w:pPr>
            <w:r w:rsidRPr="00C376DE">
              <w:rPr>
                <w:rFonts w:eastAsia="Calibri"/>
                <w:sz w:val="22"/>
                <w:szCs w:val="22"/>
              </w:rPr>
              <w:t>Külföldi partnerkapcsolat (pl. Erasmus program) keretében fogadott hallgatók, oktatók szervezési/</w:t>
            </w:r>
            <w:proofErr w:type="gramStart"/>
            <w:r w:rsidRPr="00C376DE">
              <w:rPr>
                <w:rFonts w:eastAsia="Calibri"/>
                <w:sz w:val="22"/>
                <w:szCs w:val="22"/>
              </w:rPr>
              <w:t>koordinálási</w:t>
            </w:r>
            <w:proofErr w:type="gramEnd"/>
            <w:r w:rsidRPr="00C376DE">
              <w:rPr>
                <w:rFonts w:eastAsia="Calibri"/>
                <w:sz w:val="22"/>
                <w:szCs w:val="22"/>
              </w:rPr>
              <w:t xml:space="preserve"> feladat, előadás tartása</w:t>
            </w:r>
          </w:p>
        </w:tc>
        <w:tc>
          <w:tcPr>
            <w:tcW w:w="2410" w:type="dxa"/>
            <w:shd w:val="clear" w:color="auto" w:fill="EDEDED"/>
            <w:hideMark/>
          </w:tcPr>
          <w:p w14:paraId="31048EE7"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100 pont/turnus</w:t>
            </w:r>
          </w:p>
          <w:p w14:paraId="16EB0A9D" w14:textId="77777777" w:rsidR="00FD0545" w:rsidRPr="00C376DE" w:rsidRDefault="00FD0545" w:rsidP="00026782">
            <w:pPr>
              <w:jc w:val="center"/>
              <w:rPr>
                <w:rFonts w:eastAsia="Calibri"/>
                <w:color w:val="000000"/>
                <w:sz w:val="22"/>
                <w:szCs w:val="22"/>
              </w:rPr>
            </w:pPr>
          </w:p>
        </w:tc>
      </w:tr>
      <w:tr w:rsidR="00FD0545" w:rsidRPr="00C376DE" w14:paraId="1BA04296" w14:textId="77777777" w:rsidTr="00026782">
        <w:trPr>
          <w:trHeight w:val="300"/>
          <w:jc w:val="center"/>
        </w:trPr>
        <w:tc>
          <w:tcPr>
            <w:tcW w:w="6320" w:type="dxa"/>
            <w:shd w:val="clear" w:color="auto" w:fill="EDEDED"/>
            <w:hideMark/>
          </w:tcPr>
          <w:p w14:paraId="53BB34C9" w14:textId="77777777" w:rsidR="00FD0545" w:rsidRPr="00C376DE" w:rsidRDefault="00FD0545" w:rsidP="00026782">
            <w:pPr>
              <w:rPr>
                <w:rFonts w:eastAsia="Calibri"/>
                <w:sz w:val="22"/>
                <w:szCs w:val="22"/>
              </w:rPr>
            </w:pPr>
            <w:r w:rsidRPr="00C376DE">
              <w:rPr>
                <w:rFonts w:eastAsia="Calibri"/>
                <w:sz w:val="22"/>
                <w:szCs w:val="22"/>
              </w:rPr>
              <w:t>Külföldi partnerkapcsolat (pl. Erasmus program) szervezési feladatok (meghallgatás, szakmai felügylet, szerződéskezelés)</w:t>
            </w:r>
          </w:p>
        </w:tc>
        <w:tc>
          <w:tcPr>
            <w:tcW w:w="2410" w:type="dxa"/>
            <w:shd w:val="clear" w:color="auto" w:fill="EDEDED"/>
            <w:hideMark/>
          </w:tcPr>
          <w:p w14:paraId="4FE4E7DF"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 pont/bizottság</w:t>
            </w:r>
          </w:p>
        </w:tc>
      </w:tr>
      <w:tr w:rsidR="00FD0545" w:rsidRPr="00C376DE" w14:paraId="66E4CD9F" w14:textId="77777777" w:rsidTr="00026782">
        <w:trPr>
          <w:trHeight w:val="510"/>
          <w:jc w:val="center"/>
        </w:trPr>
        <w:tc>
          <w:tcPr>
            <w:tcW w:w="6320" w:type="dxa"/>
            <w:shd w:val="clear" w:color="auto" w:fill="EDEDED"/>
            <w:hideMark/>
          </w:tcPr>
          <w:p w14:paraId="6E272F88" w14:textId="77777777" w:rsidR="00FD0545" w:rsidRPr="00C376DE" w:rsidRDefault="00FD0545" w:rsidP="00026782">
            <w:pPr>
              <w:rPr>
                <w:rFonts w:eastAsia="Calibri"/>
                <w:sz w:val="22"/>
                <w:szCs w:val="22"/>
              </w:rPr>
            </w:pPr>
            <w:r w:rsidRPr="00C376DE">
              <w:rPr>
                <w:rFonts w:eastAsia="Calibri"/>
                <w:sz w:val="22"/>
                <w:szCs w:val="22"/>
              </w:rPr>
              <w:t>A kar szempontjából fejlesztési eredménnyel járó külföldi kapcsolat építése, mely szerződéssel zárul</w:t>
            </w:r>
          </w:p>
        </w:tc>
        <w:tc>
          <w:tcPr>
            <w:tcW w:w="2410" w:type="dxa"/>
            <w:shd w:val="clear" w:color="auto" w:fill="EDEDED"/>
            <w:hideMark/>
          </w:tcPr>
          <w:p w14:paraId="705779B3" w14:textId="77777777" w:rsidR="00FD0545" w:rsidRPr="00C376DE" w:rsidRDefault="00FD0545" w:rsidP="00026782">
            <w:pPr>
              <w:jc w:val="center"/>
              <w:rPr>
                <w:rFonts w:eastAsia="Calibri"/>
                <w:color w:val="000000"/>
                <w:sz w:val="22"/>
                <w:szCs w:val="22"/>
              </w:rPr>
            </w:pPr>
            <w:r w:rsidRPr="00C376DE">
              <w:rPr>
                <w:rFonts w:eastAsia="Calibri"/>
                <w:color w:val="000000"/>
                <w:sz w:val="22"/>
                <w:szCs w:val="22"/>
              </w:rPr>
              <w:t>200 pont/szerződés</w:t>
            </w:r>
          </w:p>
        </w:tc>
      </w:tr>
    </w:tbl>
    <w:p w14:paraId="72B147DE"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3B1A2661" w14:textId="77777777" w:rsidTr="00026782">
        <w:tc>
          <w:tcPr>
            <w:tcW w:w="1980" w:type="dxa"/>
            <w:shd w:val="clear" w:color="auto" w:fill="F2F2F2"/>
          </w:tcPr>
          <w:p w14:paraId="161EFA33"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D713565" w14:textId="77777777" w:rsidR="00FD0545" w:rsidRPr="00C376DE" w:rsidRDefault="00FD0545" w:rsidP="00026782">
            <w:pPr>
              <w:rPr>
                <w:rFonts w:eastAsia="Calibri"/>
                <w:b/>
                <w:bCs/>
                <w:sz w:val="22"/>
                <w:szCs w:val="22"/>
              </w:rPr>
            </w:pPr>
            <w:r w:rsidRPr="00C376DE">
              <w:rPr>
                <w:rFonts w:eastAsia="Calibri"/>
                <w:b/>
                <w:bCs/>
                <w:sz w:val="22"/>
                <w:szCs w:val="22"/>
              </w:rPr>
              <w:t>Külügyi Iroda nyilvántartása</w:t>
            </w:r>
          </w:p>
        </w:tc>
      </w:tr>
      <w:tr w:rsidR="00FD0545" w:rsidRPr="00C376DE" w14:paraId="19BDE09B" w14:textId="77777777" w:rsidTr="00026782">
        <w:tc>
          <w:tcPr>
            <w:tcW w:w="1980" w:type="dxa"/>
            <w:shd w:val="clear" w:color="auto" w:fill="F2F2F2"/>
          </w:tcPr>
          <w:p w14:paraId="753F2409"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12567471" w14:textId="77777777" w:rsidR="00FD0545" w:rsidRPr="00C376DE" w:rsidRDefault="00FD0545" w:rsidP="00026782">
            <w:pPr>
              <w:rPr>
                <w:rFonts w:eastAsia="Calibri"/>
                <w:b/>
                <w:bCs/>
                <w:sz w:val="22"/>
                <w:szCs w:val="22"/>
              </w:rPr>
            </w:pPr>
            <w:r w:rsidRPr="00C376DE">
              <w:rPr>
                <w:rFonts w:eastAsia="Calibri"/>
                <w:b/>
                <w:bCs/>
                <w:sz w:val="22"/>
                <w:szCs w:val="22"/>
              </w:rPr>
              <w:t>Külügyi TÉR jelentés (J/9. melléklet)</w:t>
            </w:r>
          </w:p>
        </w:tc>
      </w:tr>
      <w:tr w:rsidR="00FD0545" w:rsidRPr="00C376DE" w14:paraId="0AFD9ACE" w14:textId="77777777" w:rsidTr="00026782">
        <w:tc>
          <w:tcPr>
            <w:tcW w:w="1980" w:type="dxa"/>
            <w:shd w:val="clear" w:color="auto" w:fill="F2F2F2"/>
          </w:tcPr>
          <w:p w14:paraId="245E4DB6"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0D809D2" w14:textId="77777777" w:rsidR="00FD0545" w:rsidRPr="00C376DE" w:rsidRDefault="00FD0545" w:rsidP="00026782">
            <w:pPr>
              <w:rPr>
                <w:rFonts w:eastAsia="Calibri"/>
                <w:b/>
                <w:bCs/>
                <w:sz w:val="22"/>
                <w:szCs w:val="22"/>
              </w:rPr>
            </w:pPr>
            <w:r w:rsidRPr="00C376DE">
              <w:rPr>
                <w:rFonts w:eastAsia="Calibri"/>
                <w:b/>
                <w:bCs/>
                <w:sz w:val="22"/>
                <w:szCs w:val="22"/>
              </w:rPr>
              <w:t>Külügyi vezető</w:t>
            </w:r>
          </w:p>
        </w:tc>
      </w:tr>
    </w:tbl>
    <w:p w14:paraId="3E287853" w14:textId="77777777" w:rsidR="00FD0545" w:rsidRDefault="00FD0545" w:rsidP="00FD0545">
      <w:pPr>
        <w:ind w:left="1416"/>
        <w:rPr>
          <w:b/>
          <w:sz w:val="22"/>
        </w:rPr>
      </w:pPr>
    </w:p>
    <w:p w14:paraId="319CD76D" w14:textId="77777777" w:rsidR="00FD0545" w:rsidRDefault="00FD0545" w:rsidP="00FD0545">
      <w:pPr>
        <w:ind w:left="1416"/>
        <w:rPr>
          <w:b/>
          <w:sz w:val="22"/>
        </w:rPr>
      </w:pPr>
      <w:r w:rsidRPr="00347D14">
        <w:rPr>
          <w:b/>
          <w:sz w:val="22"/>
        </w:rPr>
        <w:t>7. Tehetséggondozási tevékenység (TG TÉR)</w:t>
      </w:r>
    </w:p>
    <w:p w14:paraId="6901512E" w14:textId="77777777" w:rsidR="00FD0545" w:rsidRPr="00347D14" w:rsidRDefault="00FD0545" w:rsidP="00FD0545">
      <w:pPr>
        <w:ind w:left="1416"/>
        <w:rPr>
          <w:b/>
          <w:sz w:val="22"/>
        </w:rPr>
      </w:pPr>
    </w:p>
    <w:p w14:paraId="729430B8" w14:textId="77777777" w:rsidR="00FD0545" w:rsidRDefault="00FD0545" w:rsidP="00FD0545">
      <w:pPr>
        <w:jc w:val="both"/>
        <w:rPr>
          <w:rFonts w:eastAsia="Calibri"/>
          <w:sz w:val="22"/>
          <w:szCs w:val="22"/>
        </w:rPr>
      </w:pPr>
      <w:r w:rsidRPr="00E13CE5">
        <w:rPr>
          <w:rFonts w:eastAsia="Calibri"/>
          <w:sz w:val="22"/>
          <w:szCs w:val="22"/>
        </w:rPr>
        <w:t xml:space="preserve">Az utánpótlás biztosításának, valamint a Kar elismertsége növelésének fontos eszköze a tehetséggondozás, mely jelentős többletfeladatot jelent a </w:t>
      </w:r>
      <w:proofErr w:type="gramStart"/>
      <w:r w:rsidRPr="00E13CE5">
        <w:rPr>
          <w:rFonts w:eastAsia="Calibri"/>
          <w:sz w:val="22"/>
          <w:szCs w:val="22"/>
        </w:rPr>
        <w:t>mentorok</w:t>
      </w:r>
      <w:proofErr w:type="gramEnd"/>
      <w:r w:rsidRPr="00E13CE5">
        <w:rPr>
          <w:rFonts w:eastAsia="Calibri"/>
          <w:sz w:val="22"/>
          <w:szCs w:val="22"/>
        </w:rPr>
        <w:t xml:space="preserve"> számára, melyet a TÉR az alábbiak szerint ismer el:</w:t>
      </w:r>
    </w:p>
    <w:p w14:paraId="3A1DE8F9" w14:textId="77777777" w:rsidR="00FD0545" w:rsidRDefault="00FD0545" w:rsidP="00FD0545">
      <w:pPr>
        <w:jc w:val="both"/>
        <w:rPr>
          <w:rFonts w:eastAsia="Calibri"/>
          <w:sz w:val="22"/>
          <w:szCs w:val="22"/>
        </w:rPr>
      </w:pPr>
    </w:p>
    <w:p w14:paraId="287F621D" w14:textId="77777777" w:rsidR="00FD0545" w:rsidRDefault="00FD0545" w:rsidP="00FD0545">
      <w:pPr>
        <w:jc w:val="both"/>
        <w:rPr>
          <w:rFonts w:eastAsia="Calibri"/>
          <w:sz w:val="22"/>
          <w:szCs w:val="22"/>
        </w:rPr>
      </w:pPr>
    </w:p>
    <w:p w14:paraId="39E3BB37" w14:textId="77777777" w:rsidR="00FD0545" w:rsidRDefault="00FD0545" w:rsidP="00FD0545">
      <w:pPr>
        <w:jc w:val="both"/>
        <w:rPr>
          <w:rFonts w:eastAsia="Calibri"/>
          <w:sz w:val="22"/>
          <w:szCs w:val="22"/>
        </w:rPr>
      </w:pPr>
    </w:p>
    <w:p w14:paraId="70920E29" w14:textId="77777777" w:rsidR="00FD0545" w:rsidRPr="00E13CE5" w:rsidRDefault="00FD0545" w:rsidP="00FD0545">
      <w:pPr>
        <w:jc w:val="both"/>
        <w:rPr>
          <w:rFonts w:eastAsia="Calibri"/>
          <w:sz w:val="22"/>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237"/>
        <w:gridCol w:w="2122"/>
      </w:tblGrid>
      <w:tr w:rsidR="00FD0545" w:rsidRPr="00347D14" w14:paraId="58A82192" w14:textId="77777777" w:rsidTr="00026782">
        <w:trPr>
          <w:tblHeader/>
          <w:jc w:val="center"/>
        </w:trPr>
        <w:tc>
          <w:tcPr>
            <w:tcW w:w="6237" w:type="dxa"/>
            <w:tcBorders>
              <w:top w:val="single" w:sz="4" w:space="0" w:color="FFFFFF"/>
              <w:left w:val="single" w:sz="4" w:space="0" w:color="FFFFFF"/>
              <w:right w:val="nil"/>
            </w:tcBorders>
            <w:shd w:val="clear" w:color="auto" w:fill="EDEDED"/>
          </w:tcPr>
          <w:p w14:paraId="2E362B4A" w14:textId="77777777" w:rsidR="00FD0545" w:rsidRPr="00347D14" w:rsidRDefault="00FD0545" w:rsidP="00026782">
            <w:pPr>
              <w:jc w:val="center"/>
              <w:rPr>
                <w:rFonts w:eastAsia="Calibri"/>
                <w:b/>
                <w:bCs/>
                <w:sz w:val="22"/>
                <w:szCs w:val="22"/>
              </w:rPr>
            </w:pPr>
            <w:r w:rsidRPr="00347D14">
              <w:rPr>
                <w:rFonts w:eastAsia="Calibri"/>
                <w:b/>
                <w:bCs/>
                <w:sz w:val="22"/>
                <w:szCs w:val="22"/>
              </w:rPr>
              <w:t>Tevékenység</w:t>
            </w:r>
          </w:p>
        </w:tc>
        <w:tc>
          <w:tcPr>
            <w:tcW w:w="2122" w:type="dxa"/>
            <w:tcBorders>
              <w:top w:val="single" w:sz="4" w:space="0" w:color="FFFFFF"/>
              <w:left w:val="nil"/>
              <w:right w:val="single" w:sz="4" w:space="0" w:color="FFFFFF"/>
            </w:tcBorders>
            <w:shd w:val="clear" w:color="auto" w:fill="EDEDED"/>
          </w:tcPr>
          <w:p w14:paraId="6F277B0A" w14:textId="77777777" w:rsidR="00FD0545" w:rsidRPr="00347D14" w:rsidRDefault="00FD0545" w:rsidP="00026782">
            <w:pPr>
              <w:jc w:val="center"/>
              <w:rPr>
                <w:rFonts w:eastAsia="Calibri"/>
                <w:b/>
                <w:bCs/>
                <w:sz w:val="22"/>
                <w:szCs w:val="22"/>
              </w:rPr>
            </w:pPr>
            <w:r w:rsidRPr="00347D14">
              <w:rPr>
                <w:rFonts w:eastAsia="Calibri"/>
                <w:b/>
                <w:bCs/>
                <w:sz w:val="22"/>
                <w:szCs w:val="22"/>
              </w:rPr>
              <w:t>TÉR Pont</w:t>
            </w:r>
          </w:p>
        </w:tc>
      </w:tr>
      <w:tr w:rsidR="00FD0545" w:rsidRPr="00C376DE" w14:paraId="2D38B5AC" w14:textId="77777777" w:rsidTr="00026782">
        <w:trPr>
          <w:jc w:val="center"/>
        </w:trPr>
        <w:tc>
          <w:tcPr>
            <w:tcW w:w="6237" w:type="dxa"/>
            <w:shd w:val="clear" w:color="auto" w:fill="EDEDED"/>
          </w:tcPr>
          <w:p w14:paraId="451CD074" w14:textId="77777777" w:rsidR="00FD0545" w:rsidRPr="00C376DE" w:rsidRDefault="00FD0545" w:rsidP="00026782">
            <w:pPr>
              <w:rPr>
                <w:rFonts w:eastAsia="Calibri"/>
                <w:sz w:val="22"/>
                <w:szCs w:val="22"/>
              </w:rPr>
            </w:pPr>
            <w:r w:rsidRPr="00C376DE">
              <w:rPr>
                <w:rFonts w:eastAsia="Calibri"/>
                <w:sz w:val="22"/>
                <w:szCs w:val="22"/>
              </w:rPr>
              <w:t>Szakkollégium elnöke</w:t>
            </w:r>
          </w:p>
        </w:tc>
        <w:tc>
          <w:tcPr>
            <w:tcW w:w="2122" w:type="dxa"/>
            <w:shd w:val="clear" w:color="auto" w:fill="EDEDED"/>
          </w:tcPr>
          <w:p w14:paraId="7D75D9FD" w14:textId="77777777" w:rsidR="00FD0545" w:rsidRPr="00C376DE" w:rsidRDefault="00FD0545" w:rsidP="00026782">
            <w:pPr>
              <w:jc w:val="center"/>
              <w:rPr>
                <w:rFonts w:eastAsia="Calibri"/>
                <w:sz w:val="22"/>
                <w:szCs w:val="22"/>
              </w:rPr>
            </w:pPr>
            <w:r w:rsidRPr="00C376DE">
              <w:rPr>
                <w:rFonts w:eastAsia="Calibri"/>
                <w:sz w:val="22"/>
                <w:szCs w:val="22"/>
              </w:rPr>
              <w:t>300 pont</w:t>
            </w:r>
          </w:p>
        </w:tc>
      </w:tr>
      <w:tr w:rsidR="00FD0545" w:rsidRPr="00C376DE" w14:paraId="3D358F82" w14:textId="77777777" w:rsidTr="00026782">
        <w:trPr>
          <w:jc w:val="center"/>
        </w:trPr>
        <w:tc>
          <w:tcPr>
            <w:tcW w:w="6237" w:type="dxa"/>
            <w:shd w:val="clear" w:color="auto" w:fill="EDEDED"/>
          </w:tcPr>
          <w:p w14:paraId="739E5D93" w14:textId="77777777" w:rsidR="00FD0545" w:rsidRPr="00C376DE" w:rsidRDefault="00FD0545" w:rsidP="00026782">
            <w:pPr>
              <w:rPr>
                <w:rFonts w:eastAsia="Calibri"/>
                <w:sz w:val="22"/>
                <w:szCs w:val="22"/>
              </w:rPr>
            </w:pPr>
            <w:r w:rsidRPr="00C376DE">
              <w:rPr>
                <w:rFonts w:eastAsia="Calibri"/>
                <w:sz w:val="22"/>
                <w:szCs w:val="22"/>
              </w:rPr>
              <w:t>Szakkollégium elnökhelyettese</w:t>
            </w:r>
          </w:p>
        </w:tc>
        <w:tc>
          <w:tcPr>
            <w:tcW w:w="2122" w:type="dxa"/>
            <w:shd w:val="clear" w:color="auto" w:fill="EDEDED"/>
          </w:tcPr>
          <w:p w14:paraId="1D78C54B" w14:textId="77777777" w:rsidR="00FD0545" w:rsidRPr="00C376DE" w:rsidRDefault="00FD0545" w:rsidP="00026782">
            <w:pPr>
              <w:jc w:val="center"/>
              <w:rPr>
                <w:rFonts w:eastAsia="Calibri"/>
                <w:sz w:val="22"/>
                <w:szCs w:val="22"/>
              </w:rPr>
            </w:pPr>
            <w:r w:rsidRPr="00C376DE">
              <w:rPr>
                <w:rFonts w:eastAsia="Calibri"/>
                <w:sz w:val="22"/>
                <w:szCs w:val="22"/>
              </w:rPr>
              <w:t>200 pont</w:t>
            </w:r>
          </w:p>
        </w:tc>
      </w:tr>
      <w:tr w:rsidR="00FD0545" w:rsidRPr="00C376DE" w14:paraId="4BE5F186" w14:textId="77777777" w:rsidTr="00026782">
        <w:trPr>
          <w:jc w:val="center"/>
        </w:trPr>
        <w:tc>
          <w:tcPr>
            <w:tcW w:w="6237" w:type="dxa"/>
            <w:shd w:val="clear" w:color="auto" w:fill="EDEDED"/>
          </w:tcPr>
          <w:p w14:paraId="4ACF5015" w14:textId="77777777" w:rsidR="00FD0545" w:rsidRPr="00C376DE" w:rsidRDefault="00FD0545" w:rsidP="00026782">
            <w:pPr>
              <w:rPr>
                <w:rFonts w:eastAsia="Calibri"/>
                <w:sz w:val="22"/>
                <w:szCs w:val="22"/>
              </w:rPr>
            </w:pPr>
            <w:r w:rsidRPr="00C376DE">
              <w:rPr>
                <w:rFonts w:eastAsia="Calibri"/>
                <w:sz w:val="22"/>
                <w:szCs w:val="22"/>
              </w:rPr>
              <w:t>Szakkollégiumi Tanács tagja</w:t>
            </w:r>
          </w:p>
        </w:tc>
        <w:tc>
          <w:tcPr>
            <w:tcW w:w="2122" w:type="dxa"/>
            <w:shd w:val="clear" w:color="auto" w:fill="EDEDED"/>
          </w:tcPr>
          <w:p w14:paraId="0E401803" w14:textId="77777777" w:rsidR="00FD0545" w:rsidRPr="00C376DE" w:rsidRDefault="00FD0545" w:rsidP="00026782">
            <w:pPr>
              <w:jc w:val="center"/>
              <w:rPr>
                <w:rFonts w:eastAsia="Calibri"/>
                <w:sz w:val="22"/>
                <w:szCs w:val="22"/>
              </w:rPr>
            </w:pPr>
            <w:r w:rsidRPr="00C376DE">
              <w:rPr>
                <w:rFonts w:eastAsia="Calibri"/>
                <w:sz w:val="22"/>
                <w:szCs w:val="22"/>
              </w:rPr>
              <w:t>50 pont</w:t>
            </w:r>
          </w:p>
        </w:tc>
      </w:tr>
      <w:tr w:rsidR="00FD0545" w:rsidRPr="00C376DE" w14:paraId="677A1FBB" w14:textId="77777777" w:rsidTr="00026782">
        <w:trPr>
          <w:jc w:val="center"/>
        </w:trPr>
        <w:tc>
          <w:tcPr>
            <w:tcW w:w="6237" w:type="dxa"/>
            <w:shd w:val="clear" w:color="auto" w:fill="EDEDED"/>
          </w:tcPr>
          <w:p w14:paraId="4F6F71A1" w14:textId="77777777" w:rsidR="00FD0545" w:rsidRPr="00C376DE" w:rsidRDefault="00FD0545" w:rsidP="00026782">
            <w:pPr>
              <w:rPr>
                <w:rFonts w:eastAsia="Calibri"/>
                <w:sz w:val="22"/>
                <w:szCs w:val="22"/>
              </w:rPr>
            </w:pPr>
            <w:r w:rsidRPr="00C376DE">
              <w:rPr>
                <w:rFonts w:eastAsia="Calibri"/>
                <w:sz w:val="22"/>
                <w:szCs w:val="22"/>
              </w:rPr>
              <w:t>Szakkollégiumi tagozat vezetője</w:t>
            </w:r>
          </w:p>
        </w:tc>
        <w:tc>
          <w:tcPr>
            <w:tcW w:w="2122" w:type="dxa"/>
            <w:shd w:val="clear" w:color="auto" w:fill="EDEDED"/>
          </w:tcPr>
          <w:p w14:paraId="01670010" w14:textId="77777777" w:rsidR="00FD0545" w:rsidRPr="00C376DE" w:rsidRDefault="00FD0545" w:rsidP="00026782">
            <w:pPr>
              <w:jc w:val="center"/>
              <w:rPr>
                <w:rFonts w:eastAsia="Calibri"/>
                <w:sz w:val="22"/>
                <w:szCs w:val="22"/>
              </w:rPr>
            </w:pPr>
            <w:r w:rsidRPr="00C376DE">
              <w:rPr>
                <w:rFonts w:eastAsia="Calibri"/>
                <w:sz w:val="22"/>
                <w:szCs w:val="22"/>
              </w:rPr>
              <w:t>50 pont</w:t>
            </w:r>
          </w:p>
        </w:tc>
      </w:tr>
      <w:tr w:rsidR="00FD0545" w:rsidRPr="00C376DE" w14:paraId="2CAA47B3" w14:textId="77777777" w:rsidTr="00026782">
        <w:trPr>
          <w:jc w:val="center"/>
        </w:trPr>
        <w:tc>
          <w:tcPr>
            <w:tcW w:w="6237" w:type="dxa"/>
            <w:shd w:val="clear" w:color="auto" w:fill="EDEDED"/>
          </w:tcPr>
          <w:p w14:paraId="5320326F" w14:textId="77777777" w:rsidR="00FD0545" w:rsidRPr="00C376DE" w:rsidRDefault="00FD0545" w:rsidP="00026782">
            <w:pPr>
              <w:rPr>
                <w:rFonts w:eastAsia="Calibri"/>
                <w:sz w:val="22"/>
                <w:szCs w:val="22"/>
              </w:rPr>
            </w:pPr>
            <w:r w:rsidRPr="00C376DE">
              <w:rPr>
                <w:rFonts w:eastAsia="Calibri"/>
                <w:sz w:val="22"/>
                <w:szCs w:val="22"/>
              </w:rPr>
              <w:t xml:space="preserve">Szakkollégiumi </w:t>
            </w:r>
            <w:proofErr w:type="gramStart"/>
            <w:r w:rsidRPr="00C376DE">
              <w:rPr>
                <w:rFonts w:eastAsia="Calibri"/>
                <w:sz w:val="22"/>
                <w:szCs w:val="22"/>
              </w:rPr>
              <w:t>mentor</w:t>
            </w:r>
            <w:proofErr w:type="gramEnd"/>
            <w:r w:rsidRPr="00C376DE">
              <w:rPr>
                <w:rFonts w:eastAsia="Calibri"/>
                <w:sz w:val="22"/>
                <w:szCs w:val="22"/>
              </w:rPr>
              <w:t xml:space="preserve"> tagság</w:t>
            </w:r>
          </w:p>
        </w:tc>
        <w:tc>
          <w:tcPr>
            <w:tcW w:w="2122" w:type="dxa"/>
            <w:shd w:val="clear" w:color="auto" w:fill="EDEDED"/>
          </w:tcPr>
          <w:p w14:paraId="153BA80A" w14:textId="77777777" w:rsidR="00FD0545" w:rsidRPr="00C376DE" w:rsidRDefault="00FD0545" w:rsidP="00026782">
            <w:pPr>
              <w:jc w:val="center"/>
              <w:rPr>
                <w:rFonts w:eastAsia="Calibri"/>
                <w:sz w:val="22"/>
                <w:szCs w:val="22"/>
              </w:rPr>
            </w:pPr>
            <w:r w:rsidRPr="00C376DE">
              <w:rPr>
                <w:rFonts w:eastAsia="Calibri"/>
                <w:sz w:val="22"/>
                <w:szCs w:val="22"/>
              </w:rPr>
              <w:t>50 pont</w:t>
            </w:r>
          </w:p>
        </w:tc>
      </w:tr>
      <w:tr w:rsidR="00FD0545" w:rsidRPr="00C376DE" w14:paraId="65D6E536" w14:textId="77777777" w:rsidTr="00026782">
        <w:trPr>
          <w:jc w:val="center"/>
        </w:trPr>
        <w:tc>
          <w:tcPr>
            <w:tcW w:w="6237" w:type="dxa"/>
            <w:shd w:val="clear" w:color="auto" w:fill="EDEDED"/>
          </w:tcPr>
          <w:p w14:paraId="1B8D5D1F" w14:textId="77777777" w:rsidR="00FD0545" w:rsidRPr="00C376DE" w:rsidRDefault="00FD0545" w:rsidP="00026782">
            <w:pPr>
              <w:rPr>
                <w:rFonts w:eastAsia="Calibri"/>
                <w:sz w:val="22"/>
                <w:szCs w:val="22"/>
              </w:rPr>
            </w:pPr>
            <w:r w:rsidRPr="00C376DE">
              <w:rPr>
                <w:rFonts w:eastAsia="Calibri"/>
                <w:sz w:val="22"/>
                <w:szCs w:val="22"/>
              </w:rPr>
              <w:t xml:space="preserve">Szakkollégiumi </w:t>
            </w:r>
            <w:proofErr w:type="gramStart"/>
            <w:r w:rsidRPr="00C376DE">
              <w:rPr>
                <w:rFonts w:eastAsia="Calibri"/>
                <w:sz w:val="22"/>
                <w:szCs w:val="22"/>
              </w:rPr>
              <w:t>mentor</w:t>
            </w:r>
            <w:proofErr w:type="gramEnd"/>
            <w:r w:rsidRPr="00C376DE">
              <w:rPr>
                <w:rFonts w:eastAsia="Calibri"/>
                <w:sz w:val="22"/>
                <w:szCs w:val="22"/>
              </w:rPr>
              <w:t xml:space="preserve"> tag mentorált hallgatóval</w:t>
            </w:r>
          </w:p>
        </w:tc>
        <w:tc>
          <w:tcPr>
            <w:tcW w:w="2122" w:type="dxa"/>
            <w:shd w:val="clear" w:color="auto" w:fill="EDEDED"/>
          </w:tcPr>
          <w:p w14:paraId="193A1F7E" w14:textId="77777777" w:rsidR="00FD0545" w:rsidRPr="00C376DE" w:rsidRDefault="00FD0545" w:rsidP="00026782">
            <w:pPr>
              <w:jc w:val="center"/>
              <w:rPr>
                <w:rFonts w:eastAsia="Calibri"/>
                <w:sz w:val="22"/>
                <w:szCs w:val="22"/>
              </w:rPr>
            </w:pPr>
            <w:r w:rsidRPr="00C376DE">
              <w:rPr>
                <w:rFonts w:eastAsia="Calibri"/>
                <w:sz w:val="22"/>
                <w:szCs w:val="22"/>
              </w:rPr>
              <w:t>100 pont/hallgató</w:t>
            </w:r>
          </w:p>
        </w:tc>
      </w:tr>
      <w:tr w:rsidR="00FD0545" w:rsidRPr="00C376DE" w14:paraId="23A3A7EF" w14:textId="77777777" w:rsidTr="00026782">
        <w:trPr>
          <w:jc w:val="center"/>
        </w:trPr>
        <w:tc>
          <w:tcPr>
            <w:tcW w:w="6237" w:type="dxa"/>
            <w:shd w:val="clear" w:color="auto" w:fill="EDEDED"/>
          </w:tcPr>
          <w:p w14:paraId="00242A8D" w14:textId="77777777" w:rsidR="00FD0545" w:rsidRPr="00C376DE" w:rsidRDefault="00FD0545" w:rsidP="00026782">
            <w:pPr>
              <w:rPr>
                <w:rFonts w:eastAsia="Calibri"/>
                <w:sz w:val="22"/>
                <w:szCs w:val="22"/>
              </w:rPr>
            </w:pPr>
            <w:r w:rsidRPr="00C376DE">
              <w:rPr>
                <w:rFonts w:eastAsia="Calibri"/>
                <w:sz w:val="22"/>
                <w:szCs w:val="22"/>
              </w:rPr>
              <w:t xml:space="preserve">Nem pályázati forrásból megvalósuló, kötelező </w:t>
            </w:r>
            <w:proofErr w:type="gramStart"/>
            <w:r w:rsidRPr="00C376DE">
              <w:rPr>
                <w:rFonts w:eastAsia="Calibri"/>
                <w:sz w:val="22"/>
                <w:szCs w:val="22"/>
              </w:rPr>
              <w:t>kurzus</w:t>
            </w:r>
            <w:proofErr w:type="gramEnd"/>
            <w:r w:rsidRPr="00C376DE">
              <w:rPr>
                <w:rFonts w:eastAsia="Calibri"/>
                <w:sz w:val="22"/>
                <w:szCs w:val="22"/>
              </w:rPr>
              <w:t xml:space="preserve"> előadója</w:t>
            </w:r>
          </w:p>
        </w:tc>
        <w:tc>
          <w:tcPr>
            <w:tcW w:w="2122" w:type="dxa"/>
            <w:shd w:val="clear" w:color="auto" w:fill="EDEDED"/>
          </w:tcPr>
          <w:p w14:paraId="06812636" w14:textId="77777777" w:rsidR="00FD0545" w:rsidRPr="00C376DE" w:rsidRDefault="00FD0545" w:rsidP="00026782">
            <w:pPr>
              <w:jc w:val="center"/>
              <w:rPr>
                <w:rFonts w:eastAsia="Calibri"/>
                <w:sz w:val="22"/>
                <w:szCs w:val="22"/>
              </w:rPr>
            </w:pPr>
            <w:r w:rsidRPr="00C376DE">
              <w:rPr>
                <w:rFonts w:eastAsia="Calibri"/>
                <w:sz w:val="22"/>
                <w:szCs w:val="22"/>
              </w:rPr>
              <w:t>70 pont/alkalom</w:t>
            </w:r>
          </w:p>
        </w:tc>
      </w:tr>
      <w:tr w:rsidR="00FD0545" w:rsidRPr="00C376DE" w14:paraId="53EA0A57" w14:textId="77777777" w:rsidTr="00026782">
        <w:trPr>
          <w:jc w:val="center"/>
        </w:trPr>
        <w:tc>
          <w:tcPr>
            <w:tcW w:w="6237" w:type="dxa"/>
            <w:shd w:val="clear" w:color="auto" w:fill="EDEDED"/>
          </w:tcPr>
          <w:p w14:paraId="586E3428" w14:textId="77777777" w:rsidR="00FD0545" w:rsidRPr="00C376DE" w:rsidRDefault="00FD0545" w:rsidP="00026782">
            <w:pPr>
              <w:rPr>
                <w:rFonts w:eastAsia="Calibri"/>
                <w:sz w:val="22"/>
                <w:szCs w:val="22"/>
              </w:rPr>
            </w:pPr>
            <w:r w:rsidRPr="00C376DE">
              <w:rPr>
                <w:rFonts w:eastAsia="Calibri"/>
                <w:sz w:val="22"/>
                <w:szCs w:val="22"/>
              </w:rPr>
              <w:t xml:space="preserve">Nem pályázati forrásból megvalósuló, választható </w:t>
            </w:r>
            <w:proofErr w:type="gramStart"/>
            <w:r w:rsidRPr="00C376DE">
              <w:rPr>
                <w:rFonts w:eastAsia="Calibri"/>
                <w:sz w:val="22"/>
                <w:szCs w:val="22"/>
              </w:rPr>
              <w:t>kurzus</w:t>
            </w:r>
            <w:proofErr w:type="gramEnd"/>
            <w:r w:rsidRPr="00C376DE">
              <w:rPr>
                <w:rFonts w:eastAsia="Calibri"/>
                <w:sz w:val="22"/>
                <w:szCs w:val="22"/>
              </w:rPr>
              <w:t xml:space="preserve"> előadója</w:t>
            </w:r>
          </w:p>
        </w:tc>
        <w:tc>
          <w:tcPr>
            <w:tcW w:w="2122" w:type="dxa"/>
            <w:shd w:val="clear" w:color="auto" w:fill="EDEDED"/>
          </w:tcPr>
          <w:p w14:paraId="16D3BC43" w14:textId="77777777" w:rsidR="00FD0545" w:rsidRPr="00C376DE" w:rsidRDefault="00FD0545" w:rsidP="00026782">
            <w:pPr>
              <w:jc w:val="center"/>
              <w:rPr>
                <w:rFonts w:eastAsia="Calibri"/>
                <w:sz w:val="22"/>
                <w:szCs w:val="22"/>
              </w:rPr>
            </w:pPr>
            <w:r w:rsidRPr="00C376DE">
              <w:rPr>
                <w:rFonts w:eastAsia="Calibri"/>
                <w:sz w:val="22"/>
                <w:szCs w:val="22"/>
              </w:rPr>
              <w:t>50 pont/alkalom</w:t>
            </w:r>
          </w:p>
        </w:tc>
      </w:tr>
      <w:tr w:rsidR="00FD0545" w:rsidRPr="00C376DE" w14:paraId="4BC3E61A" w14:textId="77777777" w:rsidTr="00026782">
        <w:trPr>
          <w:jc w:val="center"/>
        </w:trPr>
        <w:tc>
          <w:tcPr>
            <w:tcW w:w="6237" w:type="dxa"/>
            <w:shd w:val="clear" w:color="auto" w:fill="EDEDED"/>
          </w:tcPr>
          <w:p w14:paraId="549B87B1" w14:textId="77777777" w:rsidR="00FD0545" w:rsidRPr="00C376DE" w:rsidRDefault="00FD0545" w:rsidP="00026782">
            <w:pPr>
              <w:rPr>
                <w:rFonts w:eastAsia="Calibri"/>
                <w:sz w:val="22"/>
                <w:szCs w:val="22"/>
              </w:rPr>
            </w:pPr>
            <w:r w:rsidRPr="00C376DE">
              <w:rPr>
                <w:rFonts w:eastAsia="Calibri"/>
                <w:sz w:val="22"/>
                <w:szCs w:val="22"/>
              </w:rPr>
              <w:t>Nem pályázati forrásból megvalósuló program közreműködője</w:t>
            </w:r>
          </w:p>
        </w:tc>
        <w:tc>
          <w:tcPr>
            <w:tcW w:w="2122" w:type="dxa"/>
            <w:shd w:val="clear" w:color="auto" w:fill="EDEDED"/>
          </w:tcPr>
          <w:p w14:paraId="6DB17434" w14:textId="77777777" w:rsidR="00FD0545" w:rsidRPr="00C376DE" w:rsidRDefault="00FD0545" w:rsidP="00026782">
            <w:pPr>
              <w:jc w:val="center"/>
              <w:rPr>
                <w:rFonts w:eastAsia="Calibri"/>
                <w:sz w:val="22"/>
                <w:szCs w:val="22"/>
              </w:rPr>
            </w:pPr>
            <w:r w:rsidRPr="00C376DE">
              <w:rPr>
                <w:rFonts w:eastAsia="Calibri"/>
                <w:sz w:val="22"/>
                <w:szCs w:val="22"/>
              </w:rPr>
              <w:t>25 pont/alkalom</w:t>
            </w:r>
          </w:p>
        </w:tc>
      </w:tr>
      <w:tr w:rsidR="00FD0545" w:rsidRPr="00C376DE" w14:paraId="771478A0" w14:textId="77777777" w:rsidTr="00026782">
        <w:trPr>
          <w:jc w:val="center"/>
        </w:trPr>
        <w:tc>
          <w:tcPr>
            <w:tcW w:w="6237" w:type="dxa"/>
            <w:shd w:val="clear" w:color="auto" w:fill="EDEDED"/>
          </w:tcPr>
          <w:p w14:paraId="355F4CFC" w14:textId="77777777" w:rsidR="00FD0545" w:rsidRPr="00C376DE" w:rsidRDefault="00FD0545" w:rsidP="00026782">
            <w:pPr>
              <w:rPr>
                <w:rFonts w:eastAsia="Calibri"/>
                <w:sz w:val="22"/>
                <w:szCs w:val="22"/>
              </w:rPr>
            </w:pPr>
            <w:r w:rsidRPr="00C376DE">
              <w:rPr>
                <w:rFonts w:eastAsia="Calibri"/>
                <w:sz w:val="22"/>
                <w:szCs w:val="22"/>
              </w:rPr>
              <w:t>TDK műhelykonferencia szervezése</w:t>
            </w:r>
          </w:p>
        </w:tc>
        <w:tc>
          <w:tcPr>
            <w:tcW w:w="2122" w:type="dxa"/>
            <w:shd w:val="clear" w:color="auto" w:fill="EDEDED"/>
          </w:tcPr>
          <w:p w14:paraId="24193BB6" w14:textId="77777777" w:rsidR="00FD0545" w:rsidRPr="00C376DE" w:rsidRDefault="00FD0545" w:rsidP="00026782">
            <w:pPr>
              <w:jc w:val="center"/>
              <w:rPr>
                <w:rFonts w:eastAsia="Calibri"/>
                <w:sz w:val="22"/>
                <w:szCs w:val="22"/>
              </w:rPr>
            </w:pPr>
            <w:r w:rsidRPr="00C376DE">
              <w:rPr>
                <w:rFonts w:eastAsia="Calibri"/>
                <w:sz w:val="22"/>
                <w:szCs w:val="22"/>
              </w:rPr>
              <w:t>50 pont/alkalom</w:t>
            </w:r>
          </w:p>
        </w:tc>
      </w:tr>
      <w:tr w:rsidR="00FD0545" w:rsidRPr="00C376DE" w14:paraId="325D11F6" w14:textId="77777777" w:rsidTr="00026782">
        <w:trPr>
          <w:jc w:val="center"/>
        </w:trPr>
        <w:tc>
          <w:tcPr>
            <w:tcW w:w="6237" w:type="dxa"/>
            <w:shd w:val="clear" w:color="auto" w:fill="EDEDED"/>
          </w:tcPr>
          <w:p w14:paraId="67648536" w14:textId="77777777" w:rsidR="00FD0545" w:rsidRPr="00C376DE" w:rsidRDefault="00FD0545" w:rsidP="00026782">
            <w:pPr>
              <w:rPr>
                <w:rFonts w:eastAsia="Calibri"/>
                <w:sz w:val="22"/>
                <w:szCs w:val="22"/>
              </w:rPr>
            </w:pPr>
            <w:r w:rsidRPr="00C376DE">
              <w:rPr>
                <w:rFonts w:eastAsia="Calibri"/>
                <w:sz w:val="22"/>
                <w:szCs w:val="22"/>
              </w:rPr>
              <w:t xml:space="preserve">Hallgató </w:t>
            </w:r>
            <w:proofErr w:type="spellStart"/>
            <w:r w:rsidRPr="00C376DE">
              <w:rPr>
                <w:rFonts w:eastAsia="Calibri"/>
                <w:sz w:val="22"/>
                <w:szCs w:val="22"/>
              </w:rPr>
              <w:t>mentorálása</w:t>
            </w:r>
            <w:proofErr w:type="spellEnd"/>
            <w:r w:rsidRPr="00C376DE">
              <w:rPr>
                <w:rFonts w:eastAsia="Calibri"/>
                <w:sz w:val="22"/>
                <w:szCs w:val="22"/>
              </w:rPr>
              <w:t xml:space="preserve"> szakkollégiumon és TDK munkán kívül, igazolható módon.</w:t>
            </w:r>
          </w:p>
        </w:tc>
        <w:tc>
          <w:tcPr>
            <w:tcW w:w="2122" w:type="dxa"/>
            <w:shd w:val="clear" w:color="auto" w:fill="EDEDED"/>
          </w:tcPr>
          <w:p w14:paraId="165768D3" w14:textId="77777777" w:rsidR="00FD0545" w:rsidRPr="00C376DE" w:rsidRDefault="00FD0545" w:rsidP="00026782">
            <w:pPr>
              <w:jc w:val="center"/>
              <w:rPr>
                <w:rFonts w:eastAsia="Calibri"/>
                <w:sz w:val="22"/>
                <w:szCs w:val="22"/>
              </w:rPr>
            </w:pPr>
            <w:r w:rsidRPr="00C376DE">
              <w:rPr>
                <w:rFonts w:eastAsia="Calibri"/>
                <w:sz w:val="22"/>
                <w:szCs w:val="22"/>
              </w:rPr>
              <w:t>50 pont/hallgató (legfeljebb 100 pont)</w:t>
            </w:r>
          </w:p>
        </w:tc>
      </w:tr>
    </w:tbl>
    <w:p w14:paraId="3786E3C2"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DFE376B" w14:textId="77777777" w:rsidTr="00026782">
        <w:tc>
          <w:tcPr>
            <w:tcW w:w="1980" w:type="dxa"/>
            <w:shd w:val="clear" w:color="auto" w:fill="F2F2F2"/>
          </w:tcPr>
          <w:p w14:paraId="4CDC57B4"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3C1D6025" w14:textId="77777777" w:rsidR="00FD0545" w:rsidRPr="00C376DE" w:rsidRDefault="00FD0545" w:rsidP="00026782">
            <w:pPr>
              <w:rPr>
                <w:rFonts w:eastAsia="Calibri"/>
                <w:b/>
                <w:bCs/>
                <w:sz w:val="22"/>
                <w:szCs w:val="22"/>
              </w:rPr>
            </w:pPr>
            <w:r w:rsidRPr="00C376DE">
              <w:rPr>
                <w:rFonts w:eastAsia="Calibri"/>
                <w:b/>
                <w:bCs/>
                <w:sz w:val="22"/>
                <w:szCs w:val="22"/>
              </w:rPr>
              <w:t>Szakkollégium saját nyilvántartása</w:t>
            </w:r>
          </w:p>
        </w:tc>
      </w:tr>
      <w:tr w:rsidR="00FD0545" w:rsidRPr="00C376DE" w14:paraId="1A76E07F" w14:textId="77777777" w:rsidTr="00026782">
        <w:tc>
          <w:tcPr>
            <w:tcW w:w="1980" w:type="dxa"/>
            <w:shd w:val="clear" w:color="auto" w:fill="F2F2F2"/>
          </w:tcPr>
          <w:p w14:paraId="2CA0E4C1"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337494A2" w14:textId="77777777" w:rsidR="00FD0545" w:rsidRPr="00C376DE" w:rsidRDefault="00FD0545" w:rsidP="00026782">
            <w:pPr>
              <w:rPr>
                <w:rFonts w:eastAsia="Calibri"/>
                <w:b/>
                <w:bCs/>
                <w:sz w:val="22"/>
                <w:szCs w:val="22"/>
              </w:rPr>
            </w:pPr>
            <w:r w:rsidRPr="00C376DE">
              <w:rPr>
                <w:rFonts w:eastAsia="Calibri"/>
                <w:b/>
                <w:bCs/>
                <w:sz w:val="22"/>
                <w:szCs w:val="22"/>
              </w:rPr>
              <w:t>Tehetséggondozási TÉR jelentés (J/4. melléklet)</w:t>
            </w:r>
          </w:p>
        </w:tc>
      </w:tr>
      <w:tr w:rsidR="00FD0545" w:rsidRPr="00C376DE" w14:paraId="4E5B6FB4" w14:textId="77777777" w:rsidTr="00026782">
        <w:tc>
          <w:tcPr>
            <w:tcW w:w="1980" w:type="dxa"/>
            <w:shd w:val="clear" w:color="auto" w:fill="F2F2F2"/>
          </w:tcPr>
          <w:p w14:paraId="5D8F3337"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9AC9EF8" w14:textId="77777777" w:rsidR="00FD0545" w:rsidRPr="00C376DE" w:rsidRDefault="00FD0545" w:rsidP="00026782">
            <w:pPr>
              <w:rPr>
                <w:rFonts w:eastAsia="Calibri"/>
                <w:b/>
                <w:bCs/>
                <w:sz w:val="22"/>
                <w:szCs w:val="22"/>
              </w:rPr>
            </w:pPr>
            <w:r w:rsidRPr="00C376DE">
              <w:rPr>
                <w:rFonts w:eastAsia="Calibri"/>
                <w:b/>
                <w:bCs/>
                <w:sz w:val="22"/>
                <w:szCs w:val="22"/>
              </w:rPr>
              <w:t>Tudományos diákköri és szakkollégiumi koordinátor</w:t>
            </w:r>
          </w:p>
        </w:tc>
      </w:tr>
    </w:tbl>
    <w:p w14:paraId="24D91D8A" w14:textId="77777777" w:rsidR="00FD0545" w:rsidRDefault="00FD0545" w:rsidP="00FD0545">
      <w:pPr>
        <w:ind w:left="1416"/>
        <w:rPr>
          <w:b/>
          <w:sz w:val="22"/>
        </w:rPr>
      </w:pPr>
    </w:p>
    <w:p w14:paraId="384F061C" w14:textId="77777777" w:rsidR="00FD0545" w:rsidRDefault="00FD0545" w:rsidP="00FD0545">
      <w:pPr>
        <w:ind w:left="1416"/>
        <w:rPr>
          <w:b/>
          <w:sz w:val="22"/>
        </w:rPr>
      </w:pPr>
      <w:r>
        <w:rPr>
          <w:b/>
          <w:sz w:val="22"/>
        </w:rPr>
        <w:t xml:space="preserve">8. </w:t>
      </w:r>
      <w:r w:rsidRPr="00347D14">
        <w:rPr>
          <w:b/>
          <w:sz w:val="22"/>
        </w:rPr>
        <w:t>Közéleti tevékenység (KÖZ TÉR)</w:t>
      </w:r>
    </w:p>
    <w:p w14:paraId="4AAA24E1" w14:textId="77777777" w:rsidR="00FD0545" w:rsidRPr="00347D14" w:rsidRDefault="00FD0545" w:rsidP="00FD0545">
      <w:pPr>
        <w:ind w:left="1416"/>
        <w:rPr>
          <w:b/>
          <w:sz w:val="22"/>
        </w:rPr>
      </w:pPr>
    </w:p>
    <w:p w14:paraId="7C55BB3A" w14:textId="77777777" w:rsidR="00FD0545" w:rsidRPr="00E13CE5" w:rsidRDefault="00FD0545" w:rsidP="00FD0545">
      <w:pPr>
        <w:rPr>
          <w:rFonts w:eastAsia="Calibri"/>
          <w:sz w:val="22"/>
          <w:szCs w:val="22"/>
        </w:rPr>
      </w:pPr>
      <w:r w:rsidRPr="00E13CE5">
        <w:rPr>
          <w:rFonts w:eastAsia="Calibri"/>
          <w:sz w:val="22"/>
          <w:szCs w:val="22"/>
        </w:rPr>
        <w:t xml:space="preserve">A kari közélet fontos mozgatórugója a hatékony szakmai munkának, így az abban való </w:t>
      </w:r>
      <w:proofErr w:type="gramStart"/>
      <w:r w:rsidRPr="00E13CE5">
        <w:rPr>
          <w:rFonts w:eastAsia="Calibri"/>
          <w:sz w:val="22"/>
          <w:szCs w:val="22"/>
        </w:rPr>
        <w:t>aktív</w:t>
      </w:r>
      <w:proofErr w:type="gramEnd"/>
      <w:r w:rsidRPr="00E13CE5">
        <w:rPr>
          <w:rFonts w:eastAsia="Calibri"/>
          <w:sz w:val="22"/>
          <w:szCs w:val="22"/>
        </w:rPr>
        <w:t xml:space="preserve"> részvételt a TÉR az alábbiak szerint elismeri:</w:t>
      </w:r>
    </w:p>
    <w:tbl>
      <w:tblPr>
        <w:tblW w:w="80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5959"/>
        <w:gridCol w:w="2126"/>
      </w:tblGrid>
      <w:tr w:rsidR="00FD0545" w:rsidRPr="00347D14" w14:paraId="4F5A8209" w14:textId="77777777" w:rsidTr="00026782">
        <w:trPr>
          <w:tblHeader/>
          <w:jc w:val="center"/>
        </w:trPr>
        <w:tc>
          <w:tcPr>
            <w:tcW w:w="5959" w:type="dxa"/>
            <w:tcBorders>
              <w:top w:val="single" w:sz="4" w:space="0" w:color="FFFFFF"/>
              <w:left w:val="single" w:sz="4" w:space="0" w:color="FFFFFF"/>
              <w:right w:val="nil"/>
            </w:tcBorders>
            <w:shd w:val="clear" w:color="auto" w:fill="EDEDED"/>
          </w:tcPr>
          <w:p w14:paraId="7FFCAB0F" w14:textId="77777777" w:rsidR="00FD0545" w:rsidRPr="00347D14" w:rsidRDefault="00FD0545" w:rsidP="00026782">
            <w:pPr>
              <w:jc w:val="center"/>
              <w:rPr>
                <w:rFonts w:eastAsia="Calibri"/>
                <w:b/>
                <w:bCs/>
                <w:sz w:val="22"/>
                <w:szCs w:val="22"/>
              </w:rPr>
            </w:pPr>
            <w:r w:rsidRPr="00347D14">
              <w:rPr>
                <w:rFonts w:eastAsia="Calibri"/>
                <w:b/>
                <w:bCs/>
                <w:sz w:val="22"/>
                <w:szCs w:val="22"/>
              </w:rPr>
              <w:t>Tevékenység</w:t>
            </w:r>
          </w:p>
        </w:tc>
        <w:tc>
          <w:tcPr>
            <w:tcW w:w="2126" w:type="dxa"/>
            <w:tcBorders>
              <w:top w:val="single" w:sz="4" w:space="0" w:color="FFFFFF"/>
              <w:left w:val="nil"/>
              <w:right w:val="single" w:sz="4" w:space="0" w:color="FFFFFF"/>
            </w:tcBorders>
            <w:shd w:val="clear" w:color="auto" w:fill="EDEDED"/>
          </w:tcPr>
          <w:p w14:paraId="1B3B5C8E" w14:textId="77777777" w:rsidR="00FD0545" w:rsidRPr="00347D14" w:rsidRDefault="00FD0545" w:rsidP="00026782">
            <w:pPr>
              <w:jc w:val="center"/>
              <w:rPr>
                <w:rFonts w:eastAsia="Calibri"/>
                <w:b/>
                <w:bCs/>
                <w:sz w:val="22"/>
                <w:szCs w:val="22"/>
              </w:rPr>
            </w:pPr>
            <w:r w:rsidRPr="00347D14">
              <w:rPr>
                <w:rFonts w:eastAsia="Calibri"/>
                <w:b/>
                <w:bCs/>
                <w:sz w:val="22"/>
                <w:szCs w:val="22"/>
              </w:rPr>
              <w:t>TÉR Pont</w:t>
            </w:r>
          </w:p>
        </w:tc>
      </w:tr>
      <w:tr w:rsidR="00FD0545" w:rsidRPr="00C376DE" w14:paraId="58F687E8" w14:textId="77777777" w:rsidTr="00026782">
        <w:trPr>
          <w:jc w:val="center"/>
        </w:trPr>
        <w:tc>
          <w:tcPr>
            <w:tcW w:w="5959" w:type="dxa"/>
            <w:shd w:val="clear" w:color="auto" w:fill="EDEDED"/>
          </w:tcPr>
          <w:p w14:paraId="5E3B73ED" w14:textId="77777777" w:rsidR="00FD0545" w:rsidRPr="00C376DE" w:rsidRDefault="00FD0545" w:rsidP="00026782">
            <w:pPr>
              <w:rPr>
                <w:rFonts w:eastAsia="Calibri"/>
                <w:sz w:val="22"/>
                <w:szCs w:val="22"/>
              </w:rPr>
            </w:pPr>
            <w:r w:rsidRPr="00C376DE">
              <w:rPr>
                <w:rFonts w:eastAsia="Calibri"/>
                <w:sz w:val="22"/>
                <w:szCs w:val="22"/>
              </w:rPr>
              <w:t xml:space="preserve">Kiemelt kari rendezvényen részvétel (tanévnyitó, oklevélátadó, </w:t>
            </w:r>
            <w:proofErr w:type="spellStart"/>
            <w:r w:rsidRPr="00C376DE">
              <w:rPr>
                <w:rFonts w:eastAsia="Calibri"/>
                <w:sz w:val="22"/>
                <w:szCs w:val="22"/>
              </w:rPr>
              <w:t>összdolgozói</w:t>
            </w:r>
            <w:proofErr w:type="spellEnd"/>
            <w:r w:rsidRPr="00C376DE">
              <w:rPr>
                <w:rFonts w:eastAsia="Calibri"/>
                <w:sz w:val="22"/>
                <w:szCs w:val="22"/>
              </w:rPr>
              <w:t xml:space="preserve"> fórum)</w:t>
            </w:r>
          </w:p>
        </w:tc>
        <w:tc>
          <w:tcPr>
            <w:tcW w:w="2126" w:type="dxa"/>
            <w:shd w:val="clear" w:color="auto" w:fill="EDEDED"/>
          </w:tcPr>
          <w:p w14:paraId="29DB3114" w14:textId="77777777" w:rsidR="00FD0545" w:rsidRPr="00C376DE" w:rsidRDefault="00FD0545" w:rsidP="00026782">
            <w:pPr>
              <w:jc w:val="center"/>
              <w:rPr>
                <w:rFonts w:eastAsia="Calibri"/>
                <w:sz w:val="22"/>
                <w:szCs w:val="22"/>
              </w:rPr>
            </w:pPr>
            <w:r w:rsidRPr="00C376DE">
              <w:rPr>
                <w:rFonts w:eastAsia="Calibri"/>
                <w:sz w:val="22"/>
                <w:szCs w:val="22"/>
              </w:rPr>
              <w:t>10 pont/rendezvény</w:t>
            </w:r>
          </w:p>
        </w:tc>
      </w:tr>
      <w:tr w:rsidR="00FD0545" w:rsidRPr="00C376DE" w14:paraId="3FE2506A" w14:textId="77777777" w:rsidTr="00026782">
        <w:trPr>
          <w:jc w:val="center"/>
        </w:trPr>
        <w:tc>
          <w:tcPr>
            <w:tcW w:w="5959" w:type="dxa"/>
            <w:shd w:val="clear" w:color="auto" w:fill="EDEDED"/>
          </w:tcPr>
          <w:p w14:paraId="04C8BF9A" w14:textId="77777777" w:rsidR="00FD0545" w:rsidRPr="00C376DE" w:rsidRDefault="00FD0545" w:rsidP="00026782">
            <w:pPr>
              <w:rPr>
                <w:rFonts w:eastAsia="Calibri"/>
                <w:sz w:val="22"/>
                <w:szCs w:val="22"/>
              </w:rPr>
            </w:pPr>
            <w:r w:rsidRPr="00C376DE">
              <w:rPr>
                <w:rFonts w:eastAsia="Calibri"/>
                <w:sz w:val="22"/>
                <w:szCs w:val="22"/>
              </w:rPr>
              <w:t>Kari ünnepségeken történő részvétel</w:t>
            </w:r>
          </w:p>
        </w:tc>
        <w:tc>
          <w:tcPr>
            <w:tcW w:w="2126" w:type="dxa"/>
            <w:shd w:val="clear" w:color="auto" w:fill="EDEDED"/>
          </w:tcPr>
          <w:p w14:paraId="246B3523" w14:textId="77777777" w:rsidR="00FD0545" w:rsidRPr="00C376DE" w:rsidRDefault="00FD0545" w:rsidP="00026782">
            <w:pPr>
              <w:jc w:val="center"/>
              <w:rPr>
                <w:rFonts w:eastAsia="Calibri"/>
                <w:sz w:val="22"/>
                <w:szCs w:val="22"/>
              </w:rPr>
            </w:pPr>
            <w:r w:rsidRPr="00C376DE">
              <w:rPr>
                <w:rFonts w:eastAsia="Calibri"/>
                <w:sz w:val="22"/>
                <w:szCs w:val="22"/>
              </w:rPr>
              <w:t>5 pont/alkalom</w:t>
            </w:r>
          </w:p>
        </w:tc>
      </w:tr>
      <w:tr w:rsidR="00FD0545" w:rsidRPr="00C376DE" w14:paraId="513BB2A3" w14:textId="77777777" w:rsidTr="00026782">
        <w:trPr>
          <w:jc w:val="center"/>
        </w:trPr>
        <w:tc>
          <w:tcPr>
            <w:tcW w:w="5959" w:type="dxa"/>
            <w:shd w:val="clear" w:color="auto" w:fill="EDEDED"/>
          </w:tcPr>
          <w:p w14:paraId="6833BE09" w14:textId="77777777" w:rsidR="00FD0545" w:rsidRPr="00C376DE" w:rsidRDefault="00FD0545" w:rsidP="00026782">
            <w:pPr>
              <w:rPr>
                <w:rFonts w:eastAsia="Calibri"/>
                <w:sz w:val="22"/>
                <w:szCs w:val="22"/>
              </w:rPr>
            </w:pPr>
            <w:r w:rsidRPr="00C376DE">
              <w:rPr>
                <w:rFonts w:eastAsia="Calibri"/>
                <w:sz w:val="22"/>
                <w:szCs w:val="22"/>
              </w:rPr>
              <w:t>Gólyatábor szakmai programján történő részvétel</w:t>
            </w:r>
          </w:p>
        </w:tc>
        <w:tc>
          <w:tcPr>
            <w:tcW w:w="2126" w:type="dxa"/>
            <w:shd w:val="clear" w:color="auto" w:fill="EDEDED"/>
          </w:tcPr>
          <w:p w14:paraId="240E3CB5" w14:textId="77777777" w:rsidR="00FD0545" w:rsidRPr="00C376DE" w:rsidRDefault="00FD0545" w:rsidP="00026782">
            <w:pPr>
              <w:jc w:val="center"/>
              <w:rPr>
                <w:rFonts w:eastAsia="Calibri"/>
                <w:sz w:val="22"/>
                <w:szCs w:val="22"/>
              </w:rPr>
            </w:pPr>
            <w:r w:rsidRPr="00C376DE">
              <w:rPr>
                <w:rFonts w:eastAsia="Calibri"/>
                <w:sz w:val="22"/>
                <w:szCs w:val="22"/>
              </w:rPr>
              <w:t>20 pont</w:t>
            </w:r>
          </w:p>
        </w:tc>
      </w:tr>
      <w:tr w:rsidR="00FD0545" w:rsidRPr="00C376DE" w14:paraId="58939445" w14:textId="77777777" w:rsidTr="00026782">
        <w:trPr>
          <w:jc w:val="center"/>
        </w:trPr>
        <w:tc>
          <w:tcPr>
            <w:tcW w:w="5959" w:type="dxa"/>
            <w:shd w:val="clear" w:color="auto" w:fill="EDEDED"/>
          </w:tcPr>
          <w:p w14:paraId="7A40EA9B" w14:textId="77777777" w:rsidR="00FD0545" w:rsidRPr="00C376DE" w:rsidRDefault="00FD0545" w:rsidP="00026782">
            <w:pPr>
              <w:rPr>
                <w:rFonts w:eastAsia="Calibri"/>
                <w:sz w:val="22"/>
                <w:szCs w:val="22"/>
              </w:rPr>
            </w:pPr>
            <w:r w:rsidRPr="00C376DE">
              <w:rPr>
                <w:rFonts w:eastAsia="Calibri"/>
                <w:sz w:val="22"/>
                <w:szCs w:val="22"/>
              </w:rPr>
              <w:t xml:space="preserve">Az intézet </w:t>
            </w:r>
            <w:proofErr w:type="gramStart"/>
            <w:r w:rsidRPr="00C376DE">
              <w:rPr>
                <w:rFonts w:eastAsia="Calibri"/>
                <w:sz w:val="22"/>
                <w:szCs w:val="22"/>
              </w:rPr>
              <w:t>profiljába</w:t>
            </w:r>
            <w:proofErr w:type="gramEnd"/>
            <w:r w:rsidRPr="00C376DE">
              <w:rPr>
                <w:rFonts w:eastAsia="Calibri"/>
                <w:sz w:val="22"/>
                <w:szCs w:val="22"/>
              </w:rPr>
              <w:t xml:space="preserve"> tartozó szakesten történő oktatói részvétel</w:t>
            </w:r>
          </w:p>
        </w:tc>
        <w:tc>
          <w:tcPr>
            <w:tcW w:w="2126" w:type="dxa"/>
            <w:shd w:val="clear" w:color="auto" w:fill="EDEDED"/>
          </w:tcPr>
          <w:p w14:paraId="277542E2"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4FAAED03" w14:textId="77777777" w:rsidTr="00026782">
        <w:trPr>
          <w:jc w:val="center"/>
        </w:trPr>
        <w:tc>
          <w:tcPr>
            <w:tcW w:w="5959" w:type="dxa"/>
            <w:shd w:val="clear" w:color="auto" w:fill="EDEDED"/>
          </w:tcPr>
          <w:p w14:paraId="30ABEF70" w14:textId="77777777" w:rsidR="00FD0545" w:rsidRPr="00C376DE" w:rsidRDefault="00FD0545" w:rsidP="00026782">
            <w:pPr>
              <w:rPr>
                <w:rFonts w:eastAsia="Calibri"/>
                <w:sz w:val="22"/>
                <w:szCs w:val="22"/>
              </w:rPr>
            </w:pPr>
            <w:r w:rsidRPr="00C376DE">
              <w:rPr>
                <w:rFonts w:eastAsia="Calibri"/>
                <w:sz w:val="22"/>
                <w:szCs w:val="22"/>
              </w:rPr>
              <w:t>Oktatóként történő részvétel a banketten</w:t>
            </w:r>
          </w:p>
        </w:tc>
        <w:tc>
          <w:tcPr>
            <w:tcW w:w="2126" w:type="dxa"/>
            <w:shd w:val="clear" w:color="auto" w:fill="EDEDED"/>
          </w:tcPr>
          <w:p w14:paraId="4F0D6365"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6CEEFBC3" w14:textId="77777777" w:rsidTr="00026782">
        <w:trPr>
          <w:jc w:val="center"/>
        </w:trPr>
        <w:tc>
          <w:tcPr>
            <w:tcW w:w="5959" w:type="dxa"/>
            <w:shd w:val="clear" w:color="auto" w:fill="EDEDED"/>
          </w:tcPr>
          <w:p w14:paraId="6B536554" w14:textId="77777777" w:rsidR="00FD0545" w:rsidRPr="00C376DE" w:rsidRDefault="00FD0545" w:rsidP="00026782">
            <w:pPr>
              <w:rPr>
                <w:rFonts w:eastAsia="Calibri"/>
                <w:sz w:val="22"/>
                <w:szCs w:val="22"/>
              </w:rPr>
            </w:pPr>
            <w:r w:rsidRPr="00C376DE">
              <w:rPr>
                <w:rFonts w:eastAsia="Calibri"/>
                <w:sz w:val="22"/>
                <w:szCs w:val="22"/>
              </w:rPr>
              <w:t xml:space="preserve">Részvétel szenátor és kari </w:t>
            </w:r>
            <w:proofErr w:type="gramStart"/>
            <w:r w:rsidRPr="00C376DE">
              <w:rPr>
                <w:rFonts w:eastAsia="Calibri"/>
                <w:sz w:val="22"/>
                <w:szCs w:val="22"/>
              </w:rPr>
              <w:t>tanácstag választáson</w:t>
            </w:r>
            <w:proofErr w:type="gramEnd"/>
          </w:p>
        </w:tc>
        <w:tc>
          <w:tcPr>
            <w:tcW w:w="2126" w:type="dxa"/>
            <w:shd w:val="clear" w:color="auto" w:fill="EDEDED"/>
          </w:tcPr>
          <w:p w14:paraId="79632E2A" w14:textId="77777777" w:rsidR="00FD0545" w:rsidRPr="00C376DE" w:rsidRDefault="00FD0545" w:rsidP="00026782">
            <w:pPr>
              <w:jc w:val="center"/>
              <w:rPr>
                <w:rFonts w:eastAsia="Calibri"/>
                <w:sz w:val="22"/>
                <w:szCs w:val="22"/>
              </w:rPr>
            </w:pPr>
            <w:r w:rsidRPr="00C376DE">
              <w:rPr>
                <w:rFonts w:eastAsia="Calibri"/>
                <w:sz w:val="22"/>
                <w:szCs w:val="22"/>
              </w:rPr>
              <w:t>5 pont</w:t>
            </w:r>
          </w:p>
        </w:tc>
      </w:tr>
      <w:tr w:rsidR="00FD0545" w:rsidRPr="00C376DE" w14:paraId="5FDFED41" w14:textId="77777777" w:rsidTr="00026782">
        <w:trPr>
          <w:jc w:val="center"/>
        </w:trPr>
        <w:tc>
          <w:tcPr>
            <w:tcW w:w="5959" w:type="dxa"/>
            <w:shd w:val="clear" w:color="auto" w:fill="EDEDED"/>
          </w:tcPr>
          <w:p w14:paraId="273D6772"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országos versenyen elért első helyezés</w:t>
            </w:r>
          </w:p>
        </w:tc>
        <w:tc>
          <w:tcPr>
            <w:tcW w:w="2126" w:type="dxa"/>
            <w:shd w:val="clear" w:color="auto" w:fill="EDEDED"/>
          </w:tcPr>
          <w:p w14:paraId="79B640C6" w14:textId="77777777" w:rsidR="00FD0545" w:rsidRPr="00C376DE" w:rsidRDefault="00FD0545" w:rsidP="00026782">
            <w:pPr>
              <w:jc w:val="center"/>
              <w:rPr>
                <w:rFonts w:eastAsia="Calibri"/>
                <w:sz w:val="22"/>
                <w:szCs w:val="22"/>
              </w:rPr>
            </w:pPr>
            <w:r w:rsidRPr="00C376DE">
              <w:rPr>
                <w:rFonts w:eastAsia="Calibri"/>
                <w:sz w:val="22"/>
                <w:szCs w:val="22"/>
              </w:rPr>
              <w:t>150 pont</w:t>
            </w:r>
          </w:p>
        </w:tc>
      </w:tr>
      <w:tr w:rsidR="00FD0545" w:rsidRPr="00C376DE" w14:paraId="6C12EF16" w14:textId="77777777" w:rsidTr="00026782">
        <w:trPr>
          <w:jc w:val="center"/>
        </w:trPr>
        <w:tc>
          <w:tcPr>
            <w:tcW w:w="5959" w:type="dxa"/>
            <w:shd w:val="clear" w:color="auto" w:fill="EDEDED"/>
          </w:tcPr>
          <w:p w14:paraId="2C9DC43C"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országos versenyen elért második helyezés</w:t>
            </w:r>
          </w:p>
        </w:tc>
        <w:tc>
          <w:tcPr>
            <w:tcW w:w="2126" w:type="dxa"/>
            <w:shd w:val="clear" w:color="auto" w:fill="EDEDED"/>
          </w:tcPr>
          <w:p w14:paraId="3B7E01AC" w14:textId="77777777" w:rsidR="00FD0545" w:rsidRPr="00C376DE" w:rsidRDefault="00FD0545" w:rsidP="00026782">
            <w:pPr>
              <w:jc w:val="center"/>
              <w:rPr>
                <w:rFonts w:eastAsia="Calibri"/>
                <w:sz w:val="22"/>
                <w:szCs w:val="22"/>
              </w:rPr>
            </w:pPr>
            <w:r w:rsidRPr="00C376DE">
              <w:rPr>
                <w:rFonts w:eastAsia="Calibri"/>
                <w:sz w:val="22"/>
                <w:szCs w:val="22"/>
              </w:rPr>
              <w:t>100 pont</w:t>
            </w:r>
          </w:p>
        </w:tc>
      </w:tr>
      <w:tr w:rsidR="00FD0545" w:rsidRPr="00C376DE" w14:paraId="053A7FB3" w14:textId="77777777" w:rsidTr="00026782">
        <w:trPr>
          <w:jc w:val="center"/>
        </w:trPr>
        <w:tc>
          <w:tcPr>
            <w:tcW w:w="5959" w:type="dxa"/>
            <w:shd w:val="clear" w:color="auto" w:fill="EDEDED"/>
          </w:tcPr>
          <w:p w14:paraId="2D6B0366"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országos versenyen elért harmadik helyezés</w:t>
            </w:r>
          </w:p>
        </w:tc>
        <w:tc>
          <w:tcPr>
            <w:tcW w:w="2126" w:type="dxa"/>
            <w:shd w:val="clear" w:color="auto" w:fill="EDEDED"/>
          </w:tcPr>
          <w:p w14:paraId="7D6E22D0" w14:textId="77777777" w:rsidR="00FD0545" w:rsidRPr="00C376DE" w:rsidRDefault="00FD0545" w:rsidP="00026782">
            <w:pPr>
              <w:jc w:val="center"/>
              <w:rPr>
                <w:rFonts w:eastAsia="Calibri"/>
                <w:sz w:val="22"/>
                <w:szCs w:val="22"/>
              </w:rPr>
            </w:pPr>
            <w:r w:rsidRPr="00C376DE">
              <w:rPr>
                <w:rFonts w:eastAsia="Calibri"/>
                <w:sz w:val="22"/>
                <w:szCs w:val="22"/>
              </w:rPr>
              <w:t>50 pont</w:t>
            </w:r>
          </w:p>
        </w:tc>
      </w:tr>
      <w:tr w:rsidR="00FD0545" w:rsidRPr="00C376DE" w14:paraId="6AC66BC9" w14:textId="77777777" w:rsidTr="00026782">
        <w:trPr>
          <w:jc w:val="center"/>
        </w:trPr>
        <w:tc>
          <w:tcPr>
            <w:tcW w:w="5959" w:type="dxa"/>
            <w:shd w:val="clear" w:color="auto" w:fill="EDEDED"/>
          </w:tcPr>
          <w:p w14:paraId="3041AC80"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nemzetközi versenyen elért első helyezés</w:t>
            </w:r>
          </w:p>
        </w:tc>
        <w:tc>
          <w:tcPr>
            <w:tcW w:w="2126" w:type="dxa"/>
            <w:shd w:val="clear" w:color="auto" w:fill="EDEDED"/>
          </w:tcPr>
          <w:p w14:paraId="6283865C" w14:textId="77777777" w:rsidR="00FD0545" w:rsidRPr="00C376DE" w:rsidRDefault="00FD0545" w:rsidP="00026782">
            <w:pPr>
              <w:jc w:val="center"/>
              <w:rPr>
                <w:rFonts w:eastAsia="Calibri"/>
                <w:sz w:val="22"/>
                <w:szCs w:val="22"/>
              </w:rPr>
            </w:pPr>
            <w:r w:rsidRPr="00C376DE">
              <w:rPr>
                <w:rFonts w:eastAsia="Calibri"/>
                <w:sz w:val="22"/>
                <w:szCs w:val="22"/>
              </w:rPr>
              <w:t>300 pont</w:t>
            </w:r>
          </w:p>
        </w:tc>
      </w:tr>
      <w:tr w:rsidR="00FD0545" w:rsidRPr="00C376DE" w14:paraId="094911B1" w14:textId="77777777" w:rsidTr="00026782">
        <w:trPr>
          <w:jc w:val="center"/>
        </w:trPr>
        <w:tc>
          <w:tcPr>
            <w:tcW w:w="5959" w:type="dxa"/>
            <w:shd w:val="clear" w:color="auto" w:fill="EDEDED"/>
          </w:tcPr>
          <w:p w14:paraId="5921DB3B"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nemzetközi versenyen elért második helyezés</w:t>
            </w:r>
          </w:p>
        </w:tc>
        <w:tc>
          <w:tcPr>
            <w:tcW w:w="2126" w:type="dxa"/>
            <w:shd w:val="clear" w:color="auto" w:fill="EDEDED"/>
          </w:tcPr>
          <w:p w14:paraId="02E43EC7" w14:textId="77777777" w:rsidR="00FD0545" w:rsidRPr="00C376DE" w:rsidRDefault="00FD0545" w:rsidP="00026782">
            <w:pPr>
              <w:jc w:val="center"/>
              <w:rPr>
                <w:rFonts w:eastAsia="Calibri"/>
                <w:sz w:val="22"/>
                <w:szCs w:val="22"/>
              </w:rPr>
            </w:pPr>
            <w:r w:rsidRPr="00C376DE">
              <w:rPr>
                <w:rFonts w:eastAsia="Calibri"/>
                <w:sz w:val="22"/>
                <w:szCs w:val="22"/>
              </w:rPr>
              <w:t>200 pont</w:t>
            </w:r>
          </w:p>
        </w:tc>
      </w:tr>
      <w:tr w:rsidR="00FD0545" w:rsidRPr="00C376DE" w14:paraId="0D2A3AC1" w14:textId="77777777" w:rsidTr="00026782">
        <w:trPr>
          <w:jc w:val="center"/>
        </w:trPr>
        <w:tc>
          <w:tcPr>
            <w:tcW w:w="5959" w:type="dxa"/>
            <w:shd w:val="clear" w:color="auto" w:fill="EDEDED"/>
          </w:tcPr>
          <w:p w14:paraId="53386C06" w14:textId="77777777" w:rsidR="00FD0545" w:rsidRPr="00C376DE" w:rsidRDefault="00FD0545" w:rsidP="00026782">
            <w:pPr>
              <w:rPr>
                <w:rFonts w:eastAsia="Calibri"/>
                <w:sz w:val="22"/>
                <w:szCs w:val="22"/>
              </w:rPr>
            </w:pPr>
            <w:r w:rsidRPr="00C376DE">
              <w:rPr>
                <w:rFonts w:eastAsia="Calibri"/>
                <w:sz w:val="22"/>
                <w:szCs w:val="22"/>
              </w:rPr>
              <w:t>Sporttudományi területen dolgozó oktató, kutató esetében nemzetközi versenyen elért harmadik helyezés</w:t>
            </w:r>
          </w:p>
        </w:tc>
        <w:tc>
          <w:tcPr>
            <w:tcW w:w="2126" w:type="dxa"/>
            <w:shd w:val="clear" w:color="auto" w:fill="EDEDED"/>
          </w:tcPr>
          <w:p w14:paraId="3694FFE8" w14:textId="77777777" w:rsidR="00FD0545" w:rsidRPr="00C376DE" w:rsidRDefault="00FD0545" w:rsidP="00026782">
            <w:pPr>
              <w:jc w:val="center"/>
              <w:rPr>
                <w:rFonts w:eastAsia="Calibri"/>
                <w:sz w:val="22"/>
                <w:szCs w:val="22"/>
              </w:rPr>
            </w:pPr>
            <w:r w:rsidRPr="00C376DE">
              <w:rPr>
                <w:rFonts w:eastAsia="Calibri"/>
                <w:sz w:val="22"/>
                <w:szCs w:val="22"/>
              </w:rPr>
              <w:t>100 pont</w:t>
            </w:r>
          </w:p>
        </w:tc>
      </w:tr>
    </w:tbl>
    <w:p w14:paraId="281CBEEE" w14:textId="77777777" w:rsidR="00FD0545" w:rsidRPr="00E13CE5" w:rsidRDefault="00FD0545" w:rsidP="00FD0545">
      <w:pPr>
        <w:spacing w:before="160"/>
        <w:rPr>
          <w:rFonts w:eastAsia="Calibri"/>
          <w:sz w:val="22"/>
          <w:szCs w:val="22"/>
        </w:rPr>
      </w:pPr>
      <w:r w:rsidRPr="00E13CE5">
        <w:rPr>
          <w:rFonts w:eastAsia="Calibri"/>
          <w:sz w:val="22"/>
          <w:szCs w:val="22"/>
        </w:rPr>
        <w:lastRenderedPageBreak/>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47FF6FB7" w14:textId="77777777" w:rsidTr="00026782">
        <w:tc>
          <w:tcPr>
            <w:tcW w:w="1980" w:type="dxa"/>
            <w:shd w:val="clear" w:color="auto" w:fill="F2F2F2"/>
          </w:tcPr>
          <w:p w14:paraId="71D56881"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231717F9" w14:textId="77777777" w:rsidR="00FD0545" w:rsidRPr="00C376DE" w:rsidRDefault="00FD0545" w:rsidP="00026782">
            <w:pPr>
              <w:rPr>
                <w:rFonts w:eastAsia="Calibri"/>
                <w:b/>
                <w:bCs/>
                <w:sz w:val="22"/>
                <w:szCs w:val="22"/>
              </w:rPr>
            </w:pPr>
            <w:r w:rsidRPr="00C376DE">
              <w:rPr>
                <w:rFonts w:eastAsia="Calibri"/>
                <w:b/>
                <w:bCs/>
                <w:sz w:val="22"/>
                <w:szCs w:val="22"/>
              </w:rPr>
              <w:t>Rendezvények jelenléti ívei</w:t>
            </w:r>
          </w:p>
        </w:tc>
      </w:tr>
      <w:tr w:rsidR="00FD0545" w:rsidRPr="00C376DE" w14:paraId="1617FBB1" w14:textId="77777777" w:rsidTr="00026782">
        <w:tc>
          <w:tcPr>
            <w:tcW w:w="1980" w:type="dxa"/>
            <w:shd w:val="clear" w:color="auto" w:fill="F2F2F2"/>
          </w:tcPr>
          <w:p w14:paraId="2D6DAB87"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635A3108" w14:textId="77777777" w:rsidR="00FD0545" w:rsidRPr="00C376DE" w:rsidRDefault="00FD0545" w:rsidP="00026782">
            <w:pPr>
              <w:rPr>
                <w:rFonts w:eastAsia="Calibri"/>
                <w:b/>
                <w:bCs/>
                <w:sz w:val="22"/>
                <w:szCs w:val="22"/>
              </w:rPr>
            </w:pPr>
            <w:r w:rsidRPr="00C376DE">
              <w:rPr>
                <w:rFonts w:eastAsia="Calibri"/>
                <w:b/>
                <w:bCs/>
                <w:sz w:val="22"/>
                <w:szCs w:val="22"/>
              </w:rPr>
              <w:t>Közéleti TÉR jelentés (J/11. melléklet)</w:t>
            </w:r>
          </w:p>
        </w:tc>
      </w:tr>
      <w:tr w:rsidR="00FD0545" w:rsidRPr="00C376DE" w14:paraId="2938A02F" w14:textId="77777777" w:rsidTr="00026782">
        <w:tc>
          <w:tcPr>
            <w:tcW w:w="1980" w:type="dxa"/>
            <w:shd w:val="clear" w:color="auto" w:fill="F2F2F2"/>
          </w:tcPr>
          <w:p w14:paraId="311F6B7A"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1D6AE750" w14:textId="77777777" w:rsidR="00FD0545" w:rsidRPr="00C376DE" w:rsidRDefault="00FD0545" w:rsidP="00026782">
            <w:pPr>
              <w:rPr>
                <w:rFonts w:eastAsia="Calibri"/>
                <w:b/>
                <w:bCs/>
                <w:sz w:val="22"/>
                <w:szCs w:val="22"/>
              </w:rPr>
            </w:pPr>
            <w:r w:rsidRPr="00C376DE">
              <w:rPr>
                <w:rFonts w:eastAsia="Calibri"/>
                <w:b/>
                <w:bCs/>
                <w:sz w:val="22"/>
                <w:szCs w:val="22"/>
              </w:rPr>
              <w:t>Kabinetfőnök</w:t>
            </w:r>
          </w:p>
        </w:tc>
      </w:tr>
    </w:tbl>
    <w:p w14:paraId="7C6606C8" w14:textId="77777777" w:rsidR="00FD0545" w:rsidRPr="00347D14" w:rsidRDefault="00FD0545" w:rsidP="00FD0545">
      <w:pPr>
        <w:ind w:left="708"/>
        <w:rPr>
          <w:b/>
          <w:sz w:val="22"/>
        </w:rPr>
      </w:pPr>
      <w:r>
        <w:rPr>
          <w:b/>
          <w:sz w:val="22"/>
        </w:rPr>
        <w:t xml:space="preserve">B) </w:t>
      </w:r>
      <w:r w:rsidRPr="00347D14">
        <w:rPr>
          <w:b/>
          <w:sz w:val="22"/>
        </w:rPr>
        <w:t>Degresszív tényezők</w:t>
      </w:r>
    </w:p>
    <w:p w14:paraId="711F3372" w14:textId="77777777" w:rsidR="00FD0545" w:rsidRPr="00347D14" w:rsidRDefault="00FD0545" w:rsidP="00FD0545">
      <w:pPr>
        <w:ind w:left="1416"/>
        <w:rPr>
          <w:b/>
          <w:sz w:val="22"/>
        </w:rPr>
      </w:pPr>
      <w:r>
        <w:rPr>
          <w:b/>
          <w:sz w:val="22"/>
        </w:rPr>
        <w:t xml:space="preserve">1. </w:t>
      </w:r>
      <w:r w:rsidRPr="00347D14">
        <w:rPr>
          <w:b/>
          <w:sz w:val="22"/>
        </w:rPr>
        <w:t>Munkavégzéssel összefüggő figyelmeztetési TÉR pont (FIGY TÉR)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232"/>
        <w:gridCol w:w="2552"/>
      </w:tblGrid>
      <w:tr w:rsidR="00FD0545" w:rsidRPr="00347D14" w14:paraId="51D6C9B9" w14:textId="77777777" w:rsidTr="00026782">
        <w:tc>
          <w:tcPr>
            <w:tcW w:w="6232" w:type="dxa"/>
            <w:tcBorders>
              <w:top w:val="single" w:sz="4" w:space="0" w:color="FFFFFF"/>
              <w:left w:val="single" w:sz="4" w:space="0" w:color="FFFFFF"/>
              <w:right w:val="nil"/>
            </w:tcBorders>
            <w:shd w:val="clear" w:color="auto" w:fill="EDEDED"/>
          </w:tcPr>
          <w:p w14:paraId="550581F1" w14:textId="77777777" w:rsidR="00FD0545" w:rsidRPr="00347D14" w:rsidRDefault="00FD0545" w:rsidP="00026782">
            <w:pPr>
              <w:jc w:val="center"/>
              <w:rPr>
                <w:rFonts w:eastAsia="Calibri"/>
                <w:b/>
                <w:bCs/>
                <w:sz w:val="22"/>
                <w:szCs w:val="22"/>
              </w:rPr>
            </w:pPr>
            <w:r w:rsidRPr="00347D14">
              <w:rPr>
                <w:rFonts w:eastAsia="Calibri"/>
                <w:b/>
                <w:bCs/>
                <w:sz w:val="22"/>
                <w:szCs w:val="22"/>
              </w:rPr>
              <w:t>Kötelező levonások</w:t>
            </w:r>
          </w:p>
        </w:tc>
        <w:tc>
          <w:tcPr>
            <w:tcW w:w="2552" w:type="dxa"/>
            <w:tcBorders>
              <w:top w:val="single" w:sz="4" w:space="0" w:color="FFFFFF"/>
              <w:left w:val="nil"/>
              <w:right w:val="single" w:sz="4" w:space="0" w:color="FFFFFF"/>
            </w:tcBorders>
            <w:shd w:val="clear" w:color="auto" w:fill="EDEDED"/>
          </w:tcPr>
          <w:p w14:paraId="4F56D92F" w14:textId="77777777" w:rsidR="00FD0545" w:rsidRPr="00347D14" w:rsidRDefault="00FD0545" w:rsidP="00026782">
            <w:pPr>
              <w:jc w:val="center"/>
              <w:rPr>
                <w:rFonts w:eastAsia="Calibri"/>
                <w:b/>
                <w:bCs/>
                <w:sz w:val="22"/>
                <w:szCs w:val="22"/>
              </w:rPr>
            </w:pPr>
            <w:r w:rsidRPr="00347D14">
              <w:rPr>
                <w:rFonts w:eastAsia="Calibri"/>
                <w:b/>
                <w:bCs/>
                <w:sz w:val="22"/>
                <w:szCs w:val="22"/>
              </w:rPr>
              <w:t>Levont pontérték</w:t>
            </w:r>
          </w:p>
        </w:tc>
      </w:tr>
      <w:tr w:rsidR="00FD0545" w:rsidRPr="00C376DE" w14:paraId="1C61C7F5" w14:textId="77777777" w:rsidTr="00026782">
        <w:tc>
          <w:tcPr>
            <w:tcW w:w="6232" w:type="dxa"/>
            <w:shd w:val="clear" w:color="auto" w:fill="EDEDED"/>
          </w:tcPr>
          <w:p w14:paraId="38059C65" w14:textId="77777777" w:rsidR="00FD0545" w:rsidRPr="00C376DE" w:rsidRDefault="00FD0545" w:rsidP="00026782">
            <w:pPr>
              <w:rPr>
                <w:rFonts w:eastAsia="Calibri"/>
                <w:sz w:val="22"/>
                <w:szCs w:val="22"/>
              </w:rPr>
            </w:pPr>
            <w:r w:rsidRPr="00C376DE">
              <w:rPr>
                <w:rFonts w:eastAsia="Calibri"/>
                <w:sz w:val="22"/>
                <w:szCs w:val="22"/>
              </w:rPr>
              <w:t>Szóbeli figyelmeztetés első alkalom</w:t>
            </w:r>
          </w:p>
        </w:tc>
        <w:tc>
          <w:tcPr>
            <w:tcW w:w="2552" w:type="dxa"/>
            <w:shd w:val="clear" w:color="auto" w:fill="EDEDED"/>
          </w:tcPr>
          <w:p w14:paraId="4A4D8E88" w14:textId="77777777" w:rsidR="00FD0545" w:rsidRPr="00C376DE" w:rsidRDefault="00FD0545" w:rsidP="00026782">
            <w:pPr>
              <w:jc w:val="center"/>
              <w:rPr>
                <w:rFonts w:eastAsia="Calibri"/>
                <w:sz w:val="22"/>
                <w:szCs w:val="22"/>
              </w:rPr>
            </w:pPr>
            <w:r w:rsidRPr="00C376DE">
              <w:rPr>
                <w:rFonts w:eastAsia="Calibri"/>
                <w:sz w:val="22"/>
                <w:szCs w:val="22"/>
              </w:rPr>
              <w:t>50 pont</w:t>
            </w:r>
          </w:p>
        </w:tc>
      </w:tr>
      <w:tr w:rsidR="00FD0545" w:rsidRPr="00C376DE" w14:paraId="2185B0C4" w14:textId="77777777" w:rsidTr="00026782">
        <w:tc>
          <w:tcPr>
            <w:tcW w:w="6232" w:type="dxa"/>
            <w:shd w:val="clear" w:color="auto" w:fill="EDEDED"/>
          </w:tcPr>
          <w:p w14:paraId="6E40BF98" w14:textId="77777777" w:rsidR="00FD0545" w:rsidRPr="00C376DE" w:rsidRDefault="00FD0545" w:rsidP="00026782">
            <w:pPr>
              <w:rPr>
                <w:rFonts w:eastAsia="Calibri"/>
                <w:sz w:val="22"/>
                <w:szCs w:val="22"/>
              </w:rPr>
            </w:pPr>
            <w:r w:rsidRPr="00C376DE">
              <w:rPr>
                <w:rFonts w:eastAsia="Calibri"/>
                <w:sz w:val="22"/>
                <w:szCs w:val="22"/>
              </w:rPr>
              <w:t>Szóbeli figyelmeztetés, minden további alkalom</w:t>
            </w:r>
          </w:p>
        </w:tc>
        <w:tc>
          <w:tcPr>
            <w:tcW w:w="2552" w:type="dxa"/>
            <w:shd w:val="clear" w:color="auto" w:fill="EDEDED"/>
          </w:tcPr>
          <w:p w14:paraId="45030FE5" w14:textId="77777777" w:rsidR="00FD0545" w:rsidRPr="00C376DE" w:rsidRDefault="00FD0545" w:rsidP="00026782">
            <w:pPr>
              <w:jc w:val="center"/>
              <w:rPr>
                <w:rFonts w:eastAsia="Calibri"/>
                <w:sz w:val="22"/>
                <w:szCs w:val="22"/>
              </w:rPr>
            </w:pPr>
            <w:r w:rsidRPr="00C376DE">
              <w:rPr>
                <w:rFonts w:eastAsia="Calibri"/>
                <w:sz w:val="22"/>
                <w:szCs w:val="22"/>
              </w:rPr>
              <w:t>100 pont / alkalom</w:t>
            </w:r>
          </w:p>
        </w:tc>
      </w:tr>
      <w:tr w:rsidR="00FD0545" w:rsidRPr="00C376DE" w14:paraId="3A5DE473" w14:textId="77777777" w:rsidTr="00026782">
        <w:tc>
          <w:tcPr>
            <w:tcW w:w="6232" w:type="dxa"/>
            <w:shd w:val="clear" w:color="auto" w:fill="EDEDED"/>
          </w:tcPr>
          <w:p w14:paraId="20DB0A40" w14:textId="77777777" w:rsidR="00FD0545" w:rsidRPr="00C376DE" w:rsidRDefault="00FD0545" w:rsidP="00026782">
            <w:pPr>
              <w:rPr>
                <w:rFonts w:eastAsia="Calibri"/>
                <w:sz w:val="22"/>
                <w:szCs w:val="22"/>
              </w:rPr>
            </w:pPr>
            <w:r w:rsidRPr="00C376DE">
              <w:rPr>
                <w:rFonts w:eastAsia="Calibri"/>
                <w:sz w:val="22"/>
                <w:szCs w:val="22"/>
              </w:rPr>
              <w:t>Írásbeli figyelmeztetés</w:t>
            </w:r>
          </w:p>
        </w:tc>
        <w:tc>
          <w:tcPr>
            <w:tcW w:w="2552" w:type="dxa"/>
            <w:shd w:val="clear" w:color="auto" w:fill="EDEDED"/>
          </w:tcPr>
          <w:p w14:paraId="0E24F1D3" w14:textId="77777777" w:rsidR="00FD0545" w:rsidRPr="00C376DE" w:rsidRDefault="00FD0545" w:rsidP="00026782">
            <w:pPr>
              <w:jc w:val="center"/>
              <w:rPr>
                <w:rFonts w:eastAsia="Calibri"/>
                <w:sz w:val="22"/>
                <w:szCs w:val="22"/>
              </w:rPr>
            </w:pPr>
            <w:r w:rsidRPr="00C376DE">
              <w:rPr>
                <w:rFonts w:eastAsia="Calibri"/>
                <w:sz w:val="22"/>
                <w:szCs w:val="22"/>
              </w:rPr>
              <w:t>200 pont / alkalom</w:t>
            </w:r>
          </w:p>
        </w:tc>
      </w:tr>
    </w:tbl>
    <w:p w14:paraId="3F11DD7A" w14:textId="77777777" w:rsidR="00FD0545" w:rsidRPr="00E13CE5" w:rsidRDefault="00FD0545" w:rsidP="00FD0545">
      <w:pPr>
        <w:spacing w:before="160"/>
        <w:jc w:val="both"/>
        <w:rPr>
          <w:rFonts w:eastAsia="Calibri"/>
          <w:sz w:val="22"/>
          <w:szCs w:val="22"/>
        </w:rPr>
      </w:pPr>
      <w:r w:rsidRPr="00E13CE5">
        <w:rPr>
          <w:rFonts w:eastAsia="Calibri"/>
          <w:sz w:val="22"/>
          <w:szCs w:val="22"/>
        </w:rPr>
        <w:t>A szorzó kizárólag az ITT TÉR pontokat csökkenti. A figyelmeztetés tényét (a szóbeliét is) és okát annak napján a TÉR rendszerbe rögzíteni szükséges, melyet az intézeti minőségirányítási és teljesítményértékelési referens tehet meg. Nem, vagy utólag rögzített figyelmeztetés nem vehető figyelembe a teljesítményértékelés során.</w:t>
      </w:r>
    </w:p>
    <w:p w14:paraId="2B6A7906"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73EA50E9" w14:textId="77777777" w:rsidTr="00026782">
        <w:tc>
          <w:tcPr>
            <w:tcW w:w="1980" w:type="dxa"/>
            <w:shd w:val="clear" w:color="auto" w:fill="F2F2F2"/>
          </w:tcPr>
          <w:p w14:paraId="2EB19DA4"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6EF97AD6" w14:textId="77777777" w:rsidR="00FD0545" w:rsidRPr="00C376DE" w:rsidRDefault="00FD0545" w:rsidP="00026782">
            <w:pPr>
              <w:rPr>
                <w:rFonts w:eastAsia="Calibri"/>
                <w:b/>
                <w:bCs/>
                <w:sz w:val="22"/>
                <w:szCs w:val="22"/>
              </w:rPr>
            </w:pPr>
            <w:r w:rsidRPr="00C376DE">
              <w:rPr>
                <w:rFonts w:eastAsia="Calibri"/>
                <w:b/>
                <w:bCs/>
                <w:sz w:val="22"/>
                <w:szCs w:val="22"/>
              </w:rPr>
              <w:t>TÉR nyilvántartás</w:t>
            </w:r>
          </w:p>
        </w:tc>
      </w:tr>
      <w:tr w:rsidR="00FD0545" w:rsidRPr="00C376DE" w14:paraId="18DDF5AA" w14:textId="77777777" w:rsidTr="00026782">
        <w:tc>
          <w:tcPr>
            <w:tcW w:w="1980" w:type="dxa"/>
            <w:shd w:val="clear" w:color="auto" w:fill="F2F2F2"/>
          </w:tcPr>
          <w:p w14:paraId="7F2EED82"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65A7F99" w14:textId="77777777" w:rsidR="00FD0545" w:rsidRPr="00C376DE" w:rsidRDefault="00FD0545" w:rsidP="00026782">
            <w:pPr>
              <w:rPr>
                <w:rFonts w:eastAsia="Calibri"/>
                <w:b/>
                <w:bCs/>
                <w:sz w:val="22"/>
                <w:szCs w:val="22"/>
              </w:rPr>
            </w:pPr>
            <w:r w:rsidRPr="00C376DE">
              <w:rPr>
                <w:rFonts w:eastAsia="Calibri"/>
                <w:b/>
                <w:bCs/>
                <w:sz w:val="22"/>
                <w:szCs w:val="22"/>
              </w:rPr>
              <w:t>Intézeti TÉR jelentés (J/1. melléklet)</w:t>
            </w:r>
          </w:p>
        </w:tc>
      </w:tr>
      <w:tr w:rsidR="00FD0545" w:rsidRPr="00C376DE" w14:paraId="67622E1F" w14:textId="77777777" w:rsidTr="00026782">
        <w:tc>
          <w:tcPr>
            <w:tcW w:w="1980" w:type="dxa"/>
            <w:shd w:val="clear" w:color="auto" w:fill="F2F2F2"/>
          </w:tcPr>
          <w:p w14:paraId="16262F83"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1F96345" w14:textId="77777777" w:rsidR="00FD0545" w:rsidRPr="00C376DE" w:rsidRDefault="00FD0545" w:rsidP="00026782">
            <w:pPr>
              <w:rPr>
                <w:rFonts w:eastAsia="Calibri"/>
                <w:b/>
                <w:bCs/>
                <w:sz w:val="22"/>
                <w:szCs w:val="22"/>
              </w:rPr>
            </w:pPr>
            <w:r w:rsidRPr="00C376DE">
              <w:rPr>
                <w:rFonts w:eastAsia="Calibri"/>
                <w:b/>
                <w:bCs/>
                <w:sz w:val="22"/>
                <w:szCs w:val="22"/>
              </w:rPr>
              <w:t>Intézeti minőségirányítási és teljesítményértékelési referens</w:t>
            </w:r>
          </w:p>
        </w:tc>
      </w:tr>
    </w:tbl>
    <w:p w14:paraId="3C905638" w14:textId="77777777" w:rsidR="00FD0545" w:rsidRDefault="00FD0545" w:rsidP="00FD0545">
      <w:pPr>
        <w:ind w:left="708"/>
        <w:rPr>
          <w:b/>
          <w:sz w:val="22"/>
        </w:rPr>
      </w:pPr>
    </w:p>
    <w:p w14:paraId="08487EF5" w14:textId="77777777" w:rsidR="00FD0545" w:rsidRPr="00347D14" w:rsidRDefault="00FD0545" w:rsidP="00FD0545">
      <w:pPr>
        <w:ind w:left="708"/>
        <w:rPr>
          <w:b/>
          <w:sz w:val="22"/>
        </w:rPr>
      </w:pPr>
      <w:r>
        <w:rPr>
          <w:b/>
          <w:sz w:val="22"/>
        </w:rPr>
        <w:t xml:space="preserve">C) </w:t>
      </w:r>
      <w:proofErr w:type="gramStart"/>
      <w:r w:rsidRPr="00347D14">
        <w:rPr>
          <w:b/>
          <w:sz w:val="22"/>
        </w:rPr>
        <w:t>A</w:t>
      </w:r>
      <w:proofErr w:type="gramEnd"/>
      <w:r w:rsidRPr="00347D14">
        <w:rPr>
          <w:b/>
          <w:sz w:val="22"/>
        </w:rPr>
        <w:t xml:space="preserve"> közéleti TÉR pontszám kiszámítása</w:t>
      </w:r>
    </w:p>
    <w:p w14:paraId="603B43F6" w14:textId="77777777" w:rsidR="00FD0545" w:rsidRDefault="00FD0545" w:rsidP="00FD0545">
      <w:pPr>
        <w:rPr>
          <w:rFonts w:eastAsia="Calibri"/>
          <w:sz w:val="22"/>
          <w:szCs w:val="22"/>
        </w:rPr>
      </w:pPr>
    </w:p>
    <w:p w14:paraId="5CAB0EBB" w14:textId="77777777" w:rsidR="00FD0545" w:rsidRPr="00E13CE5" w:rsidRDefault="00FD0545" w:rsidP="00FD0545">
      <w:pPr>
        <w:rPr>
          <w:rFonts w:eastAsia="Calibri"/>
          <w:sz w:val="22"/>
          <w:szCs w:val="22"/>
        </w:rPr>
      </w:pPr>
      <w:r w:rsidRPr="00E13CE5">
        <w:rPr>
          <w:rFonts w:eastAsia="Calibri"/>
          <w:sz w:val="22"/>
          <w:szCs w:val="22"/>
        </w:rPr>
        <w:t xml:space="preserve">A TÉR III. fejezet </w:t>
      </w:r>
      <w:proofErr w:type="spellStart"/>
      <w:r w:rsidRPr="00E13CE5">
        <w:rPr>
          <w:rFonts w:eastAsia="Calibri"/>
          <w:sz w:val="22"/>
          <w:szCs w:val="22"/>
        </w:rPr>
        <w:t>összpontszáma</w:t>
      </w:r>
      <w:proofErr w:type="spellEnd"/>
      <w:r w:rsidRPr="00E13CE5">
        <w:rPr>
          <w:rFonts w:eastAsia="Calibri"/>
          <w:sz w:val="22"/>
          <w:szCs w:val="22"/>
        </w:rPr>
        <w:t xml:space="preserve"> az alábbi képlet alapján számítható:</w:t>
      </w:r>
    </w:p>
    <w:p w14:paraId="2960F806" w14:textId="77777777" w:rsidR="00FD0545" w:rsidRPr="00FD0545" w:rsidRDefault="00C54B98" w:rsidP="00FD0545">
      <w:pPr>
        <w:pBdr>
          <w:top w:val="single" w:sz="4" w:space="1" w:color="auto"/>
          <w:left w:val="single" w:sz="4" w:space="4" w:color="auto"/>
          <w:bottom w:val="single" w:sz="4" w:space="1" w:color="auto"/>
          <w:right w:val="single" w:sz="4" w:space="4" w:color="auto"/>
        </w:pBdr>
        <w:shd w:val="clear" w:color="auto" w:fill="F2F2F2"/>
        <w:rPr>
          <w:rFonts w:eastAsia="Calibri"/>
          <w:b/>
          <w:bCs/>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TÉR</m:t>
              </m:r>
            </m:e>
            <m:sub>
              <m:r>
                <m:rPr>
                  <m:sty m:val="bi"/>
                </m:rPr>
                <w:rPr>
                  <w:rFonts w:ascii="Cambria Math" w:eastAsia="Calibri" w:hAnsi="Cambria Math"/>
                  <w:sz w:val="22"/>
                  <w:szCs w:val="22"/>
                </w:rPr>
                <m:t>KÖZÉLETI</m:t>
              </m:r>
            </m:sub>
          </m:sSub>
          <m:r>
            <m:rPr>
              <m:sty m:val="bi"/>
            </m:rPr>
            <w:rPr>
              <w:rFonts w:ascii="Cambria Math" w:eastAsia="Calibri" w:hAnsi="Cambria Math"/>
              <w:sz w:val="22"/>
              <w:szCs w:val="22"/>
            </w:rPr>
            <m:t xml:space="preserve"> =</m:t>
          </m:r>
          <m:r>
            <m:rPr>
              <m:sty m:val="bi"/>
            </m:rPr>
            <w:rPr>
              <w:rFonts w:ascii="Cambria Math" w:hAnsi="Cambria Math"/>
              <w:sz w:val="22"/>
              <w:szCs w:val="22"/>
            </w:rPr>
            <m:t>MATE TÉR+ RSZ TÉR+TTF TÉR+ITT TÉR+OSZ TÉR+KÜL TÉR+TG TÉR+KÖZ TÉR-FIGY TÉR</m:t>
          </m:r>
        </m:oMath>
      </m:oMathPara>
    </w:p>
    <w:p w14:paraId="0817BABA" w14:textId="77777777" w:rsidR="00FD0545" w:rsidRPr="00347D14" w:rsidRDefault="00FD0545" w:rsidP="00FD0545">
      <w:pPr>
        <w:rPr>
          <w:sz w:val="22"/>
        </w:rPr>
      </w:pPr>
    </w:p>
    <w:p w14:paraId="11631C0F" w14:textId="77777777" w:rsidR="00FD0545" w:rsidRPr="00347D14" w:rsidRDefault="00FD0545" w:rsidP="00FD0545">
      <w:pPr>
        <w:ind w:left="708"/>
        <w:rPr>
          <w:b/>
          <w:sz w:val="22"/>
        </w:rPr>
      </w:pPr>
      <w:r w:rsidRPr="00347D14">
        <w:rPr>
          <w:b/>
          <w:sz w:val="22"/>
        </w:rPr>
        <w:t>D) Elvárt teljesítmény</w:t>
      </w:r>
    </w:p>
    <w:p w14:paraId="22381E8D" w14:textId="77777777" w:rsidR="00FD0545" w:rsidRPr="00347D14" w:rsidRDefault="00FD0545" w:rsidP="00FD0545">
      <w:pPr>
        <w:jc w:val="both"/>
        <w:rPr>
          <w:rFonts w:eastAsia="Calibri"/>
          <w:sz w:val="20"/>
          <w:szCs w:val="22"/>
        </w:rPr>
      </w:pPr>
    </w:p>
    <w:p w14:paraId="5DF8DC6A" w14:textId="77777777" w:rsidR="00FD0545" w:rsidRPr="00E13CE5" w:rsidRDefault="00FD0545" w:rsidP="00FD0545">
      <w:pPr>
        <w:jc w:val="both"/>
        <w:rPr>
          <w:rFonts w:eastAsia="Calibri"/>
          <w:sz w:val="22"/>
          <w:szCs w:val="22"/>
        </w:rPr>
      </w:pPr>
      <w:r w:rsidRPr="00E13CE5">
        <w:rPr>
          <w:rFonts w:eastAsia="Calibri"/>
          <w:sz w:val="22"/>
          <w:szCs w:val="22"/>
        </w:rPr>
        <w:t xml:space="preserve">A </w:t>
      </w:r>
      <w:proofErr w:type="spellStart"/>
      <w:r w:rsidRPr="00E13CE5">
        <w:rPr>
          <w:rFonts w:eastAsia="Calibri"/>
          <w:sz w:val="22"/>
          <w:szCs w:val="22"/>
        </w:rPr>
        <w:t>továbbfoglalkoztatás</w:t>
      </w:r>
      <w:proofErr w:type="spellEnd"/>
      <w:r w:rsidRPr="00E13CE5">
        <w:rPr>
          <w:rFonts w:eastAsia="Calibri"/>
          <w:sz w:val="22"/>
          <w:szCs w:val="22"/>
        </w:rPr>
        <w:t xml:space="preserve"> feltétele, hogy a három utolsó vizsgált TÉR időszakban, évenként a következő minimum pontszámot elérje az oktató:</w:t>
      </w:r>
    </w:p>
    <w:p w14:paraId="2F2CBC81" w14:textId="77777777" w:rsidR="00FD0545" w:rsidRPr="00E13CE5" w:rsidRDefault="00FD0545" w:rsidP="00FD0545">
      <w:pPr>
        <w:jc w:val="center"/>
        <w:rPr>
          <w:rFonts w:eastAsia="Calibri"/>
          <w:b/>
          <w:bCs/>
          <w:i/>
          <w:iCs/>
          <w:sz w:val="22"/>
          <w:szCs w:val="22"/>
        </w:rPr>
      </w:pPr>
      <w:r w:rsidRPr="00E13CE5">
        <w:rPr>
          <w:rFonts w:eastAsia="Calibri"/>
          <w:b/>
          <w:bCs/>
          <w:i/>
          <w:iCs/>
          <w:sz w:val="22"/>
          <w:szCs w:val="22"/>
        </w:rPr>
        <w:t>TÉR</w:t>
      </w:r>
      <w:r w:rsidRPr="00E13CE5">
        <w:rPr>
          <w:rFonts w:eastAsia="Calibri"/>
          <w:b/>
          <w:bCs/>
          <w:i/>
          <w:iCs/>
          <w:sz w:val="22"/>
          <w:szCs w:val="22"/>
          <w:vertAlign w:val="subscript"/>
        </w:rPr>
        <w:t>KÖZÉLETI</w:t>
      </w:r>
      <w:r w:rsidRPr="00E13CE5">
        <w:rPr>
          <w:rFonts w:eastAsia="Calibri"/>
          <w:b/>
          <w:bCs/>
          <w:i/>
          <w:iCs/>
          <w:sz w:val="22"/>
          <w:szCs w:val="22"/>
        </w:rPr>
        <w:t xml:space="preserve"> ELVÁRT MINIMÁLIS PONTSZÁM = 300 pont</w:t>
      </w:r>
    </w:p>
    <w:p w14:paraId="62486D37" w14:textId="77777777" w:rsidR="00FD0545" w:rsidRPr="00E13CE5" w:rsidRDefault="00FD0545" w:rsidP="00FD0545">
      <w:pPr>
        <w:jc w:val="both"/>
        <w:rPr>
          <w:rFonts w:eastAsia="Calibri"/>
          <w:sz w:val="22"/>
          <w:szCs w:val="22"/>
        </w:rPr>
      </w:pPr>
      <w:r w:rsidRPr="00E13CE5">
        <w:rPr>
          <w:rFonts w:eastAsia="Calibri"/>
          <w:sz w:val="22"/>
          <w:szCs w:val="22"/>
        </w:rPr>
        <w:t xml:space="preserve">Amennyiben az adott évben a fenti </w:t>
      </w:r>
      <w:proofErr w:type="gramStart"/>
      <w:r w:rsidRPr="00E13CE5">
        <w:rPr>
          <w:rFonts w:eastAsia="Calibri"/>
          <w:sz w:val="22"/>
          <w:szCs w:val="22"/>
        </w:rPr>
        <w:t>minimális</w:t>
      </w:r>
      <w:proofErr w:type="gramEnd"/>
      <w:r w:rsidRPr="00E13CE5">
        <w:rPr>
          <w:rFonts w:eastAsia="Calibri"/>
          <w:sz w:val="22"/>
          <w:szCs w:val="22"/>
        </w:rPr>
        <w:t xml:space="preserve"> mértéket nem éri el az értékelt, a közalkalmazotti minősítés 3.4 szempontja kizárólag „Nem megfelelő” lehet, így az adott időszakban a </w:t>
      </w:r>
      <w:proofErr w:type="spellStart"/>
      <w:r w:rsidRPr="00E13CE5">
        <w:rPr>
          <w:rFonts w:eastAsia="Calibri"/>
          <w:sz w:val="22"/>
          <w:szCs w:val="22"/>
        </w:rPr>
        <w:t>Fkr</w:t>
      </w:r>
      <w:proofErr w:type="spellEnd"/>
      <w:r w:rsidRPr="00E13CE5">
        <w:rPr>
          <w:rFonts w:eastAsia="Calibri"/>
          <w:sz w:val="22"/>
          <w:szCs w:val="22"/>
        </w:rPr>
        <w:t xml:space="preserve"> 51.§ (8) alapján közalkalmazotti minősítése is „alkalmatlan”.</w:t>
      </w:r>
    </w:p>
    <w:p w14:paraId="0F92B458" w14:textId="77777777" w:rsidR="00FD0545" w:rsidRPr="00347D14" w:rsidRDefault="00FD0545" w:rsidP="00FD0545"/>
    <w:p w14:paraId="0A1D53E3" w14:textId="77777777" w:rsidR="00FD0545" w:rsidRPr="00347D14" w:rsidRDefault="00FD0545" w:rsidP="00FD0545">
      <w:pPr>
        <w:rPr>
          <w:b/>
          <w:sz w:val="22"/>
        </w:rPr>
      </w:pPr>
      <w:r w:rsidRPr="00347D14">
        <w:rPr>
          <w:b/>
          <w:sz w:val="22"/>
        </w:rPr>
        <w:t>IV. Vezetői TÉR</w:t>
      </w:r>
    </w:p>
    <w:p w14:paraId="2227DC9F" w14:textId="77777777" w:rsidR="00FD0545" w:rsidRPr="00347D14" w:rsidRDefault="00FD0545" w:rsidP="00FD0545">
      <w:pPr>
        <w:rPr>
          <w:b/>
        </w:rPr>
      </w:pPr>
    </w:p>
    <w:p w14:paraId="6E47793B" w14:textId="77777777" w:rsidR="00FD0545" w:rsidRDefault="00FD0545" w:rsidP="00FD0545">
      <w:pPr>
        <w:ind w:left="708"/>
        <w:rPr>
          <w:b/>
          <w:sz w:val="22"/>
        </w:rPr>
      </w:pPr>
      <w:r w:rsidRPr="00347D14">
        <w:rPr>
          <w:b/>
          <w:sz w:val="22"/>
        </w:rPr>
        <w:t>A) Pontszámítás</w:t>
      </w:r>
    </w:p>
    <w:p w14:paraId="4702B27C" w14:textId="77777777" w:rsidR="00FD0545" w:rsidRPr="00347D14" w:rsidRDefault="00FD0545" w:rsidP="00FD0545">
      <w:pPr>
        <w:ind w:left="708"/>
        <w:rPr>
          <w:b/>
          <w:sz w:val="22"/>
        </w:rPr>
      </w:pPr>
    </w:p>
    <w:p w14:paraId="4D86282C" w14:textId="77777777" w:rsidR="00FD0545" w:rsidRDefault="00FD0545" w:rsidP="00FD0545">
      <w:pPr>
        <w:ind w:left="1416"/>
        <w:rPr>
          <w:b/>
          <w:sz w:val="22"/>
        </w:rPr>
      </w:pPr>
      <w:r>
        <w:rPr>
          <w:b/>
          <w:sz w:val="22"/>
        </w:rPr>
        <w:t xml:space="preserve">1. </w:t>
      </w:r>
      <w:r w:rsidRPr="00347D14">
        <w:rPr>
          <w:b/>
          <w:sz w:val="22"/>
        </w:rPr>
        <w:t>Vezetői TÉR alappontok (VA TÉR)</w:t>
      </w:r>
    </w:p>
    <w:p w14:paraId="2EBFF3C1" w14:textId="77777777" w:rsidR="00FD0545" w:rsidRPr="00347D14" w:rsidRDefault="00FD0545" w:rsidP="00FD0545">
      <w:pPr>
        <w:ind w:left="1416"/>
        <w:rPr>
          <w:b/>
          <w:sz w:val="22"/>
        </w:rPr>
      </w:pPr>
    </w:p>
    <w:p w14:paraId="14F70FCD" w14:textId="77777777" w:rsidR="00FD0545" w:rsidRPr="00E13CE5" w:rsidRDefault="00FD0545" w:rsidP="00FD0545">
      <w:pPr>
        <w:jc w:val="both"/>
        <w:rPr>
          <w:rFonts w:eastAsia="Calibri"/>
          <w:sz w:val="22"/>
          <w:szCs w:val="22"/>
        </w:rPr>
      </w:pPr>
      <w:r w:rsidRPr="00E13CE5">
        <w:rPr>
          <w:rFonts w:eastAsia="Calibri"/>
          <w:sz w:val="22"/>
          <w:szCs w:val="22"/>
        </w:rPr>
        <w:t xml:space="preserve">Az alappontok mértéke a vezetői vonalban betöltött hely alapján került megállapításra, így a dékán esetében 4500 pont, általános helyettesének 1500 pont, stratégiai vezetői szint esetén 1000 pont, taktikai vezetői szinten 800 pont, operatív vezetőként 600 pont, koordinátori vezetői szinten 400 pont, míg az intézeti referensek esetében az intézeti referensi szorzóval (IRSZ, IV.B.3.) </w:t>
      </w:r>
      <w:proofErr w:type="gramStart"/>
      <w:r w:rsidRPr="00E13CE5">
        <w:rPr>
          <w:rFonts w:eastAsia="Calibri"/>
          <w:sz w:val="22"/>
          <w:szCs w:val="22"/>
        </w:rPr>
        <w:t>korrigált</w:t>
      </w:r>
      <w:proofErr w:type="gramEnd"/>
      <w:r w:rsidRPr="00E13CE5">
        <w:rPr>
          <w:rFonts w:eastAsia="Calibri"/>
          <w:sz w:val="22"/>
          <w:szCs w:val="22"/>
        </w:rPr>
        <w:t xml:space="preserve"> 200 alappont kerül elismerésre az alábbiak szerint:</w:t>
      </w:r>
    </w:p>
    <w:p w14:paraId="6525F965"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rFonts w:eastAsia="Calibri"/>
          <w:sz w:val="22"/>
          <w:szCs w:val="22"/>
        </w:rPr>
      </w:pPr>
      <m:oMathPara>
        <m:oMath>
          <m:r>
            <w:rPr>
              <w:rFonts w:ascii="Cambria Math" w:eastAsia="Calibri" w:hAnsi="Cambria Math"/>
              <w:sz w:val="22"/>
              <w:szCs w:val="22"/>
            </w:rPr>
            <m:t>INTÉZETI REFERENSIA ALAPPONT=</m:t>
          </m:r>
          <m:f>
            <m:fPr>
              <m:ctrlPr>
                <w:rPr>
                  <w:rFonts w:ascii="Cambria Math" w:eastAsia="Calibri" w:hAnsi="Cambria Math"/>
                  <w:i/>
                  <w:sz w:val="22"/>
                  <w:szCs w:val="22"/>
                </w:rPr>
              </m:ctrlPr>
            </m:fPr>
            <m:num>
              <m:r>
                <w:rPr>
                  <w:rFonts w:ascii="Cambria Math" w:eastAsia="Calibri" w:hAnsi="Cambria Math"/>
                  <w:sz w:val="22"/>
                  <w:szCs w:val="22"/>
                </w:rPr>
                <m:t>IRSZ×200</m:t>
              </m:r>
            </m:num>
            <m:den>
              <m:r>
                <w:rPr>
                  <w:rFonts w:ascii="Cambria Math" w:eastAsia="Calibri" w:hAnsi="Cambria Math"/>
                  <w:sz w:val="22"/>
                  <w:szCs w:val="22"/>
                </w:rPr>
                <m:t>n</m:t>
              </m:r>
            </m:den>
          </m:f>
        </m:oMath>
      </m:oMathPara>
    </w:p>
    <w:p w14:paraId="7CDD944B" w14:textId="77777777" w:rsidR="00FD0545" w:rsidRPr="00E13CE5" w:rsidRDefault="00FD0545" w:rsidP="00FD0545">
      <w:pPr>
        <w:rPr>
          <w:rFonts w:eastAsia="Calibri"/>
          <w:sz w:val="22"/>
          <w:szCs w:val="22"/>
        </w:rPr>
      </w:pPr>
      <w:r w:rsidRPr="00E13CE5">
        <w:rPr>
          <w:rFonts w:eastAsia="Calibri"/>
          <w:sz w:val="22"/>
          <w:szCs w:val="22"/>
        </w:rPr>
        <w:t xml:space="preserve"> </w:t>
      </w:r>
      <w:proofErr w:type="gramStart"/>
      <w:r w:rsidRPr="00E13CE5">
        <w:rPr>
          <w:rFonts w:eastAsia="Calibri"/>
          <w:sz w:val="22"/>
          <w:szCs w:val="22"/>
        </w:rPr>
        <w:t>ahol</w:t>
      </w:r>
      <w:proofErr w:type="gramEnd"/>
      <w:r w:rsidRPr="00E13CE5">
        <w:rPr>
          <w:rFonts w:eastAsia="Calibri"/>
          <w:sz w:val="22"/>
          <w:szCs w:val="22"/>
        </w:rPr>
        <w:t xml:space="preserve"> IRSZ az intézeti referensi szorzó (IV.B3), „n” az adott referensi feladatot ellátó intézeti dolgozók száma.</w:t>
      </w:r>
    </w:p>
    <w:p w14:paraId="5B8F0412" w14:textId="77777777" w:rsidR="00FD0545" w:rsidRPr="00E13CE5" w:rsidRDefault="00FD0545" w:rsidP="00FD0545">
      <w:pPr>
        <w:jc w:val="both"/>
        <w:rPr>
          <w:rFonts w:eastAsia="Calibri"/>
          <w:sz w:val="22"/>
          <w:szCs w:val="22"/>
        </w:rPr>
      </w:pPr>
      <w:r w:rsidRPr="00E13CE5">
        <w:rPr>
          <w:rFonts w:eastAsia="Calibri"/>
          <w:sz w:val="22"/>
          <w:szCs w:val="22"/>
        </w:rPr>
        <w:lastRenderedPageBreak/>
        <w:t>Az intézetigazgató (vagy önálló tanszék vezetője) 500 pontot, helyettese 400 pontot, a nem önálló tanszék vezetője 400, helyettese 320 pontot kap.</w:t>
      </w:r>
    </w:p>
    <w:p w14:paraId="189C0613" w14:textId="77777777" w:rsidR="00FD0545" w:rsidRDefault="00FD0545" w:rsidP="00FD0545">
      <w:pPr>
        <w:jc w:val="both"/>
        <w:rPr>
          <w:rFonts w:eastAsia="Calibri"/>
          <w:sz w:val="22"/>
          <w:szCs w:val="22"/>
        </w:rPr>
      </w:pPr>
      <w:r w:rsidRPr="00E13CE5">
        <w:rPr>
          <w:rFonts w:eastAsia="Calibri"/>
          <w:sz w:val="22"/>
          <w:szCs w:val="22"/>
        </w:rPr>
        <w:t xml:space="preserve">A vezetői pontokat a fentiekre tekintettel az </w:t>
      </w:r>
      <w:proofErr w:type="gramStart"/>
      <w:r w:rsidRPr="00E13CE5">
        <w:rPr>
          <w:rFonts w:eastAsia="Calibri"/>
          <w:sz w:val="22"/>
          <w:szCs w:val="22"/>
        </w:rPr>
        <w:t>aktuális</w:t>
      </w:r>
      <w:proofErr w:type="gramEnd"/>
      <w:r w:rsidRPr="00E13CE5">
        <w:rPr>
          <w:rFonts w:eastAsia="Calibri"/>
          <w:sz w:val="22"/>
          <w:szCs w:val="22"/>
        </w:rPr>
        <w:t xml:space="preserve"> szervezeti térképnek megfelelően az értékelési időszakot megelőző 30 napon belül a minőségügyi és szervezetfejlesztési dékáni megbízott határozza meg.</w:t>
      </w:r>
    </w:p>
    <w:p w14:paraId="34A1D115" w14:textId="77777777" w:rsidR="00FD0545" w:rsidRPr="00E13CE5" w:rsidRDefault="00FD0545" w:rsidP="00FD0545">
      <w:pPr>
        <w:jc w:val="both"/>
        <w:rPr>
          <w:rFonts w:eastAsia="Calibri"/>
          <w:sz w:val="22"/>
          <w:szCs w:val="22"/>
        </w:rPr>
      </w:pPr>
    </w:p>
    <w:p w14:paraId="3EDEE5BA" w14:textId="77777777" w:rsidR="00FD0545" w:rsidRDefault="00FD0545" w:rsidP="00FD0545">
      <w:pPr>
        <w:ind w:left="1416"/>
        <w:rPr>
          <w:b/>
          <w:sz w:val="22"/>
        </w:rPr>
      </w:pPr>
      <w:r>
        <w:rPr>
          <w:b/>
          <w:sz w:val="22"/>
        </w:rPr>
        <w:t xml:space="preserve">2. </w:t>
      </w:r>
      <w:r w:rsidRPr="00347D14">
        <w:rPr>
          <w:b/>
          <w:sz w:val="22"/>
        </w:rPr>
        <w:t>Teljesítésminőségi pont (TQ TÉR)</w:t>
      </w:r>
    </w:p>
    <w:p w14:paraId="081FD4E9" w14:textId="77777777" w:rsidR="00FD0545" w:rsidRPr="00347D14" w:rsidRDefault="00FD0545" w:rsidP="00FD0545">
      <w:pPr>
        <w:ind w:left="1416"/>
        <w:rPr>
          <w:b/>
          <w:sz w:val="22"/>
        </w:rPr>
      </w:pPr>
    </w:p>
    <w:p w14:paraId="483794EF" w14:textId="77777777" w:rsidR="00FD0545" w:rsidRPr="00E13CE5" w:rsidRDefault="00FD0545" w:rsidP="00FD0545">
      <w:pPr>
        <w:jc w:val="both"/>
        <w:rPr>
          <w:rFonts w:eastAsia="Calibri"/>
          <w:sz w:val="22"/>
          <w:szCs w:val="22"/>
        </w:rPr>
      </w:pPr>
      <w:r w:rsidRPr="00E13CE5">
        <w:rPr>
          <w:rFonts w:eastAsia="Calibri"/>
          <w:sz w:val="22"/>
          <w:szCs w:val="22"/>
        </w:rPr>
        <w:t xml:space="preserve">A feladatvégrehajtás minőségének függvényében, az alábbi szempontoknak megfelelő arányosítással, valamennyi vezetői munkakörben foglalkoztatott legfeljebb a vezetői TÉR alappontnak (intézeti referensek esetében a </w:t>
      </w:r>
      <w:proofErr w:type="gramStart"/>
      <w:r w:rsidRPr="00E13CE5">
        <w:rPr>
          <w:rFonts w:eastAsia="Calibri"/>
          <w:sz w:val="22"/>
          <w:szCs w:val="22"/>
        </w:rPr>
        <w:t>korrigált</w:t>
      </w:r>
      <w:proofErr w:type="gramEnd"/>
      <w:r w:rsidRPr="00E13CE5">
        <w:rPr>
          <w:rFonts w:eastAsia="Calibri"/>
          <w:sz w:val="22"/>
          <w:szCs w:val="22"/>
        </w:rPr>
        <w:t xml:space="preserve"> TÉR alappontnak) megfelelő mértékű pontra jogosult. Amennyiben a minősítést két szakmai vonalbeli felettes végzi, mindketten az adható maximális pontszám (vagyis az értékelt munkakörhöz tartozó vezetői TÉR alappont) felére vonatkozóan tesznek javaslatot. A pontok ötödének megítélése a specifikus szempontként meghatározott </w:t>
      </w:r>
      <w:proofErr w:type="gramStart"/>
      <w:r w:rsidRPr="00E13CE5">
        <w:rPr>
          <w:rFonts w:eastAsia="Calibri"/>
          <w:sz w:val="22"/>
          <w:szCs w:val="22"/>
        </w:rPr>
        <w:t>indikátor</w:t>
      </w:r>
      <w:proofErr w:type="gramEnd"/>
      <w:r w:rsidRPr="00E13CE5">
        <w:rPr>
          <w:rFonts w:eastAsia="Calibri"/>
          <w:sz w:val="22"/>
          <w:szCs w:val="22"/>
        </w:rPr>
        <w:t xml:space="preserve"> teljesítése esetén adható. A feladatkör specifikus szempontokat az értékelő vezető, kijelölését követőn határozza meg az értékelési időszakot megelőző 30 napon belül, és írásban tájékoztatja erről a szervezetfejlesztési és folyamatmenedzsment koordinátort, aki az értékelt munkaköri elvárásaival és folyamataival összeveti a meghatározott </w:t>
      </w:r>
      <w:proofErr w:type="gramStart"/>
      <w:r w:rsidRPr="00E13CE5">
        <w:rPr>
          <w:rFonts w:eastAsia="Calibri"/>
          <w:sz w:val="22"/>
          <w:szCs w:val="22"/>
        </w:rPr>
        <w:t>indikátorokat</w:t>
      </w:r>
      <w:proofErr w:type="gramEnd"/>
      <w:r w:rsidRPr="00E13CE5">
        <w:rPr>
          <w:rFonts w:eastAsia="Calibri"/>
          <w:sz w:val="22"/>
          <w:szCs w:val="22"/>
        </w:rPr>
        <w:t xml:space="preserve">. Amennyiben ezek összhangja nem valósul meg, új </w:t>
      </w:r>
      <w:proofErr w:type="gramStart"/>
      <w:r w:rsidRPr="00E13CE5">
        <w:rPr>
          <w:rFonts w:eastAsia="Calibri"/>
          <w:sz w:val="22"/>
          <w:szCs w:val="22"/>
        </w:rPr>
        <w:t>indikátor</w:t>
      </w:r>
      <w:proofErr w:type="gramEnd"/>
      <w:r w:rsidRPr="00E13CE5">
        <w:rPr>
          <w:rFonts w:eastAsia="Calibri"/>
          <w:sz w:val="22"/>
          <w:szCs w:val="22"/>
        </w:rPr>
        <w:t xml:space="preserve">(ok) kijelölését kezdeményezi az értékelő vezetőnél. A feladatkör specifikus </w:t>
      </w:r>
      <w:proofErr w:type="gramStart"/>
      <w:r w:rsidRPr="00E13CE5">
        <w:rPr>
          <w:rFonts w:eastAsia="Calibri"/>
          <w:sz w:val="22"/>
          <w:szCs w:val="22"/>
        </w:rPr>
        <w:t>szempont(</w:t>
      </w:r>
      <w:proofErr w:type="gramEnd"/>
      <w:r w:rsidRPr="00E13CE5">
        <w:rPr>
          <w:rFonts w:eastAsia="Calibri"/>
          <w:sz w:val="22"/>
          <w:szCs w:val="22"/>
        </w:rPr>
        <w:t>ok) elfogadásakor, legkésőbb az értékelési időszak megkezdéséig írásban tájékoztatja az értékeltet ezekről a szempontokról, továbbá az ezekkel megszerezhető TÉR pontok számáról.</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6232"/>
        <w:gridCol w:w="2552"/>
      </w:tblGrid>
      <w:tr w:rsidR="00FD0545" w:rsidRPr="00347D14" w14:paraId="05017A86" w14:textId="77777777" w:rsidTr="00026782">
        <w:trPr>
          <w:jc w:val="center"/>
        </w:trPr>
        <w:tc>
          <w:tcPr>
            <w:tcW w:w="6232" w:type="dxa"/>
            <w:tcBorders>
              <w:top w:val="single" w:sz="4" w:space="0" w:color="FFFFFF"/>
              <w:left w:val="single" w:sz="4" w:space="0" w:color="FFFFFF"/>
              <w:right w:val="nil"/>
            </w:tcBorders>
            <w:shd w:val="clear" w:color="auto" w:fill="EDEDED"/>
          </w:tcPr>
          <w:p w14:paraId="175967B3" w14:textId="77777777" w:rsidR="00FD0545" w:rsidRPr="00347D14" w:rsidRDefault="00FD0545" w:rsidP="00026782">
            <w:pPr>
              <w:jc w:val="center"/>
              <w:rPr>
                <w:rFonts w:eastAsia="Calibri"/>
                <w:b/>
                <w:bCs/>
                <w:sz w:val="22"/>
                <w:szCs w:val="22"/>
              </w:rPr>
            </w:pPr>
            <w:r w:rsidRPr="00347D14">
              <w:rPr>
                <w:rFonts w:eastAsia="Calibri"/>
                <w:b/>
                <w:bCs/>
                <w:sz w:val="22"/>
                <w:szCs w:val="22"/>
              </w:rPr>
              <w:t>Szempont</w:t>
            </w:r>
          </w:p>
        </w:tc>
        <w:tc>
          <w:tcPr>
            <w:tcW w:w="2552" w:type="dxa"/>
            <w:tcBorders>
              <w:top w:val="single" w:sz="4" w:space="0" w:color="FFFFFF"/>
              <w:left w:val="nil"/>
              <w:right w:val="single" w:sz="4" w:space="0" w:color="FFFFFF"/>
            </w:tcBorders>
            <w:shd w:val="clear" w:color="auto" w:fill="EDEDED"/>
          </w:tcPr>
          <w:p w14:paraId="5BEBED75" w14:textId="77777777" w:rsidR="00FD0545" w:rsidRPr="00347D14" w:rsidRDefault="00FD0545" w:rsidP="00026782">
            <w:pPr>
              <w:jc w:val="center"/>
              <w:rPr>
                <w:rFonts w:eastAsia="Calibri"/>
                <w:b/>
                <w:bCs/>
                <w:sz w:val="22"/>
                <w:szCs w:val="22"/>
              </w:rPr>
            </w:pPr>
            <w:r w:rsidRPr="00347D14">
              <w:rPr>
                <w:rFonts w:eastAsia="Calibri"/>
                <w:b/>
                <w:bCs/>
                <w:sz w:val="22"/>
                <w:szCs w:val="22"/>
              </w:rPr>
              <w:t>Adható pontszám aránya</w:t>
            </w:r>
          </w:p>
        </w:tc>
      </w:tr>
      <w:tr w:rsidR="00FD0545" w:rsidRPr="00C376DE" w14:paraId="3CD1F217" w14:textId="77777777" w:rsidTr="00026782">
        <w:trPr>
          <w:jc w:val="center"/>
        </w:trPr>
        <w:tc>
          <w:tcPr>
            <w:tcW w:w="6232" w:type="dxa"/>
            <w:shd w:val="clear" w:color="auto" w:fill="EDEDED"/>
          </w:tcPr>
          <w:p w14:paraId="24C61211" w14:textId="77777777" w:rsidR="00FD0545" w:rsidRPr="00C376DE" w:rsidRDefault="00FD0545" w:rsidP="00026782">
            <w:pPr>
              <w:rPr>
                <w:rFonts w:eastAsia="Calibri"/>
                <w:b/>
                <w:bCs/>
                <w:sz w:val="22"/>
                <w:szCs w:val="22"/>
              </w:rPr>
            </w:pPr>
            <w:r w:rsidRPr="00C376DE">
              <w:rPr>
                <w:rFonts w:eastAsia="Calibri"/>
                <w:sz w:val="22"/>
                <w:szCs w:val="22"/>
              </w:rPr>
              <w:t xml:space="preserve">Pontos, </w:t>
            </w:r>
            <w:proofErr w:type="gramStart"/>
            <w:r w:rsidRPr="00C376DE">
              <w:rPr>
                <w:rFonts w:eastAsia="Calibri"/>
                <w:sz w:val="22"/>
                <w:szCs w:val="22"/>
              </w:rPr>
              <w:t>precíz</w:t>
            </w:r>
            <w:proofErr w:type="gramEnd"/>
            <w:r w:rsidRPr="00C376DE">
              <w:rPr>
                <w:rFonts w:eastAsia="Calibri"/>
                <w:sz w:val="22"/>
                <w:szCs w:val="22"/>
              </w:rPr>
              <w:t xml:space="preserve"> feladatvégrehajtás, határidők tartása</w:t>
            </w:r>
          </w:p>
        </w:tc>
        <w:tc>
          <w:tcPr>
            <w:tcW w:w="2552" w:type="dxa"/>
            <w:shd w:val="clear" w:color="auto" w:fill="EDEDED"/>
          </w:tcPr>
          <w:p w14:paraId="5DAFD02B" w14:textId="77777777" w:rsidR="00FD0545" w:rsidRPr="00C376DE" w:rsidRDefault="00FD0545" w:rsidP="00026782">
            <w:pPr>
              <w:jc w:val="center"/>
              <w:rPr>
                <w:rFonts w:eastAsia="Calibri"/>
                <w:b/>
                <w:bCs/>
                <w:sz w:val="22"/>
                <w:szCs w:val="22"/>
              </w:rPr>
            </w:pPr>
            <w:r w:rsidRPr="00C376DE">
              <w:rPr>
                <w:rFonts w:eastAsia="Calibri"/>
                <w:sz w:val="22"/>
                <w:szCs w:val="22"/>
              </w:rPr>
              <w:t>20%</w:t>
            </w:r>
          </w:p>
        </w:tc>
      </w:tr>
      <w:tr w:rsidR="00FD0545" w:rsidRPr="00C376DE" w14:paraId="48035224" w14:textId="77777777" w:rsidTr="00026782">
        <w:trPr>
          <w:jc w:val="center"/>
        </w:trPr>
        <w:tc>
          <w:tcPr>
            <w:tcW w:w="6232" w:type="dxa"/>
            <w:shd w:val="clear" w:color="auto" w:fill="EDEDED"/>
          </w:tcPr>
          <w:p w14:paraId="5D41287B" w14:textId="77777777" w:rsidR="00FD0545" w:rsidRPr="00C376DE" w:rsidRDefault="00FD0545" w:rsidP="00026782">
            <w:pPr>
              <w:rPr>
                <w:rFonts w:eastAsia="Calibri"/>
                <w:sz w:val="22"/>
                <w:szCs w:val="22"/>
              </w:rPr>
            </w:pPr>
            <w:r w:rsidRPr="00C376DE">
              <w:rPr>
                <w:rFonts w:eastAsia="Calibri"/>
                <w:sz w:val="22"/>
                <w:szCs w:val="22"/>
              </w:rPr>
              <w:t>Kezdeményezőképesség</w:t>
            </w:r>
          </w:p>
        </w:tc>
        <w:tc>
          <w:tcPr>
            <w:tcW w:w="2552" w:type="dxa"/>
            <w:shd w:val="clear" w:color="auto" w:fill="EDEDED"/>
          </w:tcPr>
          <w:p w14:paraId="27BAE581"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5D6A056A" w14:textId="77777777" w:rsidTr="00026782">
        <w:trPr>
          <w:jc w:val="center"/>
        </w:trPr>
        <w:tc>
          <w:tcPr>
            <w:tcW w:w="6232" w:type="dxa"/>
            <w:shd w:val="clear" w:color="auto" w:fill="EDEDED"/>
          </w:tcPr>
          <w:p w14:paraId="42730578" w14:textId="77777777" w:rsidR="00FD0545" w:rsidRPr="00C376DE" w:rsidRDefault="00FD0545" w:rsidP="00026782">
            <w:pPr>
              <w:rPr>
                <w:rFonts w:eastAsia="Calibri"/>
                <w:sz w:val="22"/>
                <w:szCs w:val="22"/>
              </w:rPr>
            </w:pPr>
            <w:r w:rsidRPr="00C376DE">
              <w:rPr>
                <w:rFonts w:eastAsia="Calibri"/>
                <w:sz w:val="22"/>
                <w:szCs w:val="22"/>
              </w:rPr>
              <w:t>Feladatkör specifikus szempont</w:t>
            </w:r>
          </w:p>
        </w:tc>
        <w:tc>
          <w:tcPr>
            <w:tcW w:w="2552" w:type="dxa"/>
            <w:shd w:val="clear" w:color="auto" w:fill="EDEDED"/>
          </w:tcPr>
          <w:p w14:paraId="51A5B6FE"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14C1C4DF" w14:textId="77777777" w:rsidTr="00026782">
        <w:trPr>
          <w:jc w:val="center"/>
        </w:trPr>
        <w:tc>
          <w:tcPr>
            <w:tcW w:w="6232" w:type="dxa"/>
            <w:shd w:val="clear" w:color="auto" w:fill="EDEDED"/>
          </w:tcPr>
          <w:p w14:paraId="475E96DD" w14:textId="77777777" w:rsidR="00FD0545" w:rsidRPr="00C376DE" w:rsidRDefault="00FD0545" w:rsidP="00026782">
            <w:pPr>
              <w:rPr>
                <w:rFonts w:eastAsia="Calibri"/>
                <w:sz w:val="22"/>
                <w:szCs w:val="22"/>
              </w:rPr>
            </w:pPr>
            <w:r w:rsidRPr="00C376DE">
              <w:rPr>
                <w:rFonts w:eastAsia="Calibri"/>
                <w:sz w:val="22"/>
                <w:szCs w:val="22"/>
              </w:rPr>
              <w:t>Önálló munkavégzés</w:t>
            </w:r>
          </w:p>
        </w:tc>
        <w:tc>
          <w:tcPr>
            <w:tcW w:w="2552" w:type="dxa"/>
            <w:shd w:val="clear" w:color="auto" w:fill="EDEDED"/>
          </w:tcPr>
          <w:p w14:paraId="12CE7095"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C376DE" w14:paraId="75EB5D84" w14:textId="77777777" w:rsidTr="00026782">
        <w:trPr>
          <w:jc w:val="center"/>
        </w:trPr>
        <w:tc>
          <w:tcPr>
            <w:tcW w:w="6232" w:type="dxa"/>
            <w:shd w:val="clear" w:color="auto" w:fill="EDEDED"/>
          </w:tcPr>
          <w:p w14:paraId="68AA5016" w14:textId="77777777" w:rsidR="00FD0545" w:rsidRPr="00C376DE" w:rsidRDefault="00FD0545" w:rsidP="00026782">
            <w:pPr>
              <w:rPr>
                <w:rFonts w:eastAsia="Calibri"/>
                <w:sz w:val="22"/>
                <w:szCs w:val="22"/>
              </w:rPr>
            </w:pPr>
            <w:r w:rsidRPr="00C376DE">
              <w:rPr>
                <w:rFonts w:eastAsia="Calibri"/>
                <w:sz w:val="22"/>
                <w:szCs w:val="22"/>
              </w:rPr>
              <w:t>Pontos és megfelelő kommunikáció</w:t>
            </w:r>
          </w:p>
        </w:tc>
        <w:tc>
          <w:tcPr>
            <w:tcW w:w="2552" w:type="dxa"/>
            <w:shd w:val="clear" w:color="auto" w:fill="EDEDED"/>
          </w:tcPr>
          <w:p w14:paraId="68CF5B38" w14:textId="77777777" w:rsidR="00FD0545" w:rsidRPr="00C376DE" w:rsidRDefault="00FD0545" w:rsidP="00026782">
            <w:pPr>
              <w:jc w:val="center"/>
              <w:rPr>
                <w:rFonts w:eastAsia="Calibri"/>
                <w:sz w:val="22"/>
                <w:szCs w:val="22"/>
              </w:rPr>
            </w:pPr>
            <w:r w:rsidRPr="00C376DE">
              <w:rPr>
                <w:rFonts w:eastAsia="Calibri"/>
                <w:sz w:val="22"/>
                <w:szCs w:val="22"/>
              </w:rPr>
              <w:t>20%</w:t>
            </w:r>
          </w:p>
        </w:tc>
      </w:tr>
      <w:tr w:rsidR="00FD0545" w:rsidRPr="00347D14" w14:paraId="0C9705F2" w14:textId="77777777" w:rsidTr="00026782">
        <w:trPr>
          <w:jc w:val="center"/>
        </w:trPr>
        <w:tc>
          <w:tcPr>
            <w:tcW w:w="8784" w:type="dxa"/>
            <w:gridSpan w:val="2"/>
            <w:shd w:val="clear" w:color="auto" w:fill="A6A6A6"/>
          </w:tcPr>
          <w:p w14:paraId="616F798D" w14:textId="77777777" w:rsidR="00FD0545" w:rsidRPr="00347D14" w:rsidRDefault="00FD0545" w:rsidP="00026782">
            <w:pPr>
              <w:jc w:val="center"/>
              <w:rPr>
                <w:rFonts w:eastAsia="Calibri"/>
                <w:b/>
                <w:bCs/>
                <w:sz w:val="22"/>
                <w:szCs w:val="22"/>
              </w:rPr>
            </w:pPr>
            <w:r w:rsidRPr="00347D14">
              <w:rPr>
                <w:rFonts w:eastAsia="Calibri"/>
                <w:b/>
                <w:bCs/>
                <w:sz w:val="22"/>
                <w:szCs w:val="22"/>
              </w:rPr>
              <w:t>Kötelező levonások</w:t>
            </w:r>
          </w:p>
        </w:tc>
      </w:tr>
      <w:tr w:rsidR="00FD0545" w:rsidRPr="00C376DE" w14:paraId="60E7E71E" w14:textId="77777777" w:rsidTr="00026782">
        <w:trPr>
          <w:jc w:val="center"/>
        </w:trPr>
        <w:tc>
          <w:tcPr>
            <w:tcW w:w="6232" w:type="dxa"/>
            <w:shd w:val="clear" w:color="auto" w:fill="EDEDED"/>
          </w:tcPr>
          <w:p w14:paraId="18CBC1B9" w14:textId="77777777" w:rsidR="00FD0545" w:rsidRPr="00C376DE" w:rsidRDefault="00FD0545" w:rsidP="00026782">
            <w:pPr>
              <w:rPr>
                <w:rFonts w:eastAsia="Calibri"/>
                <w:sz w:val="22"/>
                <w:szCs w:val="22"/>
              </w:rPr>
            </w:pPr>
            <w:r w:rsidRPr="00C376DE">
              <w:rPr>
                <w:rFonts w:eastAsia="Calibri"/>
                <w:sz w:val="22"/>
                <w:szCs w:val="22"/>
              </w:rPr>
              <w:t>Kötelező értekezlet elmulasztása kimentés és helyettesítés nélkül</w:t>
            </w:r>
          </w:p>
        </w:tc>
        <w:tc>
          <w:tcPr>
            <w:tcW w:w="2552" w:type="dxa"/>
            <w:shd w:val="clear" w:color="auto" w:fill="EDEDED"/>
          </w:tcPr>
          <w:p w14:paraId="5BD3A182" w14:textId="77777777" w:rsidR="00FD0545" w:rsidRPr="00C376DE" w:rsidRDefault="00FD0545" w:rsidP="00026782">
            <w:pPr>
              <w:jc w:val="center"/>
              <w:rPr>
                <w:rFonts w:eastAsia="Calibri"/>
                <w:sz w:val="22"/>
                <w:szCs w:val="22"/>
              </w:rPr>
            </w:pPr>
            <w:r w:rsidRPr="00C376DE">
              <w:rPr>
                <w:rFonts w:eastAsia="Calibri"/>
                <w:sz w:val="22"/>
                <w:szCs w:val="22"/>
              </w:rPr>
              <w:t>-15% / alkalom</w:t>
            </w:r>
          </w:p>
        </w:tc>
      </w:tr>
    </w:tbl>
    <w:p w14:paraId="3B9A6382" w14:textId="77777777" w:rsidR="00FD0545" w:rsidRPr="00E13CE5" w:rsidRDefault="00FD0545" w:rsidP="00FD0545">
      <w:pPr>
        <w:spacing w:before="160"/>
        <w:rPr>
          <w:rFonts w:eastAsia="Calibri"/>
          <w:sz w:val="22"/>
          <w:szCs w:val="22"/>
        </w:rPr>
      </w:pPr>
      <w:r w:rsidRPr="00E13CE5">
        <w:rPr>
          <w:rFonts w:eastAsia="Calibri"/>
          <w:sz w:val="22"/>
          <w:szCs w:val="22"/>
        </w:rPr>
        <w:t>Az értékelés alapjául szolgáló adatok forrása, az adatnyerés módja: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80"/>
        <w:gridCol w:w="7082"/>
      </w:tblGrid>
      <w:tr w:rsidR="00FD0545" w:rsidRPr="00C376DE" w14:paraId="2C480C44" w14:textId="77777777" w:rsidTr="00026782">
        <w:tc>
          <w:tcPr>
            <w:tcW w:w="1980" w:type="dxa"/>
            <w:shd w:val="clear" w:color="auto" w:fill="F2F2F2"/>
          </w:tcPr>
          <w:p w14:paraId="2CE84480" w14:textId="77777777" w:rsidR="00FD0545" w:rsidRPr="00C376DE" w:rsidRDefault="00FD0545" w:rsidP="00026782">
            <w:pPr>
              <w:rPr>
                <w:rFonts w:eastAsia="Calibri"/>
                <w:b/>
                <w:bCs/>
                <w:sz w:val="22"/>
                <w:szCs w:val="22"/>
              </w:rPr>
            </w:pPr>
            <w:r w:rsidRPr="00C376DE">
              <w:rPr>
                <w:rFonts w:eastAsia="Calibri"/>
                <w:b/>
                <w:bCs/>
                <w:sz w:val="22"/>
                <w:szCs w:val="22"/>
              </w:rPr>
              <w:t>Adatok forrása:</w:t>
            </w:r>
          </w:p>
        </w:tc>
        <w:tc>
          <w:tcPr>
            <w:tcW w:w="7082" w:type="dxa"/>
            <w:shd w:val="clear" w:color="auto" w:fill="F2F2F2"/>
          </w:tcPr>
          <w:p w14:paraId="6598A6E8" w14:textId="77777777" w:rsidR="00FD0545" w:rsidRPr="00C376DE" w:rsidRDefault="00FD0545" w:rsidP="00026782">
            <w:pPr>
              <w:rPr>
                <w:rFonts w:eastAsia="Calibri"/>
                <w:b/>
                <w:bCs/>
                <w:sz w:val="22"/>
                <w:szCs w:val="22"/>
              </w:rPr>
            </w:pPr>
            <w:r w:rsidRPr="00C376DE">
              <w:rPr>
                <w:rFonts w:eastAsia="Calibri"/>
                <w:b/>
                <w:bCs/>
                <w:sz w:val="22"/>
                <w:szCs w:val="22"/>
              </w:rPr>
              <w:t>A megadott szempontok szerinti értékelés</w:t>
            </w:r>
          </w:p>
        </w:tc>
      </w:tr>
      <w:tr w:rsidR="00FD0545" w:rsidRPr="00C376DE" w14:paraId="7C7C7730" w14:textId="77777777" w:rsidTr="00026782">
        <w:tc>
          <w:tcPr>
            <w:tcW w:w="1980" w:type="dxa"/>
            <w:shd w:val="clear" w:color="auto" w:fill="F2F2F2"/>
          </w:tcPr>
          <w:p w14:paraId="630B5B73" w14:textId="77777777" w:rsidR="00FD0545" w:rsidRPr="00C376DE" w:rsidRDefault="00FD0545" w:rsidP="00026782">
            <w:pPr>
              <w:rPr>
                <w:rFonts w:eastAsia="Calibri"/>
                <w:b/>
                <w:bCs/>
                <w:sz w:val="22"/>
                <w:szCs w:val="22"/>
              </w:rPr>
            </w:pPr>
            <w:r w:rsidRPr="00C376DE">
              <w:rPr>
                <w:rFonts w:eastAsia="Calibri"/>
                <w:b/>
                <w:bCs/>
                <w:sz w:val="22"/>
                <w:szCs w:val="22"/>
              </w:rPr>
              <w:t>Adatközlés módja:</w:t>
            </w:r>
          </w:p>
        </w:tc>
        <w:tc>
          <w:tcPr>
            <w:tcW w:w="7082" w:type="dxa"/>
            <w:shd w:val="clear" w:color="auto" w:fill="F2F2F2"/>
          </w:tcPr>
          <w:p w14:paraId="45C0474F" w14:textId="77777777" w:rsidR="00FD0545" w:rsidRPr="00C376DE" w:rsidRDefault="00FD0545" w:rsidP="00026782">
            <w:pPr>
              <w:rPr>
                <w:rFonts w:eastAsia="Calibri"/>
                <w:b/>
                <w:bCs/>
                <w:sz w:val="22"/>
                <w:szCs w:val="22"/>
              </w:rPr>
            </w:pPr>
            <w:r w:rsidRPr="00C376DE">
              <w:rPr>
                <w:rFonts w:eastAsia="Calibri"/>
                <w:b/>
                <w:bCs/>
                <w:sz w:val="22"/>
                <w:szCs w:val="22"/>
              </w:rPr>
              <w:t xml:space="preserve">Vezetői TÉR értékelőlap </w:t>
            </w:r>
          </w:p>
        </w:tc>
      </w:tr>
      <w:tr w:rsidR="00FD0545" w:rsidRPr="00C376DE" w14:paraId="1093498A" w14:textId="77777777" w:rsidTr="00026782">
        <w:tc>
          <w:tcPr>
            <w:tcW w:w="1980" w:type="dxa"/>
            <w:shd w:val="clear" w:color="auto" w:fill="F2F2F2"/>
          </w:tcPr>
          <w:p w14:paraId="4DF5764E" w14:textId="77777777" w:rsidR="00FD0545" w:rsidRPr="00C376DE" w:rsidRDefault="00FD0545" w:rsidP="00026782">
            <w:pPr>
              <w:rPr>
                <w:rFonts w:eastAsia="Calibri"/>
                <w:b/>
                <w:bCs/>
                <w:sz w:val="22"/>
                <w:szCs w:val="22"/>
              </w:rPr>
            </w:pPr>
            <w:r w:rsidRPr="00C376DE">
              <w:rPr>
                <w:rFonts w:eastAsia="Calibri"/>
                <w:b/>
                <w:bCs/>
                <w:sz w:val="22"/>
                <w:szCs w:val="22"/>
              </w:rPr>
              <w:t>Adatközlő:</w:t>
            </w:r>
          </w:p>
        </w:tc>
        <w:tc>
          <w:tcPr>
            <w:tcW w:w="7082" w:type="dxa"/>
            <w:shd w:val="clear" w:color="auto" w:fill="F2F2F2"/>
          </w:tcPr>
          <w:p w14:paraId="5CC87091" w14:textId="77777777" w:rsidR="00FD0545" w:rsidRPr="00C376DE" w:rsidRDefault="00FD0545" w:rsidP="00026782">
            <w:pPr>
              <w:rPr>
                <w:rFonts w:eastAsia="Calibri"/>
                <w:b/>
                <w:bCs/>
                <w:sz w:val="22"/>
                <w:szCs w:val="22"/>
              </w:rPr>
            </w:pPr>
            <w:r w:rsidRPr="00C376DE">
              <w:rPr>
                <w:rFonts w:eastAsia="Calibri"/>
                <w:b/>
                <w:bCs/>
                <w:sz w:val="22"/>
                <w:szCs w:val="22"/>
              </w:rPr>
              <w:t xml:space="preserve">Kijelölt szakmai vonalbeli </w:t>
            </w:r>
            <w:proofErr w:type="gramStart"/>
            <w:r w:rsidRPr="00C376DE">
              <w:rPr>
                <w:rFonts w:eastAsia="Calibri"/>
                <w:b/>
                <w:bCs/>
                <w:sz w:val="22"/>
                <w:szCs w:val="22"/>
              </w:rPr>
              <w:t>felettes(</w:t>
            </w:r>
            <w:proofErr w:type="spellStart"/>
            <w:proofErr w:type="gramEnd"/>
            <w:r w:rsidRPr="00C376DE">
              <w:rPr>
                <w:rFonts w:eastAsia="Calibri"/>
                <w:b/>
                <w:bCs/>
                <w:sz w:val="22"/>
                <w:szCs w:val="22"/>
              </w:rPr>
              <w:t>ek</w:t>
            </w:r>
            <w:proofErr w:type="spellEnd"/>
            <w:r w:rsidRPr="00C376DE">
              <w:rPr>
                <w:rFonts w:eastAsia="Calibri"/>
                <w:b/>
                <w:bCs/>
                <w:sz w:val="22"/>
                <w:szCs w:val="22"/>
              </w:rPr>
              <w:t xml:space="preserve">) </w:t>
            </w:r>
          </w:p>
        </w:tc>
      </w:tr>
    </w:tbl>
    <w:p w14:paraId="7D78E4F5" w14:textId="77777777" w:rsidR="00FD0545" w:rsidRDefault="00FD0545" w:rsidP="00FD0545">
      <w:pPr>
        <w:spacing w:before="160"/>
        <w:jc w:val="both"/>
        <w:rPr>
          <w:rFonts w:eastAsia="Calibri"/>
          <w:sz w:val="22"/>
          <w:szCs w:val="22"/>
        </w:rPr>
      </w:pPr>
      <w:r w:rsidRPr="00E13CE5">
        <w:rPr>
          <w:rFonts w:eastAsia="Calibri"/>
          <w:sz w:val="22"/>
          <w:szCs w:val="22"/>
        </w:rPr>
        <w:t xml:space="preserve">Az értékelést végző szakmai vonalbeli feletettesek személyére az egyes vezetői munkakörök esetében a minőségügyi és szervezetfejlesztési dékáni megbízott tesz javaslatot, melyet a dékán hagy jóvá az </w:t>
      </w:r>
      <w:proofErr w:type="gramStart"/>
      <w:r w:rsidRPr="00E13CE5">
        <w:rPr>
          <w:rFonts w:eastAsia="Calibri"/>
          <w:sz w:val="22"/>
          <w:szCs w:val="22"/>
        </w:rPr>
        <w:t>aktuális</w:t>
      </w:r>
      <w:proofErr w:type="gramEnd"/>
      <w:r w:rsidRPr="00E13CE5">
        <w:rPr>
          <w:rFonts w:eastAsia="Calibri"/>
          <w:sz w:val="22"/>
          <w:szCs w:val="22"/>
        </w:rPr>
        <w:t xml:space="preserve"> értékelési időszakot megelőző 30. napig bezárólag.</w:t>
      </w:r>
    </w:p>
    <w:p w14:paraId="21F48331" w14:textId="77777777" w:rsidR="00FD0545" w:rsidRPr="00E13CE5" w:rsidRDefault="00FD0545" w:rsidP="00FD0545">
      <w:pPr>
        <w:spacing w:before="160"/>
        <w:jc w:val="both"/>
        <w:rPr>
          <w:rFonts w:eastAsia="Calibri"/>
          <w:sz w:val="22"/>
          <w:szCs w:val="22"/>
        </w:rPr>
      </w:pPr>
    </w:p>
    <w:p w14:paraId="3C59AFC4" w14:textId="77777777" w:rsidR="00FD0545" w:rsidRDefault="00FD0545" w:rsidP="00FD0545">
      <w:pPr>
        <w:ind w:left="708"/>
        <w:rPr>
          <w:b/>
          <w:sz w:val="22"/>
        </w:rPr>
      </w:pPr>
      <w:r>
        <w:rPr>
          <w:b/>
          <w:sz w:val="22"/>
        </w:rPr>
        <w:t xml:space="preserve">B) </w:t>
      </w:r>
      <w:r w:rsidRPr="00347D14">
        <w:rPr>
          <w:b/>
          <w:sz w:val="22"/>
        </w:rPr>
        <w:t>Módosító szorzók</w:t>
      </w:r>
    </w:p>
    <w:p w14:paraId="57B8B82F" w14:textId="77777777" w:rsidR="00FD0545" w:rsidRPr="00347D14" w:rsidRDefault="00FD0545" w:rsidP="00FD0545">
      <w:pPr>
        <w:ind w:left="708"/>
        <w:rPr>
          <w:b/>
          <w:sz w:val="22"/>
        </w:rPr>
      </w:pPr>
    </w:p>
    <w:p w14:paraId="647ED5F0" w14:textId="77777777" w:rsidR="00FD0545" w:rsidRPr="00347D14" w:rsidRDefault="00FD0545" w:rsidP="00FD0545">
      <w:pPr>
        <w:ind w:left="1416"/>
        <w:rPr>
          <w:b/>
          <w:sz w:val="22"/>
        </w:rPr>
      </w:pPr>
      <w:r w:rsidRPr="00347D14">
        <w:rPr>
          <w:b/>
          <w:sz w:val="22"/>
        </w:rPr>
        <w:t>1. Vonalbeli vezetői feladatok (VV szorzó)</w:t>
      </w:r>
    </w:p>
    <w:p w14:paraId="70E2437B" w14:textId="77777777" w:rsidR="00FD0545" w:rsidRPr="00347D14" w:rsidRDefault="00FD0545" w:rsidP="00FD0545"/>
    <w:p w14:paraId="3343CA15" w14:textId="77777777" w:rsidR="00FD0545" w:rsidRPr="00E13CE5" w:rsidRDefault="00FD0545" w:rsidP="00FD0545">
      <w:pPr>
        <w:jc w:val="both"/>
        <w:rPr>
          <w:rFonts w:eastAsia="Calibri"/>
          <w:sz w:val="22"/>
          <w:szCs w:val="22"/>
        </w:rPr>
      </w:pPr>
      <w:r w:rsidRPr="00E13CE5">
        <w:rPr>
          <w:rFonts w:eastAsia="Calibri"/>
          <w:sz w:val="22"/>
          <w:szCs w:val="22"/>
        </w:rPr>
        <w:t xml:space="preserve">A vezetői alappontok arányosításának egyik eszköze a vonalbeli vezetői szorzó, mely az értékelési időszakban </w:t>
      </w:r>
      <w:proofErr w:type="gramStart"/>
      <w:r w:rsidRPr="00E13CE5">
        <w:rPr>
          <w:rFonts w:eastAsia="Calibri"/>
          <w:sz w:val="22"/>
          <w:szCs w:val="22"/>
        </w:rPr>
        <w:t>aktuális</w:t>
      </w:r>
      <w:proofErr w:type="gramEnd"/>
      <w:r w:rsidRPr="00E13CE5">
        <w:rPr>
          <w:rFonts w:eastAsia="Calibri"/>
          <w:sz w:val="22"/>
          <w:szCs w:val="22"/>
        </w:rPr>
        <w:t xml:space="preserve"> szervezeti térkép alapján a vezetői vonalba tartozó beosztottak, vagyis a vezetett munkavállalók száma. A szorzó képzésekor a rendszer a szakmai vonalbeli vezetést 1x, az adminisztratív és koordinációs vezetői vonal esetén 1/4x-es szorzóval veszi figyelembe. Vonalbeli vezetői szorzó az alábbi képlet szerint kerül meghatározásra, mely ±40%-</w:t>
      </w:r>
      <w:proofErr w:type="spellStart"/>
      <w:r w:rsidRPr="00E13CE5">
        <w:rPr>
          <w:rFonts w:eastAsia="Calibri"/>
          <w:sz w:val="22"/>
          <w:szCs w:val="22"/>
        </w:rPr>
        <w:t>kal</w:t>
      </w:r>
      <w:proofErr w:type="spellEnd"/>
      <w:r w:rsidRPr="00E13CE5">
        <w:rPr>
          <w:rFonts w:eastAsia="Calibri"/>
          <w:sz w:val="22"/>
          <w:szCs w:val="22"/>
        </w:rPr>
        <w:t xml:space="preserve"> téríti el a VA TÉR pontokat:</w:t>
      </w:r>
    </w:p>
    <w:p w14:paraId="4AAC5FF8"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rFonts w:eastAsia="Calibri"/>
          <w:sz w:val="22"/>
          <w:szCs w:val="22"/>
        </w:rPr>
      </w:pPr>
      <m:oMathPara>
        <m:oMath>
          <m:r>
            <w:rPr>
              <w:rFonts w:ascii="Cambria Math" w:eastAsia="Calibri" w:hAnsi="Cambria Math"/>
              <w:sz w:val="22"/>
              <w:szCs w:val="22"/>
            </w:rPr>
            <m:t>VV SZORZÓ=</m:t>
          </m:r>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VVSZ-(</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VVSZ</m:t>
                          </m:r>
                        </m:e>
                        <m:sub>
                          <m:r>
                            <w:rPr>
                              <w:rFonts w:ascii="Cambria Math" w:eastAsia="Calibri" w:hAnsi="Cambria Math"/>
                              <w:sz w:val="22"/>
                              <w:szCs w:val="22"/>
                            </w:rPr>
                            <m:t>MAX</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VVSZ</m:t>
                          </m:r>
                        </m:e>
                        <m:sub>
                          <m:r>
                            <w:rPr>
                              <w:rFonts w:ascii="Cambria Math" w:eastAsia="Calibri" w:hAnsi="Cambria Math"/>
                              <w:sz w:val="22"/>
                              <w:szCs w:val="22"/>
                            </w:rPr>
                            <m:t>MIN</m:t>
                          </m:r>
                        </m:sub>
                      </m:sSub>
                    </m:num>
                    <m:den>
                      <m:r>
                        <w:rPr>
                          <w:rFonts w:ascii="Cambria Math" w:eastAsia="Calibri" w:hAnsi="Cambria Math"/>
                          <w:sz w:val="22"/>
                          <w:szCs w:val="22"/>
                        </w:rPr>
                        <m:t>2</m:t>
                      </m:r>
                    </m:den>
                  </m:f>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VVSZ</m:t>
                      </m:r>
                    </m:e>
                    <m:sub>
                      <m:r>
                        <w:rPr>
                          <w:rFonts w:ascii="Cambria Math" w:eastAsia="Calibri" w:hAnsi="Cambria Math"/>
                          <w:sz w:val="22"/>
                          <w:szCs w:val="22"/>
                        </w:rPr>
                        <m:t>MIN</m:t>
                      </m:r>
                    </m:sub>
                  </m:sSub>
                  <m:r>
                    <w:rPr>
                      <w:rFonts w:ascii="Cambria Math" w:eastAsia="Calibri" w:hAnsi="Cambria Math"/>
                      <w:sz w:val="22"/>
                      <w:szCs w:val="22"/>
                    </w:rPr>
                    <m:t>)</m:t>
                  </m:r>
                </m:num>
                <m:den>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VVSZ</m:t>
                          </m:r>
                        </m:e>
                        <m:sub>
                          <m:r>
                            <w:rPr>
                              <w:rFonts w:ascii="Cambria Math" w:eastAsia="Calibri" w:hAnsi="Cambria Math"/>
                              <w:sz w:val="22"/>
                              <w:szCs w:val="22"/>
                            </w:rPr>
                            <m:t>MAX</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VVSZ</m:t>
                          </m:r>
                        </m:e>
                        <m:sub>
                          <m:r>
                            <w:rPr>
                              <w:rFonts w:ascii="Cambria Math" w:eastAsia="Calibri" w:hAnsi="Cambria Math"/>
                              <w:sz w:val="22"/>
                              <w:szCs w:val="22"/>
                            </w:rPr>
                            <m:t>MIN</m:t>
                          </m:r>
                        </m:sub>
                      </m:sSub>
                    </m:num>
                    <m:den>
                      <m:r>
                        <w:rPr>
                          <w:rFonts w:ascii="Cambria Math" w:eastAsia="Calibri" w:hAnsi="Cambria Math"/>
                          <w:sz w:val="22"/>
                          <w:szCs w:val="22"/>
                        </w:rPr>
                        <m:t>2</m:t>
                      </m:r>
                    </m:den>
                  </m:f>
                </m:den>
              </m:f>
              <m:r>
                <w:rPr>
                  <w:rFonts w:ascii="Cambria Math" w:eastAsia="Calibri" w:hAnsi="Cambria Math"/>
                  <w:sz w:val="22"/>
                  <w:szCs w:val="22"/>
                </w:rPr>
                <m:t>×0,4</m:t>
              </m:r>
            </m:e>
          </m:d>
          <m:r>
            <w:rPr>
              <w:rFonts w:ascii="Cambria Math" w:eastAsia="Calibri" w:hAnsi="Cambria Math"/>
              <w:sz w:val="22"/>
              <w:szCs w:val="22"/>
            </w:rPr>
            <m:t>+1</m:t>
          </m:r>
        </m:oMath>
      </m:oMathPara>
    </w:p>
    <w:p w14:paraId="51EA8CDA" w14:textId="77777777" w:rsidR="00FD0545" w:rsidRDefault="00FD0545" w:rsidP="00FD0545">
      <w:pPr>
        <w:rPr>
          <w:rFonts w:eastAsia="Calibri"/>
          <w:sz w:val="22"/>
          <w:szCs w:val="22"/>
        </w:rPr>
      </w:pPr>
      <w:r w:rsidRPr="00E13CE5">
        <w:rPr>
          <w:rFonts w:eastAsia="Calibri"/>
          <w:sz w:val="22"/>
          <w:szCs w:val="22"/>
        </w:rPr>
        <w:lastRenderedPageBreak/>
        <w:t>Ahol VVSZ a vezetői vonalba tartozó beosztottak száma, VVSZ</w:t>
      </w:r>
      <w:r w:rsidRPr="00E13CE5">
        <w:rPr>
          <w:rFonts w:eastAsia="Calibri"/>
          <w:sz w:val="22"/>
          <w:szCs w:val="22"/>
          <w:vertAlign w:val="subscript"/>
        </w:rPr>
        <w:t>MIN</w:t>
      </w:r>
      <w:r w:rsidRPr="00E13CE5">
        <w:rPr>
          <w:rFonts w:eastAsia="Calibri"/>
          <w:sz w:val="22"/>
          <w:szCs w:val="22"/>
        </w:rPr>
        <w:t xml:space="preserve"> a vezetői körben mérhető legalacsonyabb, míg a VVSZ</w:t>
      </w:r>
      <w:r w:rsidRPr="00E13CE5">
        <w:rPr>
          <w:rFonts w:eastAsia="Calibri"/>
          <w:sz w:val="22"/>
          <w:szCs w:val="22"/>
          <w:vertAlign w:val="subscript"/>
        </w:rPr>
        <w:t>MAX</w:t>
      </w:r>
      <w:r w:rsidRPr="00E13CE5">
        <w:rPr>
          <w:rFonts w:eastAsia="Calibri"/>
          <w:sz w:val="22"/>
          <w:szCs w:val="22"/>
        </w:rPr>
        <w:t xml:space="preserve"> a legmagasabb értéket jelöli.</w:t>
      </w:r>
    </w:p>
    <w:p w14:paraId="2E2A6648" w14:textId="77777777" w:rsidR="00FD0545" w:rsidRPr="00E13CE5" w:rsidRDefault="00FD0545" w:rsidP="00FD0545">
      <w:pPr>
        <w:rPr>
          <w:rFonts w:eastAsia="Calibri"/>
          <w:sz w:val="22"/>
          <w:szCs w:val="22"/>
        </w:rPr>
      </w:pPr>
    </w:p>
    <w:p w14:paraId="2BA29EE4" w14:textId="77777777" w:rsidR="00FD0545" w:rsidRDefault="00FD0545" w:rsidP="00FD0545">
      <w:pPr>
        <w:ind w:left="1416"/>
        <w:rPr>
          <w:b/>
          <w:sz w:val="22"/>
        </w:rPr>
      </w:pPr>
      <w:r w:rsidRPr="00347D14">
        <w:rPr>
          <w:b/>
          <w:sz w:val="22"/>
        </w:rPr>
        <w:t>2. Tématerületi feladat</w:t>
      </w:r>
      <w:proofErr w:type="gramStart"/>
      <w:r w:rsidRPr="00347D14">
        <w:rPr>
          <w:b/>
          <w:sz w:val="22"/>
        </w:rPr>
        <w:t>allokáció</w:t>
      </w:r>
      <w:proofErr w:type="gramEnd"/>
      <w:r w:rsidRPr="00347D14">
        <w:rPr>
          <w:b/>
          <w:sz w:val="22"/>
        </w:rPr>
        <w:t xml:space="preserve"> (TTF szorzó)</w:t>
      </w:r>
    </w:p>
    <w:p w14:paraId="18B6564A" w14:textId="77777777" w:rsidR="00FD0545" w:rsidRPr="00347D14" w:rsidRDefault="00FD0545" w:rsidP="00FD0545">
      <w:pPr>
        <w:ind w:left="1416"/>
        <w:rPr>
          <w:b/>
          <w:sz w:val="22"/>
        </w:rPr>
      </w:pPr>
    </w:p>
    <w:p w14:paraId="261916F9" w14:textId="77777777" w:rsidR="00FD0545" w:rsidRPr="00E13CE5" w:rsidRDefault="00FD0545" w:rsidP="00FD0545">
      <w:pPr>
        <w:jc w:val="both"/>
        <w:rPr>
          <w:rFonts w:eastAsia="Calibri"/>
          <w:sz w:val="22"/>
          <w:szCs w:val="22"/>
        </w:rPr>
      </w:pPr>
      <w:r w:rsidRPr="00E13CE5">
        <w:rPr>
          <w:rFonts w:eastAsia="Calibri"/>
          <w:sz w:val="22"/>
          <w:szCs w:val="22"/>
        </w:rPr>
        <w:t xml:space="preserve">A vezetői alappont arányosításának másik tényezője az értékelt vezető hatáskörébe tartozó tématerületek száma, melyet a vizsgált időszakban </w:t>
      </w:r>
      <w:proofErr w:type="gramStart"/>
      <w:r w:rsidRPr="00E13CE5">
        <w:rPr>
          <w:rFonts w:eastAsia="Calibri"/>
          <w:sz w:val="22"/>
          <w:szCs w:val="22"/>
        </w:rPr>
        <w:t>aktuális</w:t>
      </w:r>
      <w:proofErr w:type="gramEnd"/>
      <w:r w:rsidRPr="00E13CE5">
        <w:rPr>
          <w:rFonts w:eastAsia="Calibri"/>
          <w:sz w:val="22"/>
          <w:szCs w:val="22"/>
        </w:rPr>
        <w:t xml:space="preserve"> tématerületi feladatfelosztás alapján kell meghatározni. A tématerületi feladat</w:t>
      </w:r>
      <w:proofErr w:type="gramStart"/>
      <w:r w:rsidRPr="00E13CE5">
        <w:rPr>
          <w:rFonts w:eastAsia="Calibri"/>
          <w:sz w:val="22"/>
          <w:szCs w:val="22"/>
        </w:rPr>
        <w:t>allokációs</w:t>
      </w:r>
      <w:proofErr w:type="gramEnd"/>
      <w:r w:rsidRPr="00E13CE5">
        <w:rPr>
          <w:rFonts w:eastAsia="Calibri"/>
          <w:sz w:val="22"/>
          <w:szCs w:val="22"/>
        </w:rPr>
        <w:t xml:space="preserve"> szorzó az alábbi képlet szerint kerül meghatározásra, mely ±20%-</w:t>
      </w:r>
      <w:proofErr w:type="spellStart"/>
      <w:r w:rsidRPr="00E13CE5">
        <w:rPr>
          <w:rFonts w:eastAsia="Calibri"/>
          <w:sz w:val="22"/>
          <w:szCs w:val="22"/>
        </w:rPr>
        <w:t>kal</w:t>
      </w:r>
      <w:proofErr w:type="spellEnd"/>
      <w:r w:rsidRPr="00E13CE5">
        <w:rPr>
          <w:rFonts w:eastAsia="Calibri"/>
          <w:sz w:val="22"/>
          <w:szCs w:val="22"/>
        </w:rPr>
        <w:t xml:space="preserve"> téríti el a VA TÉR pontokat:</w:t>
      </w:r>
    </w:p>
    <w:p w14:paraId="2B9309E0"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rFonts w:eastAsia="Calibri"/>
          <w:sz w:val="22"/>
          <w:szCs w:val="22"/>
        </w:rPr>
      </w:pPr>
      <m:oMathPara>
        <m:oMath>
          <m:r>
            <w:rPr>
              <w:rFonts w:ascii="Cambria Math" w:eastAsia="Calibri" w:hAnsi="Cambria Math"/>
              <w:sz w:val="22"/>
              <w:szCs w:val="22"/>
            </w:rPr>
            <m:t>TTF SZORZÓ=</m:t>
          </m:r>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TTFSZ-(</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TTFSZ</m:t>
                          </m:r>
                        </m:e>
                        <m:sub>
                          <m:r>
                            <w:rPr>
                              <w:rFonts w:ascii="Cambria Math" w:eastAsia="Calibri" w:hAnsi="Cambria Math"/>
                              <w:sz w:val="22"/>
                              <w:szCs w:val="22"/>
                            </w:rPr>
                            <m:t>MAX</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TTFSZ</m:t>
                          </m:r>
                        </m:e>
                        <m:sub>
                          <m:r>
                            <w:rPr>
                              <w:rFonts w:ascii="Cambria Math" w:eastAsia="Calibri" w:hAnsi="Cambria Math"/>
                              <w:sz w:val="22"/>
                              <w:szCs w:val="22"/>
                            </w:rPr>
                            <m:t>MIN</m:t>
                          </m:r>
                        </m:sub>
                      </m:sSub>
                    </m:num>
                    <m:den>
                      <m:r>
                        <w:rPr>
                          <w:rFonts w:ascii="Cambria Math" w:eastAsia="Calibri" w:hAnsi="Cambria Math"/>
                          <w:sz w:val="22"/>
                          <w:szCs w:val="22"/>
                        </w:rPr>
                        <m:t>2</m:t>
                      </m:r>
                    </m:den>
                  </m:f>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TTFSZ</m:t>
                      </m:r>
                    </m:e>
                    <m:sub>
                      <m:r>
                        <w:rPr>
                          <w:rFonts w:ascii="Cambria Math" w:eastAsia="Calibri" w:hAnsi="Cambria Math"/>
                          <w:sz w:val="22"/>
                          <w:szCs w:val="22"/>
                        </w:rPr>
                        <m:t>MIN</m:t>
                      </m:r>
                    </m:sub>
                  </m:sSub>
                  <m:r>
                    <w:rPr>
                      <w:rFonts w:ascii="Cambria Math" w:eastAsia="Calibri" w:hAnsi="Cambria Math"/>
                      <w:sz w:val="22"/>
                      <w:szCs w:val="22"/>
                    </w:rPr>
                    <m:t>)</m:t>
                  </m:r>
                </m:num>
                <m:den>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TTFSZ</m:t>
                          </m:r>
                        </m:e>
                        <m:sub>
                          <m:r>
                            <w:rPr>
                              <w:rFonts w:ascii="Cambria Math" w:eastAsia="Calibri" w:hAnsi="Cambria Math"/>
                              <w:sz w:val="22"/>
                              <w:szCs w:val="22"/>
                            </w:rPr>
                            <m:t>MAX</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TTFSZ</m:t>
                          </m:r>
                        </m:e>
                        <m:sub>
                          <m:r>
                            <w:rPr>
                              <w:rFonts w:ascii="Cambria Math" w:eastAsia="Calibri" w:hAnsi="Cambria Math"/>
                              <w:sz w:val="22"/>
                              <w:szCs w:val="22"/>
                            </w:rPr>
                            <m:t>MIN</m:t>
                          </m:r>
                        </m:sub>
                      </m:sSub>
                    </m:num>
                    <m:den>
                      <m:r>
                        <w:rPr>
                          <w:rFonts w:ascii="Cambria Math" w:eastAsia="Calibri" w:hAnsi="Cambria Math"/>
                          <w:sz w:val="22"/>
                          <w:szCs w:val="22"/>
                        </w:rPr>
                        <m:t>2</m:t>
                      </m:r>
                    </m:den>
                  </m:f>
                </m:den>
              </m:f>
              <m:r>
                <w:rPr>
                  <w:rFonts w:ascii="Cambria Math" w:eastAsia="Calibri" w:hAnsi="Cambria Math"/>
                  <w:sz w:val="22"/>
                  <w:szCs w:val="22"/>
                </w:rPr>
                <m:t>×0,4</m:t>
              </m:r>
            </m:e>
          </m:d>
          <m:r>
            <w:rPr>
              <w:rFonts w:ascii="Cambria Math" w:eastAsia="Calibri" w:hAnsi="Cambria Math"/>
              <w:sz w:val="22"/>
              <w:szCs w:val="22"/>
            </w:rPr>
            <m:t>+1</m:t>
          </m:r>
        </m:oMath>
      </m:oMathPara>
    </w:p>
    <w:p w14:paraId="42EEB1CA" w14:textId="77777777" w:rsidR="00FD0545" w:rsidRDefault="00FD0545" w:rsidP="00FD0545">
      <w:pPr>
        <w:rPr>
          <w:rFonts w:eastAsia="Calibri"/>
          <w:sz w:val="22"/>
          <w:szCs w:val="22"/>
        </w:rPr>
      </w:pPr>
      <w:r w:rsidRPr="00E13CE5">
        <w:rPr>
          <w:rFonts w:eastAsia="Calibri"/>
          <w:sz w:val="22"/>
          <w:szCs w:val="22"/>
        </w:rPr>
        <w:t>Ahol TTFSZ a tématerületi feladatok száma, TTFSZ</w:t>
      </w:r>
      <w:r w:rsidRPr="00E13CE5">
        <w:rPr>
          <w:rFonts w:eastAsia="Calibri"/>
          <w:sz w:val="22"/>
          <w:szCs w:val="22"/>
          <w:vertAlign w:val="subscript"/>
        </w:rPr>
        <w:t>MIN</w:t>
      </w:r>
      <w:r w:rsidRPr="00E13CE5">
        <w:rPr>
          <w:rFonts w:eastAsia="Calibri"/>
          <w:sz w:val="22"/>
          <w:szCs w:val="22"/>
        </w:rPr>
        <w:t xml:space="preserve"> a vezetői körben mérhető legalacsonyabb, míg a TTFSZ</w:t>
      </w:r>
      <w:r w:rsidRPr="00E13CE5">
        <w:rPr>
          <w:rFonts w:eastAsia="Calibri"/>
          <w:sz w:val="22"/>
          <w:szCs w:val="22"/>
          <w:vertAlign w:val="subscript"/>
        </w:rPr>
        <w:t>MAX</w:t>
      </w:r>
      <w:r w:rsidRPr="00E13CE5">
        <w:rPr>
          <w:rFonts w:eastAsia="Calibri"/>
          <w:sz w:val="22"/>
          <w:szCs w:val="22"/>
        </w:rPr>
        <w:t xml:space="preserve"> a legmagasabb értéket jelöli.</w:t>
      </w:r>
    </w:p>
    <w:p w14:paraId="5A275CEF" w14:textId="77777777" w:rsidR="00FD0545" w:rsidRPr="00E13CE5" w:rsidRDefault="00FD0545" w:rsidP="00FD0545">
      <w:pPr>
        <w:rPr>
          <w:rFonts w:eastAsia="Calibri"/>
          <w:sz w:val="22"/>
          <w:szCs w:val="22"/>
        </w:rPr>
      </w:pPr>
    </w:p>
    <w:p w14:paraId="332532C3" w14:textId="77777777" w:rsidR="00FD0545" w:rsidRDefault="00FD0545" w:rsidP="00FD0545">
      <w:pPr>
        <w:ind w:left="1416"/>
        <w:rPr>
          <w:b/>
          <w:sz w:val="22"/>
        </w:rPr>
      </w:pPr>
      <w:r>
        <w:rPr>
          <w:b/>
          <w:sz w:val="22"/>
        </w:rPr>
        <w:t xml:space="preserve">3. </w:t>
      </w:r>
      <w:r w:rsidRPr="00347D14">
        <w:rPr>
          <w:b/>
          <w:sz w:val="22"/>
        </w:rPr>
        <w:t>Intézeti referensi szorzó (IRSZ)</w:t>
      </w:r>
    </w:p>
    <w:p w14:paraId="351938EF" w14:textId="77777777" w:rsidR="00FD0545" w:rsidRPr="00347D14" w:rsidRDefault="00FD0545" w:rsidP="00FD0545">
      <w:pPr>
        <w:ind w:left="1416"/>
        <w:rPr>
          <w:b/>
          <w:sz w:val="22"/>
        </w:rPr>
      </w:pPr>
    </w:p>
    <w:p w14:paraId="23A9F75A" w14:textId="77777777" w:rsidR="00FD0545" w:rsidRPr="00E13CE5" w:rsidRDefault="00FD0545" w:rsidP="00FD0545">
      <w:pPr>
        <w:jc w:val="both"/>
        <w:rPr>
          <w:rFonts w:eastAsia="Calibri"/>
          <w:sz w:val="22"/>
          <w:szCs w:val="22"/>
        </w:rPr>
      </w:pPr>
      <w:r w:rsidRPr="00E13CE5">
        <w:rPr>
          <w:rFonts w:eastAsia="Calibri"/>
          <w:sz w:val="22"/>
          <w:szCs w:val="22"/>
        </w:rPr>
        <w:t xml:space="preserve">A Kar, annak érdekében, hogy az intézeteinek teljesítménye összehasonlíthatóvá, az értékelés a teljesítménnyel arányossá váljon, az alábbi alapmutatók felhasználásával, az egyes intézeti referensek értékelésekor alkalmazandó szorzót vezet be. A mutatók értékét az adott értékelési időszakba eső tanév adatainak felhasználásával, október 15-én határozza meg a minőségügyi és teljesítményértékelési koordinátor. </w:t>
      </w:r>
    </w:p>
    <w:p w14:paraId="4A82F8F5" w14:textId="77777777" w:rsidR="00FD0545" w:rsidRPr="00E13CE5" w:rsidRDefault="00FD0545" w:rsidP="00FD0545">
      <w:pPr>
        <w:rPr>
          <w:rFonts w:eastAsia="Calibri"/>
          <w:b/>
          <w:bCs/>
          <w:sz w:val="22"/>
          <w:szCs w:val="22"/>
        </w:rPr>
      </w:pPr>
    </w:p>
    <w:p w14:paraId="1D95B0DD" w14:textId="77777777" w:rsidR="00FD0545" w:rsidRPr="00E13CE5" w:rsidRDefault="00FD0545" w:rsidP="00FD0545">
      <w:pPr>
        <w:rPr>
          <w:rFonts w:eastAsia="Calibri"/>
          <w:b/>
          <w:bCs/>
          <w:sz w:val="22"/>
          <w:szCs w:val="22"/>
        </w:rPr>
      </w:pPr>
      <w:r w:rsidRPr="00E13CE5">
        <w:rPr>
          <w:rFonts w:eastAsia="Calibri"/>
          <w:b/>
          <w:bCs/>
          <w:sz w:val="22"/>
          <w:szCs w:val="22"/>
        </w:rPr>
        <w:t>Oktatói arány (OA)</w:t>
      </w:r>
    </w:p>
    <w:p w14:paraId="12AECA4E"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OA=</m:t>
          </m:r>
          <m:f>
            <m:fPr>
              <m:ctrlPr>
                <w:rPr>
                  <w:rFonts w:ascii="Cambria Math" w:eastAsia="Calibri" w:hAnsi="Cambria Math"/>
                  <w:i/>
                  <w:sz w:val="22"/>
                  <w:szCs w:val="22"/>
                </w:rPr>
              </m:ctrlPr>
            </m:fPr>
            <m:num>
              <m:r>
                <w:rPr>
                  <w:rFonts w:ascii="Cambria Math" w:eastAsia="Calibri" w:hAnsi="Cambria Math"/>
                  <w:sz w:val="22"/>
                  <w:szCs w:val="22"/>
                </w:rPr>
                <m:t>IOLSZ-</m:t>
              </m:r>
              <m:f>
                <m:fPr>
                  <m:ctrlPr>
                    <w:rPr>
                      <w:rFonts w:ascii="Cambria Math" w:eastAsia="Calibri" w:hAnsi="Cambria Math"/>
                      <w:i/>
                      <w:sz w:val="22"/>
                      <w:szCs w:val="22"/>
                    </w:rPr>
                  </m:ctrlPr>
                </m:fPr>
                <m:num>
                  <m:r>
                    <w:rPr>
                      <w:rFonts w:ascii="Cambria Math" w:eastAsia="Calibri" w:hAnsi="Cambria Math"/>
                      <w:sz w:val="22"/>
                      <w:szCs w:val="22"/>
                    </w:rPr>
                    <m:t>KOLSZ</m:t>
                  </m:r>
                </m:num>
                <m:den>
                  <m:r>
                    <w:rPr>
                      <w:rFonts w:ascii="Cambria Math" w:eastAsia="Calibri" w:hAnsi="Cambria Math"/>
                      <w:sz w:val="22"/>
                      <w:szCs w:val="22"/>
                    </w:rPr>
                    <m:t>ISZ</m:t>
                  </m:r>
                </m:den>
              </m:f>
            </m:num>
            <m:den>
              <m:f>
                <m:fPr>
                  <m:ctrlPr>
                    <w:rPr>
                      <w:rFonts w:ascii="Cambria Math" w:eastAsia="Calibri" w:hAnsi="Cambria Math"/>
                      <w:i/>
                      <w:sz w:val="22"/>
                      <w:szCs w:val="22"/>
                    </w:rPr>
                  </m:ctrlPr>
                </m:fPr>
                <m:num>
                  <m:r>
                    <w:rPr>
                      <w:rFonts w:ascii="Cambria Math" w:eastAsia="Calibri" w:hAnsi="Cambria Math"/>
                      <w:sz w:val="22"/>
                      <w:szCs w:val="22"/>
                    </w:rPr>
                    <m:t>KOLSZ</m:t>
                  </m:r>
                </m:num>
                <m:den>
                  <m:r>
                    <w:rPr>
                      <w:rFonts w:ascii="Cambria Math" w:eastAsia="Calibri" w:hAnsi="Cambria Math"/>
                      <w:sz w:val="22"/>
                      <w:szCs w:val="22"/>
                    </w:rPr>
                    <m:t>ISZ</m:t>
                  </m:r>
                </m:den>
              </m:f>
            </m:den>
          </m:f>
        </m:oMath>
      </m:oMathPara>
    </w:p>
    <w:p w14:paraId="5693D8C4" w14:textId="77777777" w:rsidR="00FD0545" w:rsidRPr="00E13CE5" w:rsidRDefault="00FD0545" w:rsidP="00FD0545">
      <w:pPr>
        <w:rPr>
          <w:sz w:val="22"/>
          <w:szCs w:val="22"/>
        </w:rPr>
      </w:pPr>
      <w:r w:rsidRPr="00E13CE5">
        <w:rPr>
          <w:sz w:val="22"/>
          <w:szCs w:val="22"/>
        </w:rPr>
        <w:t xml:space="preserve">Ahol IOLSZ az intézeti oktatói létszám, KDLSZ a kari oktatói létszám, ISZ a kari intézetek </w:t>
      </w:r>
      <w:proofErr w:type="spellStart"/>
      <w:r w:rsidRPr="00E13CE5">
        <w:rPr>
          <w:sz w:val="22"/>
          <w:szCs w:val="22"/>
        </w:rPr>
        <w:t>organogram</w:t>
      </w:r>
      <w:proofErr w:type="spellEnd"/>
      <w:r w:rsidRPr="00E13CE5">
        <w:rPr>
          <w:sz w:val="22"/>
          <w:szCs w:val="22"/>
        </w:rPr>
        <w:t xml:space="preserve"> szerinti száma.</w:t>
      </w:r>
    </w:p>
    <w:p w14:paraId="00EFCD85" w14:textId="77777777" w:rsidR="00FD0545" w:rsidRPr="00E13CE5" w:rsidRDefault="00FD0545" w:rsidP="00FD0545">
      <w:pPr>
        <w:rPr>
          <w:sz w:val="22"/>
          <w:szCs w:val="22"/>
        </w:rPr>
      </w:pPr>
    </w:p>
    <w:p w14:paraId="0AAC1387" w14:textId="77777777" w:rsidR="00FD0545" w:rsidRPr="00E13CE5" w:rsidRDefault="00FD0545" w:rsidP="00FD0545">
      <w:pPr>
        <w:rPr>
          <w:b/>
          <w:bCs/>
          <w:sz w:val="22"/>
          <w:szCs w:val="22"/>
        </w:rPr>
      </w:pPr>
      <w:r w:rsidRPr="00E13CE5">
        <w:rPr>
          <w:b/>
          <w:bCs/>
          <w:sz w:val="22"/>
          <w:szCs w:val="22"/>
        </w:rPr>
        <w:t>Hallgatói arány (HA)</w:t>
      </w:r>
    </w:p>
    <w:p w14:paraId="0675DBF8"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HA=</m:t>
          </m:r>
          <m:f>
            <m:fPr>
              <m:ctrlPr>
                <w:rPr>
                  <w:rFonts w:ascii="Cambria Math" w:eastAsia="Calibri" w:hAnsi="Cambria Math"/>
                  <w:i/>
                  <w:sz w:val="22"/>
                  <w:szCs w:val="22"/>
                </w:rPr>
              </m:ctrlPr>
            </m:fPr>
            <m:num>
              <m:r>
                <w:rPr>
                  <w:rFonts w:ascii="Cambria Math" w:eastAsia="Calibri" w:hAnsi="Cambria Math"/>
                  <w:sz w:val="22"/>
                  <w:szCs w:val="22"/>
                </w:rPr>
                <m:t>IHLSZ-</m:t>
              </m:r>
              <m:f>
                <m:fPr>
                  <m:ctrlPr>
                    <w:rPr>
                      <w:rFonts w:ascii="Cambria Math" w:eastAsia="Calibri" w:hAnsi="Cambria Math"/>
                      <w:i/>
                      <w:sz w:val="22"/>
                      <w:szCs w:val="22"/>
                    </w:rPr>
                  </m:ctrlPr>
                </m:fPr>
                <m:num>
                  <m:r>
                    <w:rPr>
                      <w:rFonts w:ascii="Cambria Math" w:eastAsia="Calibri" w:hAnsi="Cambria Math"/>
                      <w:sz w:val="22"/>
                      <w:szCs w:val="22"/>
                    </w:rPr>
                    <m:t>KHLSZ</m:t>
                  </m:r>
                </m:num>
                <m:den>
                  <m:r>
                    <w:rPr>
                      <w:rFonts w:ascii="Cambria Math" w:eastAsia="Calibri" w:hAnsi="Cambria Math"/>
                      <w:sz w:val="22"/>
                      <w:szCs w:val="22"/>
                    </w:rPr>
                    <m:t>ISZ</m:t>
                  </m:r>
                </m:den>
              </m:f>
            </m:num>
            <m:den>
              <m:f>
                <m:fPr>
                  <m:ctrlPr>
                    <w:rPr>
                      <w:rFonts w:ascii="Cambria Math" w:eastAsia="Calibri" w:hAnsi="Cambria Math"/>
                      <w:i/>
                      <w:sz w:val="22"/>
                      <w:szCs w:val="22"/>
                    </w:rPr>
                  </m:ctrlPr>
                </m:fPr>
                <m:num>
                  <m:r>
                    <w:rPr>
                      <w:rFonts w:ascii="Cambria Math" w:eastAsia="Calibri" w:hAnsi="Cambria Math"/>
                      <w:sz w:val="22"/>
                      <w:szCs w:val="22"/>
                    </w:rPr>
                    <m:t>KHLSZ</m:t>
                  </m:r>
                </m:num>
                <m:den>
                  <m:r>
                    <w:rPr>
                      <w:rFonts w:ascii="Cambria Math" w:eastAsia="Calibri" w:hAnsi="Cambria Math"/>
                      <w:sz w:val="22"/>
                      <w:szCs w:val="22"/>
                    </w:rPr>
                    <m:t>ISZ</m:t>
                  </m:r>
                </m:den>
              </m:f>
            </m:den>
          </m:f>
        </m:oMath>
      </m:oMathPara>
    </w:p>
    <w:p w14:paraId="7284615D" w14:textId="77777777" w:rsidR="00FD0545" w:rsidRPr="00E13CE5" w:rsidRDefault="00FD0545" w:rsidP="00FD0545">
      <w:pPr>
        <w:rPr>
          <w:sz w:val="22"/>
          <w:szCs w:val="22"/>
        </w:rPr>
      </w:pPr>
      <w:r w:rsidRPr="00E13CE5">
        <w:rPr>
          <w:sz w:val="22"/>
          <w:szCs w:val="22"/>
        </w:rPr>
        <w:t xml:space="preserve">Ahol IHLSZ az intézeti egyenértékesített hallgatói létszám, KHLSZ a kari egyenértékesített hallgatói létszám, ISZ a kari intézetek </w:t>
      </w:r>
      <w:proofErr w:type="spellStart"/>
      <w:r w:rsidRPr="00E13CE5">
        <w:rPr>
          <w:sz w:val="22"/>
          <w:szCs w:val="22"/>
        </w:rPr>
        <w:t>organogram</w:t>
      </w:r>
      <w:proofErr w:type="spellEnd"/>
      <w:r w:rsidRPr="00E13CE5">
        <w:rPr>
          <w:sz w:val="22"/>
          <w:szCs w:val="22"/>
        </w:rPr>
        <w:t xml:space="preserve"> szerinti száma.</w:t>
      </w:r>
    </w:p>
    <w:p w14:paraId="5B98320B" w14:textId="77777777" w:rsidR="00FD0545" w:rsidRPr="00E13CE5" w:rsidRDefault="00FD0545" w:rsidP="00FD0545">
      <w:pPr>
        <w:rPr>
          <w:rFonts w:eastAsia="Calibri"/>
          <w:b/>
          <w:bCs/>
          <w:sz w:val="22"/>
          <w:szCs w:val="22"/>
        </w:rPr>
      </w:pPr>
      <w:r w:rsidRPr="00E13CE5">
        <w:rPr>
          <w:rFonts w:eastAsia="Calibri"/>
          <w:b/>
          <w:bCs/>
          <w:sz w:val="22"/>
          <w:szCs w:val="22"/>
        </w:rPr>
        <w:t>Szak és évfolyam arány (SZÉA)</w:t>
      </w:r>
    </w:p>
    <w:p w14:paraId="78C4BEF6"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SZÉA=</m:t>
          </m:r>
          <m:f>
            <m:fPr>
              <m:ctrlPr>
                <w:rPr>
                  <w:rFonts w:ascii="Cambria Math" w:eastAsia="Calibri" w:hAnsi="Cambria Math"/>
                  <w:i/>
                  <w:sz w:val="22"/>
                  <w:szCs w:val="22"/>
                </w:rPr>
              </m:ctrlPr>
            </m:fPr>
            <m:num>
              <m:r>
                <w:rPr>
                  <w:rFonts w:ascii="Cambria Math" w:eastAsia="Calibri" w:hAnsi="Cambria Math"/>
                  <w:sz w:val="22"/>
                  <w:szCs w:val="22"/>
                </w:rPr>
                <m:t>ISZÉSZ-</m:t>
              </m:r>
              <m:f>
                <m:fPr>
                  <m:ctrlPr>
                    <w:rPr>
                      <w:rFonts w:ascii="Cambria Math" w:eastAsia="Calibri" w:hAnsi="Cambria Math"/>
                      <w:i/>
                      <w:sz w:val="22"/>
                      <w:szCs w:val="22"/>
                    </w:rPr>
                  </m:ctrlPr>
                </m:fPr>
                <m:num>
                  <m:r>
                    <w:rPr>
                      <w:rFonts w:ascii="Cambria Math" w:eastAsia="Calibri" w:hAnsi="Cambria Math"/>
                      <w:sz w:val="22"/>
                      <w:szCs w:val="22"/>
                    </w:rPr>
                    <m:t>KSZÉSZ</m:t>
                  </m:r>
                </m:num>
                <m:den>
                  <m:r>
                    <w:rPr>
                      <w:rFonts w:ascii="Cambria Math" w:eastAsia="Calibri" w:hAnsi="Cambria Math"/>
                      <w:sz w:val="22"/>
                      <w:szCs w:val="22"/>
                    </w:rPr>
                    <m:t>ISZ</m:t>
                  </m:r>
                </m:den>
              </m:f>
            </m:num>
            <m:den>
              <m:f>
                <m:fPr>
                  <m:ctrlPr>
                    <w:rPr>
                      <w:rFonts w:ascii="Cambria Math" w:eastAsia="Calibri" w:hAnsi="Cambria Math"/>
                      <w:i/>
                      <w:sz w:val="22"/>
                      <w:szCs w:val="22"/>
                    </w:rPr>
                  </m:ctrlPr>
                </m:fPr>
                <m:num>
                  <m:r>
                    <w:rPr>
                      <w:rFonts w:ascii="Cambria Math" w:eastAsia="Calibri" w:hAnsi="Cambria Math"/>
                      <w:sz w:val="22"/>
                      <w:szCs w:val="22"/>
                    </w:rPr>
                    <m:t>KSZÉSZ</m:t>
                  </m:r>
                </m:num>
                <m:den>
                  <m:r>
                    <w:rPr>
                      <w:rFonts w:ascii="Cambria Math" w:eastAsia="Calibri" w:hAnsi="Cambria Math"/>
                      <w:sz w:val="22"/>
                      <w:szCs w:val="22"/>
                    </w:rPr>
                    <m:t>ISZ</m:t>
                  </m:r>
                </m:den>
              </m:f>
            </m:den>
          </m:f>
        </m:oMath>
      </m:oMathPara>
    </w:p>
    <w:p w14:paraId="2EDEE3F2" w14:textId="77777777" w:rsidR="00FD0545" w:rsidRPr="00E13CE5" w:rsidRDefault="00FD0545" w:rsidP="00FD0545">
      <w:pPr>
        <w:jc w:val="both"/>
        <w:rPr>
          <w:sz w:val="22"/>
          <w:szCs w:val="22"/>
        </w:rPr>
      </w:pPr>
      <w:r w:rsidRPr="00E13CE5">
        <w:rPr>
          <w:sz w:val="22"/>
          <w:szCs w:val="22"/>
        </w:rPr>
        <w:t xml:space="preserve">Ahol ISZÉSZ az intézeti évfolyamok száma (valamennyi szakon), KSZÉSZ a kari évfolyamok száma (valamennyi szakon), ISZ a kari intézetek </w:t>
      </w:r>
      <w:proofErr w:type="spellStart"/>
      <w:r w:rsidRPr="00E13CE5">
        <w:rPr>
          <w:sz w:val="22"/>
          <w:szCs w:val="22"/>
        </w:rPr>
        <w:t>organogram</w:t>
      </w:r>
      <w:proofErr w:type="spellEnd"/>
      <w:r w:rsidRPr="00E13CE5">
        <w:rPr>
          <w:sz w:val="22"/>
          <w:szCs w:val="22"/>
        </w:rPr>
        <w:t xml:space="preserve"> szerinti száma. Az évfolyamok számának meghatározásakor az angol nyelven folytatott képzések évfolyamai kétszeres szorzóval kerülnek figyelembevételre.</w:t>
      </w:r>
    </w:p>
    <w:p w14:paraId="37DB8911" w14:textId="77777777" w:rsidR="00FD0545" w:rsidRPr="00E13CE5" w:rsidRDefault="00FD0545" w:rsidP="00FD0545">
      <w:pPr>
        <w:rPr>
          <w:sz w:val="22"/>
          <w:szCs w:val="22"/>
        </w:rPr>
      </w:pPr>
    </w:p>
    <w:p w14:paraId="7C2615F5" w14:textId="77777777" w:rsidR="00FD0545" w:rsidRPr="00E13CE5" w:rsidRDefault="00FD0545" w:rsidP="00FD0545">
      <w:pPr>
        <w:rPr>
          <w:b/>
          <w:bCs/>
          <w:sz w:val="22"/>
          <w:szCs w:val="22"/>
        </w:rPr>
      </w:pPr>
      <w:r w:rsidRPr="00E13CE5">
        <w:rPr>
          <w:b/>
          <w:bCs/>
          <w:sz w:val="22"/>
          <w:szCs w:val="22"/>
        </w:rPr>
        <w:t>TDK hallgatói arány (TA)</w:t>
      </w:r>
    </w:p>
    <w:p w14:paraId="5C254E77" w14:textId="77777777" w:rsidR="00FD0545" w:rsidRPr="00FD0545" w:rsidRDefault="00FD0545" w:rsidP="00FD0545">
      <w:pPr>
        <w:pBdr>
          <w:top w:val="single" w:sz="4" w:space="1" w:color="auto"/>
          <w:left w:val="single" w:sz="4" w:space="4" w:color="auto"/>
          <w:bottom w:val="single" w:sz="4" w:space="1" w:color="auto"/>
          <w:right w:val="single" w:sz="4" w:space="4" w:color="auto"/>
        </w:pBdr>
        <w:jc w:val="center"/>
        <w:rPr>
          <w:sz w:val="22"/>
          <w:szCs w:val="22"/>
        </w:rPr>
      </w:pPr>
      <m:oMathPara>
        <m:oMath>
          <m:r>
            <w:rPr>
              <w:rFonts w:ascii="Cambria Math" w:eastAsia="Calibri" w:hAnsi="Cambria Math"/>
              <w:sz w:val="22"/>
              <w:szCs w:val="22"/>
            </w:rPr>
            <m:t>TA=</m:t>
          </m:r>
          <m:f>
            <m:fPr>
              <m:ctrlPr>
                <w:rPr>
                  <w:rFonts w:ascii="Cambria Math" w:eastAsia="Calibri" w:hAnsi="Cambria Math"/>
                  <w:i/>
                  <w:sz w:val="22"/>
                  <w:szCs w:val="22"/>
                </w:rPr>
              </m:ctrlPr>
            </m:fPr>
            <m:num>
              <m:r>
                <w:rPr>
                  <w:rFonts w:ascii="Cambria Math" w:eastAsia="Calibri" w:hAnsi="Cambria Math"/>
                  <w:sz w:val="22"/>
                  <w:szCs w:val="22"/>
                </w:rPr>
                <m:t>ITHSZ-</m:t>
              </m:r>
              <m:f>
                <m:fPr>
                  <m:ctrlPr>
                    <w:rPr>
                      <w:rFonts w:ascii="Cambria Math" w:eastAsia="Calibri" w:hAnsi="Cambria Math"/>
                      <w:i/>
                      <w:sz w:val="22"/>
                      <w:szCs w:val="22"/>
                    </w:rPr>
                  </m:ctrlPr>
                </m:fPr>
                <m:num>
                  <m:r>
                    <w:rPr>
                      <w:rFonts w:ascii="Cambria Math" w:eastAsia="Calibri" w:hAnsi="Cambria Math"/>
                      <w:sz w:val="22"/>
                      <w:szCs w:val="22"/>
                    </w:rPr>
                    <m:t>KTHSZ</m:t>
                  </m:r>
                </m:num>
                <m:den>
                  <m:r>
                    <w:rPr>
                      <w:rFonts w:ascii="Cambria Math" w:eastAsia="Calibri" w:hAnsi="Cambria Math"/>
                      <w:sz w:val="22"/>
                      <w:szCs w:val="22"/>
                    </w:rPr>
                    <m:t>ISZ</m:t>
                  </m:r>
                </m:den>
              </m:f>
            </m:num>
            <m:den>
              <m:f>
                <m:fPr>
                  <m:ctrlPr>
                    <w:rPr>
                      <w:rFonts w:ascii="Cambria Math" w:eastAsia="Calibri" w:hAnsi="Cambria Math"/>
                      <w:i/>
                      <w:sz w:val="22"/>
                      <w:szCs w:val="22"/>
                    </w:rPr>
                  </m:ctrlPr>
                </m:fPr>
                <m:num>
                  <m:r>
                    <w:rPr>
                      <w:rFonts w:ascii="Cambria Math" w:eastAsia="Calibri" w:hAnsi="Cambria Math"/>
                      <w:sz w:val="22"/>
                      <w:szCs w:val="22"/>
                    </w:rPr>
                    <m:t>KTHSZ</m:t>
                  </m:r>
                </m:num>
                <m:den>
                  <m:r>
                    <w:rPr>
                      <w:rFonts w:ascii="Cambria Math" w:eastAsia="Calibri" w:hAnsi="Cambria Math"/>
                      <w:sz w:val="22"/>
                      <w:szCs w:val="22"/>
                    </w:rPr>
                    <m:t>ISZ</m:t>
                  </m:r>
                </m:den>
              </m:f>
            </m:den>
          </m:f>
        </m:oMath>
      </m:oMathPara>
    </w:p>
    <w:p w14:paraId="1E400BD1" w14:textId="77777777" w:rsidR="00FD0545" w:rsidRDefault="00FD0545" w:rsidP="00FD0545">
      <w:pPr>
        <w:jc w:val="both"/>
        <w:rPr>
          <w:sz w:val="22"/>
          <w:szCs w:val="22"/>
        </w:rPr>
      </w:pPr>
      <w:r w:rsidRPr="00E13CE5">
        <w:rPr>
          <w:sz w:val="22"/>
          <w:szCs w:val="22"/>
        </w:rPr>
        <w:t xml:space="preserve">Ahol ITHSZ az intézeti TDK hallgatók száma, KTHSZ a kari TDK hallgatók száma, ISZ a kari intézetek </w:t>
      </w:r>
      <w:proofErr w:type="spellStart"/>
      <w:r w:rsidRPr="00E13CE5">
        <w:rPr>
          <w:sz w:val="22"/>
          <w:szCs w:val="22"/>
        </w:rPr>
        <w:t>organogram</w:t>
      </w:r>
      <w:proofErr w:type="spellEnd"/>
      <w:r w:rsidRPr="00E13CE5">
        <w:rPr>
          <w:sz w:val="22"/>
          <w:szCs w:val="22"/>
        </w:rPr>
        <w:t xml:space="preserve"> szerinti száma.</w:t>
      </w:r>
    </w:p>
    <w:p w14:paraId="1A120993" w14:textId="77777777" w:rsidR="00FD0545" w:rsidRPr="00E13CE5" w:rsidRDefault="00FD0545" w:rsidP="00FD0545">
      <w:pPr>
        <w:jc w:val="both"/>
        <w:rPr>
          <w:sz w:val="22"/>
          <w:szCs w:val="22"/>
        </w:rPr>
      </w:pPr>
    </w:p>
    <w:p w14:paraId="41060C2B" w14:textId="77777777" w:rsidR="00FD0545" w:rsidRPr="00E13CE5" w:rsidRDefault="00FD0545" w:rsidP="00FD0545">
      <w:pPr>
        <w:jc w:val="both"/>
        <w:rPr>
          <w:rFonts w:eastAsia="Calibri"/>
          <w:sz w:val="22"/>
          <w:szCs w:val="22"/>
        </w:rPr>
      </w:pPr>
      <w:r w:rsidRPr="00E13CE5">
        <w:rPr>
          <w:rFonts w:eastAsia="Calibri"/>
          <w:sz w:val="22"/>
          <w:szCs w:val="22"/>
        </w:rPr>
        <w:t>Az egyes referensekhez kapcsolódó intézeti szorzószámok az alábbiak szerint kerültek meghatározásra: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5524"/>
        <w:gridCol w:w="3538"/>
      </w:tblGrid>
      <w:tr w:rsidR="00FD0545" w:rsidRPr="00347D14" w14:paraId="5A89643F" w14:textId="77777777" w:rsidTr="00026782">
        <w:tc>
          <w:tcPr>
            <w:tcW w:w="5524" w:type="dxa"/>
            <w:tcBorders>
              <w:top w:val="single" w:sz="4" w:space="0" w:color="FFFFFF"/>
              <w:left w:val="single" w:sz="4" w:space="0" w:color="FFFFFF"/>
              <w:right w:val="nil"/>
            </w:tcBorders>
            <w:shd w:val="clear" w:color="auto" w:fill="EDEDED"/>
          </w:tcPr>
          <w:p w14:paraId="200D9734" w14:textId="77777777" w:rsidR="00FD0545" w:rsidRPr="00347D14" w:rsidRDefault="00FD0545" w:rsidP="00026782">
            <w:pPr>
              <w:jc w:val="center"/>
              <w:rPr>
                <w:rFonts w:eastAsia="Calibri"/>
                <w:b/>
                <w:bCs/>
                <w:sz w:val="22"/>
                <w:szCs w:val="22"/>
              </w:rPr>
            </w:pPr>
            <w:r w:rsidRPr="00347D14">
              <w:rPr>
                <w:rFonts w:eastAsia="Calibri"/>
                <w:b/>
                <w:bCs/>
                <w:sz w:val="22"/>
                <w:szCs w:val="22"/>
              </w:rPr>
              <w:t>Intézeti referens</w:t>
            </w:r>
          </w:p>
        </w:tc>
        <w:tc>
          <w:tcPr>
            <w:tcW w:w="3538" w:type="dxa"/>
            <w:tcBorders>
              <w:top w:val="single" w:sz="4" w:space="0" w:color="FFFFFF"/>
              <w:left w:val="nil"/>
              <w:right w:val="single" w:sz="4" w:space="0" w:color="FFFFFF"/>
            </w:tcBorders>
            <w:shd w:val="clear" w:color="auto" w:fill="EDEDED"/>
          </w:tcPr>
          <w:p w14:paraId="446E679A" w14:textId="77777777" w:rsidR="00FD0545" w:rsidRPr="00347D14" w:rsidRDefault="00FD0545" w:rsidP="00026782">
            <w:pPr>
              <w:jc w:val="center"/>
              <w:rPr>
                <w:rFonts w:eastAsia="Calibri"/>
                <w:b/>
                <w:bCs/>
                <w:sz w:val="22"/>
                <w:szCs w:val="22"/>
              </w:rPr>
            </w:pPr>
            <w:r w:rsidRPr="00347D14">
              <w:rPr>
                <w:rFonts w:eastAsia="Calibri"/>
                <w:b/>
                <w:bCs/>
                <w:sz w:val="22"/>
                <w:szCs w:val="22"/>
              </w:rPr>
              <w:t>Alkalmazott intézeti szorzó</w:t>
            </w:r>
          </w:p>
        </w:tc>
      </w:tr>
      <w:tr w:rsidR="00FD0545" w:rsidRPr="00C376DE" w14:paraId="7A7FEE8C" w14:textId="77777777" w:rsidTr="00026782">
        <w:tc>
          <w:tcPr>
            <w:tcW w:w="5524" w:type="dxa"/>
            <w:shd w:val="clear" w:color="auto" w:fill="EDEDED"/>
          </w:tcPr>
          <w:p w14:paraId="63D7B4E7" w14:textId="77777777" w:rsidR="00FD0545" w:rsidRPr="00C376DE" w:rsidRDefault="00FD0545" w:rsidP="00026782">
            <w:pPr>
              <w:rPr>
                <w:rFonts w:eastAsia="Calibri"/>
                <w:sz w:val="22"/>
                <w:szCs w:val="22"/>
              </w:rPr>
            </w:pPr>
            <w:r w:rsidRPr="00C376DE">
              <w:rPr>
                <w:rFonts w:eastAsia="Calibri"/>
                <w:sz w:val="22"/>
                <w:szCs w:val="22"/>
              </w:rPr>
              <w:t>Oktatásszervezési referens</w:t>
            </w:r>
          </w:p>
        </w:tc>
        <w:tc>
          <w:tcPr>
            <w:tcW w:w="3538" w:type="dxa"/>
            <w:shd w:val="clear" w:color="auto" w:fill="EDEDED"/>
          </w:tcPr>
          <w:p w14:paraId="6543F0F6" w14:textId="77777777" w:rsidR="00FD0545" w:rsidRPr="00C376DE" w:rsidRDefault="00FD0545" w:rsidP="00026782">
            <w:pPr>
              <w:rPr>
                <w:rFonts w:eastAsia="Calibri"/>
                <w:sz w:val="22"/>
                <w:szCs w:val="22"/>
              </w:rPr>
            </w:pPr>
            <w:r w:rsidRPr="00C376DE">
              <w:rPr>
                <w:rFonts w:eastAsia="Calibri"/>
                <w:sz w:val="22"/>
                <w:szCs w:val="22"/>
              </w:rPr>
              <w:t>IRSZ = (1 + HA) × (1 + SZÉA)</w:t>
            </w:r>
          </w:p>
        </w:tc>
      </w:tr>
      <w:tr w:rsidR="00FD0545" w:rsidRPr="00C376DE" w14:paraId="7733DB81" w14:textId="77777777" w:rsidTr="00026782">
        <w:tc>
          <w:tcPr>
            <w:tcW w:w="5524" w:type="dxa"/>
            <w:shd w:val="clear" w:color="auto" w:fill="EDEDED"/>
          </w:tcPr>
          <w:p w14:paraId="18EF6141" w14:textId="77777777" w:rsidR="00FD0545" w:rsidRPr="00C376DE" w:rsidRDefault="00FD0545" w:rsidP="00026782">
            <w:pPr>
              <w:rPr>
                <w:rFonts w:eastAsia="Calibri"/>
                <w:sz w:val="22"/>
                <w:szCs w:val="22"/>
              </w:rPr>
            </w:pPr>
            <w:r w:rsidRPr="00C376DE">
              <w:rPr>
                <w:rFonts w:eastAsia="Calibri"/>
                <w:sz w:val="22"/>
                <w:szCs w:val="22"/>
              </w:rPr>
              <w:t>Marketing és rendezvényszervezési referens</w:t>
            </w:r>
          </w:p>
        </w:tc>
        <w:tc>
          <w:tcPr>
            <w:tcW w:w="3538" w:type="dxa"/>
            <w:shd w:val="clear" w:color="auto" w:fill="EDEDED"/>
          </w:tcPr>
          <w:p w14:paraId="3272BFC6" w14:textId="77777777" w:rsidR="00FD0545" w:rsidRPr="00C376DE" w:rsidRDefault="00FD0545" w:rsidP="00026782">
            <w:pPr>
              <w:rPr>
                <w:rFonts w:eastAsia="Calibri"/>
                <w:sz w:val="22"/>
                <w:szCs w:val="22"/>
              </w:rPr>
            </w:pPr>
            <w:r w:rsidRPr="00C376DE">
              <w:rPr>
                <w:rFonts w:eastAsia="Calibri"/>
                <w:sz w:val="22"/>
                <w:szCs w:val="22"/>
              </w:rPr>
              <w:t xml:space="preserve">IRSZ = </w:t>
            </w:r>
            <w:proofErr w:type="gramStart"/>
            <w:r w:rsidRPr="00C376DE">
              <w:rPr>
                <w:rFonts w:eastAsia="Calibri"/>
                <w:sz w:val="22"/>
                <w:szCs w:val="22"/>
              </w:rPr>
              <w:t>A</w:t>
            </w:r>
            <w:proofErr w:type="gramEnd"/>
            <w:r w:rsidRPr="00C376DE">
              <w:rPr>
                <w:rFonts w:eastAsia="Calibri"/>
                <w:sz w:val="22"/>
                <w:szCs w:val="22"/>
              </w:rPr>
              <w:t xml:space="preserve"> legkisebb és legnagyobb IRSZ mértani középértéke</w:t>
            </w:r>
          </w:p>
        </w:tc>
      </w:tr>
      <w:tr w:rsidR="00FD0545" w:rsidRPr="00C376DE" w14:paraId="06A91B6F" w14:textId="77777777" w:rsidTr="00026782">
        <w:tc>
          <w:tcPr>
            <w:tcW w:w="5524" w:type="dxa"/>
            <w:shd w:val="clear" w:color="auto" w:fill="EDEDED"/>
          </w:tcPr>
          <w:p w14:paraId="1B78D622" w14:textId="77777777" w:rsidR="00FD0545" w:rsidRPr="00C376DE" w:rsidRDefault="00FD0545" w:rsidP="00026782">
            <w:pPr>
              <w:rPr>
                <w:rFonts w:eastAsia="Calibri"/>
                <w:sz w:val="22"/>
                <w:szCs w:val="22"/>
              </w:rPr>
            </w:pPr>
            <w:r w:rsidRPr="00C376DE">
              <w:rPr>
                <w:rFonts w:eastAsia="Calibri"/>
                <w:sz w:val="22"/>
                <w:szCs w:val="22"/>
              </w:rPr>
              <w:t>Hallgatói előmeneteli és szakdolgozati referens</w:t>
            </w:r>
          </w:p>
        </w:tc>
        <w:tc>
          <w:tcPr>
            <w:tcW w:w="3538" w:type="dxa"/>
            <w:shd w:val="clear" w:color="auto" w:fill="EDEDED"/>
          </w:tcPr>
          <w:p w14:paraId="05BB89FB" w14:textId="77777777" w:rsidR="00FD0545" w:rsidRPr="00C376DE" w:rsidRDefault="00FD0545" w:rsidP="00026782">
            <w:pPr>
              <w:rPr>
                <w:rFonts w:eastAsia="Calibri"/>
                <w:sz w:val="22"/>
                <w:szCs w:val="22"/>
              </w:rPr>
            </w:pPr>
            <w:r w:rsidRPr="00C376DE">
              <w:rPr>
                <w:rFonts w:eastAsia="Calibri"/>
                <w:sz w:val="22"/>
                <w:szCs w:val="22"/>
              </w:rPr>
              <w:t xml:space="preserve">IRSZ = 1 + HA </w:t>
            </w:r>
          </w:p>
        </w:tc>
      </w:tr>
      <w:tr w:rsidR="00FD0545" w:rsidRPr="00C376DE" w14:paraId="54A5CF83" w14:textId="77777777" w:rsidTr="00026782">
        <w:tc>
          <w:tcPr>
            <w:tcW w:w="5524" w:type="dxa"/>
            <w:shd w:val="clear" w:color="auto" w:fill="EDEDED"/>
          </w:tcPr>
          <w:p w14:paraId="208E1C1C" w14:textId="77777777" w:rsidR="00FD0545" w:rsidRPr="00C376DE" w:rsidRDefault="00FD0545" w:rsidP="00026782">
            <w:pPr>
              <w:rPr>
                <w:rFonts w:eastAsia="Calibri"/>
                <w:sz w:val="22"/>
                <w:szCs w:val="22"/>
              </w:rPr>
            </w:pPr>
            <w:r w:rsidRPr="00C376DE">
              <w:rPr>
                <w:rFonts w:eastAsia="Calibri"/>
                <w:sz w:val="22"/>
                <w:szCs w:val="22"/>
              </w:rPr>
              <w:t>Tudományos diákköri és szakkollégiumi szervezési referens</w:t>
            </w:r>
          </w:p>
        </w:tc>
        <w:tc>
          <w:tcPr>
            <w:tcW w:w="3538" w:type="dxa"/>
            <w:shd w:val="clear" w:color="auto" w:fill="EDEDED"/>
          </w:tcPr>
          <w:p w14:paraId="06D92D26" w14:textId="77777777" w:rsidR="00FD0545" w:rsidRPr="00C376DE" w:rsidRDefault="00FD0545" w:rsidP="00026782">
            <w:pPr>
              <w:rPr>
                <w:rFonts w:eastAsia="Calibri"/>
                <w:sz w:val="22"/>
                <w:szCs w:val="22"/>
              </w:rPr>
            </w:pPr>
            <w:r w:rsidRPr="00C376DE">
              <w:rPr>
                <w:rFonts w:eastAsia="Calibri"/>
                <w:sz w:val="22"/>
                <w:szCs w:val="22"/>
              </w:rPr>
              <w:t>IRSZ = (1 + HA) × (1 + TA)</w:t>
            </w:r>
          </w:p>
        </w:tc>
      </w:tr>
      <w:tr w:rsidR="00FD0545" w:rsidRPr="00C376DE" w14:paraId="25FA41B8" w14:textId="77777777" w:rsidTr="00026782">
        <w:tc>
          <w:tcPr>
            <w:tcW w:w="5524" w:type="dxa"/>
            <w:shd w:val="clear" w:color="auto" w:fill="EDEDED"/>
          </w:tcPr>
          <w:p w14:paraId="7816C414" w14:textId="77777777" w:rsidR="00FD0545" w:rsidRPr="00C376DE" w:rsidRDefault="00FD0545" w:rsidP="00026782">
            <w:pPr>
              <w:rPr>
                <w:rFonts w:eastAsia="Calibri"/>
                <w:sz w:val="22"/>
                <w:szCs w:val="22"/>
              </w:rPr>
            </w:pPr>
            <w:r w:rsidRPr="00C376DE">
              <w:rPr>
                <w:rFonts w:eastAsia="Calibri"/>
                <w:sz w:val="22"/>
                <w:szCs w:val="22"/>
              </w:rPr>
              <w:t>Minőségirányítási és teljesítményértékelési referens</w:t>
            </w:r>
          </w:p>
        </w:tc>
        <w:tc>
          <w:tcPr>
            <w:tcW w:w="3538" w:type="dxa"/>
            <w:shd w:val="clear" w:color="auto" w:fill="EDEDED"/>
          </w:tcPr>
          <w:p w14:paraId="1C6D3E43" w14:textId="77777777" w:rsidR="00FD0545" w:rsidRPr="00C376DE" w:rsidRDefault="00FD0545" w:rsidP="00026782">
            <w:pPr>
              <w:rPr>
                <w:rFonts w:eastAsia="Calibri"/>
                <w:sz w:val="22"/>
                <w:szCs w:val="22"/>
              </w:rPr>
            </w:pPr>
            <w:r w:rsidRPr="00C376DE">
              <w:rPr>
                <w:rFonts w:eastAsia="Calibri"/>
                <w:sz w:val="22"/>
                <w:szCs w:val="22"/>
              </w:rPr>
              <w:t>IRSZ = (1 + OA) × (1 + SZÉA)</w:t>
            </w:r>
          </w:p>
        </w:tc>
      </w:tr>
      <w:tr w:rsidR="00FD0545" w:rsidRPr="00C376DE" w14:paraId="6DF61101" w14:textId="77777777" w:rsidTr="00026782">
        <w:tc>
          <w:tcPr>
            <w:tcW w:w="5524" w:type="dxa"/>
            <w:shd w:val="clear" w:color="auto" w:fill="EDEDED"/>
          </w:tcPr>
          <w:p w14:paraId="0CB7FE39" w14:textId="77777777" w:rsidR="00FD0545" w:rsidRPr="00C376DE" w:rsidRDefault="00FD0545" w:rsidP="00026782">
            <w:pPr>
              <w:rPr>
                <w:rFonts w:eastAsia="Calibri"/>
                <w:sz w:val="22"/>
                <w:szCs w:val="22"/>
              </w:rPr>
            </w:pPr>
            <w:proofErr w:type="spellStart"/>
            <w:r w:rsidRPr="00C376DE">
              <w:rPr>
                <w:rFonts w:eastAsia="Calibri"/>
                <w:sz w:val="22"/>
                <w:szCs w:val="22"/>
              </w:rPr>
              <w:t>Kurrikulum</w:t>
            </w:r>
            <w:proofErr w:type="spellEnd"/>
            <w:r w:rsidRPr="00C376DE">
              <w:rPr>
                <w:rFonts w:eastAsia="Calibri"/>
                <w:sz w:val="22"/>
                <w:szCs w:val="22"/>
              </w:rPr>
              <w:t xml:space="preserve"> és e-</w:t>
            </w:r>
            <w:proofErr w:type="spellStart"/>
            <w:r w:rsidRPr="00C376DE">
              <w:rPr>
                <w:rFonts w:eastAsia="Calibri"/>
                <w:sz w:val="22"/>
                <w:szCs w:val="22"/>
              </w:rPr>
              <w:t>learning</w:t>
            </w:r>
            <w:proofErr w:type="spellEnd"/>
            <w:r w:rsidRPr="00C376DE">
              <w:rPr>
                <w:rFonts w:eastAsia="Calibri"/>
                <w:sz w:val="22"/>
                <w:szCs w:val="22"/>
              </w:rPr>
              <w:t xml:space="preserve"> referens</w:t>
            </w:r>
          </w:p>
        </w:tc>
        <w:tc>
          <w:tcPr>
            <w:tcW w:w="3538" w:type="dxa"/>
            <w:shd w:val="clear" w:color="auto" w:fill="EDEDED"/>
          </w:tcPr>
          <w:p w14:paraId="09A08409" w14:textId="77777777" w:rsidR="00FD0545" w:rsidRPr="00C376DE" w:rsidRDefault="00FD0545" w:rsidP="00026782">
            <w:pPr>
              <w:rPr>
                <w:rFonts w:eastAsia="Calibri"/>
                <w:sz w:val="22"/>
                <w:szCs w:val="22"/>
              </w:rPr>
            </w:pPr>
            <w:r w:rsidRPr="00C376DE">
              <w:rPr>
                <w:rFonts w:eastAsia="Calibri"/>
                <w:sz w:val="22"/>
                <w:szCs w:val="22"/>
              </w:rPr>
              <w:t>IRSZ = (1 + OA) × (1 + SZÉA)</w:t>
            </w:r>
          </w:p>
        </w:tc>
      </w:tr>
      <w:tr w:rsidR="00FD0545" w:rsidRPr="00C376DE" w14:paraId="09B05335" w14:textId="77777777" w:rsidTr="00026782">
        <w:tc>
          <w:tcPr>
            <w:tcW w:w="5524" w:type="dxa"/>
            <w:shd w:val="clear" w:color="auto" w:fill="EDEDED"/>
          </w:tcPr>
          <w:p w14:paraId="13F734FF" w14:textId="77777777" w:rsidR="00FD0545" w:rsidRPr="00C376DE" w:rsidRDefault="00FD0545" w:rsidP="00026782">
            <w:pPr>
              <w:rPr>
                <w:rFonts w:eastAsia="Calibri"/>
                <w:sz w:val="22"/>
                <w:szCs w:val="22"/>
              </w:rPr>
            </w:pPr>
            <w:r w:rsidRPr="00C376DE">
              <w:rPr>
                <w:rFonts w:eastAsia="Calibri"/>
                <w:sz w:val="22"/>
                <w:szCs w:val="22"/>
              </w:rPr>
              <w:t>Hallgatói lemorzsolódási referens</w:t>
            </w:r>
          </w:p>
        </w:tc>
        <w:tc>
          <w:tcPr>
            <w:tcW w:w="3538" w:type="dxa"/>
            <w:shd w:val="clear" w:color="auto" w:fill="EDEDED"/>
          </w:tcPr>
          <w:p w14:paraId="0DB8E831" w14:textId="77777777" w:rsidR="00FD0545" w:rsidRPr="00C376DE" w:rsidRDefault="00FD0545" w:rsidP="00026782">
            <w:pPr>
              <w:rPr>
                <w:rFonts w:eastAsia="Calibri"/>
                <w:sz w:val="22"/>
                <w:szCs w:val="22"/>
              </w:rPr>
            </w:pPr>
            <w:r w:rsidRPr="00C376DE">
              <w:rPr>
                <w:rFonts w:eastAsia="Calibri"/>
                <w:sz w:val="22"/>
                <w:szCs w:val="22"/>
              </w:rPr>
              <w:t>IRSZ = 1 + HA</w:t>
            </w:r>
          </w:p>
        </w:tc>
      </w:tr>
    </w:tbl>
    <w:p w14:paraId="4C74BC98" w14:textId="77777777" w:rsidR="00FD0545" w:rsidRPr="00E13CE5" w:rsidRDefault="00FD0545" w:rsidP="00FD0545">
      <w:pPr>
        <w:rPr>
          <w:rFonts w:eastAsia="Calibri"/>
          <w:sz w:val="22"/>
          <w:szCs w:val="22"/>
        </w:rPr>
      </w:pPr>
    </w:p>
    <w:p w14:paraId="3573F0BB" w14:textId="77777777" w:rsidR="00FD0545" w:rsidRPr="00347D14" w:rsidRDefault="00FD0545" w:rsidP="00FD0545">
      <w:pPr>
        <w:ind w:left="708"/>
        <w:rPr>
          <w:b/>
          <w:sz w:val="22"/>
        </w:rPr>
      </w:pPr>
      <w:r>
        <w:rPr>
          <w:b/>
          <w:sz w:val="22"/>
        </w:rPr>
        <w:t xml:space="preserve">C) </w:t>
      </w:r>
      <w:proofErr w:type="gramStart"/>
      <w:r w:rsidRPr="00347D14">
        <w:rPr>
          <w:b/>
          <w:sz w:val="22"/>
        </w:rPr>
        <w:t>A</w:t>
      </w:r>
      <w:proofErr w:type="gramEnd"/>
      <w:r w:rsidRPr="00347D14">
        <w:rPr>
          <w:b/>
          <w:sz w:val="22"/>
        </w:rPr>
        <w:t xml:space="preserve"> vezetői TÉR pontszám kiszámítása</w:t>
      </w:r>
    </w:p>
    <w:p w14:paraId="3BE703C9" w14:textId="77777777" w:rsidR="00FD0545" w:rsidRPr="00E13CE5" w:rsidRDefault="00FD0545" w:rsidP="00FD0545">
      <w:pPr>
        <w:rPr>
          <w:rFonts w:eastAsia="Calibri"/>
          <w:sz w:val="22"/>
          <w:szCs w:val="22"/>
        </w:rPr>
      </w:pPr>
      <w:r w:rsidRPr="00E13CE5">
        <w:rPr>
          <w:rFonts w:eastAsia="Calibri"/>
          <w:sz w:val="22"/>
          <w:szCs w:val="22"/>
        </w:rPr>
        <w:t xml:space="preserve">A TÉR IV. fejezet </w:t>
      </w:r>
      <w:proofErr w:type="spellStart"/>
      <w:r w:rsidRPr="00E13CE5">
        <w:rPr>
          <w:rFonts w:eastAsia="Calibri"/>
          <w:sz w:val="22"/>
          <w:szCs w:val="22"/>
        </w:rPr>
        <w:t>összpontszáma</w:t>
      </w:r>
      <w:proofErr w:type="spellEnd"/>
      <w:r w:rsidRPr="00E13CE5">
        <w:rPr>
          <w:rFonts w:eastAsia="Calibri"/>
          <w:sz w:val="22"/>
          <w:szCs w:val="22"/>
        </w:rPr>
        <w:t xml:space="preserve"> az alábbi képlet alapján számítható:</w:t>
      </w:r>
    </w:p>
    <w:p w14:paraId="2889054C" w14:textId="77777777" w:rsidR="00FD0545" w:rsidRPr="00FD0545" w:rsidRDefault="00C54B98" w:rsidP="00FD0545">
      <w:pPr>
        <w:pBdr>
          <w:top w:val="single" w:sz="4" w:space="1" w:color="auto"/>
          <w:left w:val="single" w:sz="4" w:space="4" w:color="auto"/>
          <w:bottom w:val="single" w:sz="4" w:space="1" w:color="auto"/>
          <w:right w:val="single" w:sz="4" w:space="4" w:color="auto"/>
        </w:pBdr>
        <w:shd w:val="clear" w:color="auto" w:fill="F2F2F2"/>
        <w:jc w:val="center"/>
        <w:rPr>
          <w:rFonts w:eastAsia="Calibri"/>
          <w:b/>
          <w:bCs/>
          <w: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TÉR</m:t>
              </m:r>
            </m:e>
            <m:sub>
              <m:r>
                <m:rPr>
                  <m:sty m:val="bi"/>
                </m:rPr>
                <w:rPr>
                  <w:rFonts w:ascii="Cambria Math" w:eastAsia="Calibri" w:hAnsi="Cambria Math"/>
                  <w:sz w:val="22"/>
                  <w:szCs w:val="22"/>
                </w:rPr>
                <m:t>VEZETŐI</m:t>
              </m:r>
            </m:sub>
          </m:sSub>
          <m:r>
            <m:rPr>
              <m:sty m:val="bi"/>
            </m:rPr>
            <w:rPr>
              <w:rFonts w:ascii="Cambria Math" w:eastAsia="Calibri" w:hAnsi="Cambria Math"/>
              <w:sz w:val="22"/>
              <w:szCs w:val="22"/>
            </w:rPr>
            <m:t xml:space="preserve"> =</m:t>
          </m:r>
          <m:r>
            <m:rPr>
              <m:sty m:val="bi"/>
            </m:rPr>
            <w:rPr>
              <w:rFonts w:ascii="Cambria Math" w:hAnsi="Cambria Math"/>
              <w:sz w:val="22"/>
              <w:szCs w:val="22"/>
            </w:rPr>
            <m:t>VA TÉR ×VV ×TTF+TQ TÉR</m:t>
          </m:r>
        </m:oMath>
      </m:oMathPara>
    </w:p>
    <w:p w14:paraId="2B9CEED5" w14:textId="77777777" w:rsidR="00FD0545" w:rsidRDefault="00FD0545" w:rsidP="00FD0545">
      <w:pPr>
        <w:ind w:left="708"/>
        <w:rPr>
          <w:b/>
          <w:sz w:val="22"/>
        </w:rPr>
      </w:pPr>
    </w:p>
    <w:p w14:paraId="3E831A06" w14:textId="77777777" w:rsidR="00FD0545" w:rsidRDefault="00FD0545" w:rsidP="00FD0545">
      <w:pPr>
        <w:ind w:left="708"/>
        <w:rPr>
          <w:b/>
          <w:sz w:val="22"/>
        </w:rPr>
      </w:pPr>
      <w:r>
        <w:rPr>
          <w:b/>
          <w:sz w:val="22"/>
        </w:rPr>
        <w:t xml:space="preserve">D) </w:t>
      </w:r>
      <w:r w:rsidRPr="00347D14">
        <w:rPr>
          <w:b/>
          <w:sz w:val="22"/>
        </w:rPr>
        <w:t>Elvárt teljesítmény</w:t>
      </w:r>
    </w:p>
    <w:p w14:paraId="468A3E4F" w14:textId="77777777" w:rsidR="00FD0545" w:rsidRPr="00347D14" w:rsidRDefault="00FD0545" w:rsidP="00FD0545">
      <w:pPr>
        <w:ind w:left="708"/>
        <w:rPr>
          <w:b/>
          <w:sz w:val="22"/>
        </w:rPr>
      </w:pPr>
    </w:p>
    <w:p w14:paraId="40852647" w14:textId="77777777" w:rsidR="00FD0545" w:rsidRPr="00E13CE5" w:rsidRDefault="00FD0545" w:rsidP="00FD0545">
      <w:pPr>
        <w:jc w:val="both"/>
        <w:rPr>
          <w:rFonts w:eastAsia="Calibri"/>
          <w:sz w:val="22"/>
          <w:szCs w:val="22"/>
        </w:rPr>
      </w:pPr>
      <w:r w:rsidRPr="00E13CE5">
        <w:rPr>
          <w:rFonts w:eastAsia="Calibri"/>
          <w:sz w:val="22"/>
          <w:szCs w:val="22"/>
        </w:rPr>
        <w:t>A vezetői megbízatás fenntartásának feltétele, hogy az értékelési időszakban teljesüljön a következő feltétel:</w:t>
      </w:r>
    </w:p>
    <w:p w14:paraId="4F1A59DE" w14:textId="77777777" w:rsidR="00FD0545" w:rsidRPr="00E13CE5" w:rsidRDefault="00FD0545" w:rsidP="00FD0545">
      <w:pPr>
        <w:jc w:val="center"/>
        <w:rPr>
          <w:rFonts w:eastAsia="Calibri"/>
          <w:b/>
          <w:bCs/>
          <w:i/>
          <w:iCs/>
          <w:sz w:val="22"/>
          <w:szCs w:val="22"/>
        </w:rPr>
      </w:pPr>
      <w:r w:rsidRPr="00E13CE5">
        <w:rPr>
          <w:rFonts w:eastAsia="Calibri"/>
          <w:b/>
          <w:bCs/>
          <w:i/>
          <w:iCs/>
          <w:sz w:val="22"/>
          <w:szCs w:val="22"/>
        </w:rPr>
        <w:t>TQ TÉR/VA TÉR ≥ 0,3</w:t>
      </w:r>
    </w:p>
    <w:p w14:paraId="40F67EF4" w14:textId="77777777" w:rsidR="00FD0545" w:rsidRPr="00E13CE5" w:rsidRDefault="00FD0545" w:rsidP="00FD0545">
      <w:pPr>
        <w:jc w:val="center"/>
        <w:rPr>
          <w:rFonts w:eastAsia="Calibri"/>
          <w:b/>
          <w:bCs/>
          <w:i/>
          <w:iCs/>
          <w:sz w:val="22"/>
          <w:szCs w:val="22"/>
        </w:rPr>
      </w:pPr>
    </w:p>
    <w:p w14:paraId="4B71204B" w14:textId="77777777" w:rsidR="00FD0545" w:rsidRPr="00E13CE5" w:rsidRDefault="00FD0545" w:rsidP="00FD0545">
      <w:pPr>
        <w:jc w:val="both"/>
        <w:rPr>
          <w:rFonts w:eastAsia="Calibri"/>
          <w:sz w:val="22"/>
          <w:szCs w:val="22"/>
        </w:rPr>
      </w:pPr>
      <w:r w:rsidRPr="00E13CE5">
        <w:rPr>
          <w:rFonts w:eastAsia="Calibri"/>
          <w:sz w:val="22"/>
          <w:szCs w:val="22"/>
        </w:rPr>
        <w:t xml:space="preserve">Amennyiben az adott évben a fenti feltétel nem teljesül, akkor a közalkalmazotti minősítés 4.2 szempontja kizárólag „Nem megfelelő” lehet, így az adott időszakban a </w:t>
      </w:r>
      <w:proofErr w:type="spellStart"/>
      <w:r w:rsidRPr="00E13CE5">
        <w:rPr>
          <w:rFonts w:eastAsia="Calibri"/>
          <w:sz w:val="22"/>
          <w:szCs w:val="22"/>
        </w:rPr>
        <w:t>Fkr</w:t>
      </w:r>
      <w:proofErr w:type="spellEnd"/>
      <w:r w:rsidRPr="00E13CE5">
        <w:rPr>
          <w:rFonts w:eastAsia="Calibri"/>
          <w:sz w:val="22"/>
          <w:szCs w:val="22"/>
        </w:rPr>
        <w:t xml:space="preserve"> 51.§ (8) alapján közalkalmazotti minősítése is „alkalmatlan”. Ezzel egyidejűleg a vezetői megbízatás a dékán kezdeményezésére visszavonásra kerülhet.</w:t>
      </w:r>
    </w:p>
    <w:p w14:paraId="4DF0CC4A" w14:textId="77777777" w:rsidR="00FD0545" w:rsidRPr="00E13CE5" w:rsidRDefault="00FD0545" w:rsidP="00FD0545">
      <w:pPr>
        <w:jc w:val="both"/>
        <w:rPr>
          <w:rFonts w:eastAsia="Calibri"/>
          <w:sz w:val="22"/>
          <w:szCs w:val="22"/>
        </w:rPr>
      </w:pPr>
    </w:p>
    <w:p w14:paraId="29DA1411" w14:textId="77777777" w:rsidR="00FD0545" w:rsidRPr="00E13CE5" w:rsidRDefault="00FD0545" w:rsidP="00FD0545">
      <w:pPr>
        <w:contextualSpacing/>
        <w:jc w:val="center"/>
        <w:rPr>
          <w:rFonts w:eastAsia="Calibri"/>
          <w:b/>
          <w:sz w:val="22"/>
          <w:szCs w:val="22"/>
        </w:rPr>
      </w:pPr>
      <w:r w:rsidRPr="00E13CE5">
        <w:rPr>
          <w:rFonts w:eastAsia="Calibri"/>
          <w:b/>
          <w:sz w:val="22"/>
          <w:szCs w:val="22"/>
        </w:rPr>
        <w:t>Záró és hatályba léptető rendelkezések</w:t>
      </w:r>
    </w:p>
    <w:p w14:paraId="2E409A35" w14:textId="77777777" w:rsidR="00FD0545" w:rsidRPr="00E13CE5" w:rsidRDefault="00FD0545" w:rsidP="00FD0545">
      <w:pPr>
        <w:contextualSpacing/>
        <w:jc w:val="center"/>
        <w:rPr>
          <w:rFonts w:eastAsia="Calibri"/>
          <w:sz w:val="22"/>
          <w:szCs w:val="22"/>
        </w:rPr>
      </w:pPr>
    </w:p>
    <w:p w14:paraId="7F68A869" w14:textId="77777777" w:rsidR="00FD0545" w:rsidRPr="00E13CE5" w:rsidRDefault="00FD0545" w:rsidP="00FD0545">
      <w:pPr>
        <w:contextualSpacing/>
        <w:jc w:val="both"/>
        <w:rPr>
          <w:rFonts w:eastAsia="Calibri"/>
          <w:sz w:val="22"/>
          <w:szCs w:val="22"/>
        </w:rPr>
      </w:pPr>
      <w:r w:rsidRPr="00E13CE5">
        <w:rPr>
          <w:rFonts w:eastAsia="Calibri"/>
          <w:b/>
          <w:sz w:val="22"/>
          <w:szCs w:val="22"/>
        </w:rPr>
        <w:t>18. §</w:t>
      </w:r>
      <w:r w:rsidRPr="00E13CE5">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6D11B715" w14:textId="77777777" w:rsidR="00FD0545" w:rsidRPr="00E13CE5" w:rsidRDefault="00FD0545" w:rsidP="00FD0545">
      <w:pPr>
        <w:contextualSpacing/>
        <w:jc w:val="both"/>
        <w:rPr>
          <w:rFonts w:eastAsia="Calibri"/>
          <w:sz w:val="22"/>
          <w:szCs w:val="22"/>
        </w:rPr>
      </w:pPr>
    </w:p>
    <w:p w14:paraId="5BA9930B"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adatlapokról, értékelőlapokról a Kar dékáni utasításban rendelkezhet. </w:t>
      </w:r>
    </w:p>
    <w:p w14:paraId="137AF4ED" w14:textId="77777777" w:rsidR="00FD0545" w:rsidRPr="00E13CE5" w:rsidRDefault="00FD0545" w:rsidP="00FD0545">
      <w:pPr>
        <w:pStyle w:val="Cmsor1"/>
        <w:rPr>
          <w:rFonts w:eastAsia="Calibri"/>
        </w:rPr>
      </w:pPr>
      <w:r w:rsidRPr="00E13CE5">
        <w:rPr>
          <w:rFonts w:eastAsia="Calibri"/>
          <w:i/>
        </w:rPr>
        <w:br w:type="page"/>
      </w:r>
      <w:bookmarkStart w:id="360" w:name="_Toc21961970"/>
      <w:bookmarkStart w:id="361" w:name="_Toc58569578"/>
      <w:r w:rsidRPr="00E13CE5">
        <w:rPr>
          <w:rFonts w:eastAsia="Calibri"/>
        </w:rPr>
        <w:lastRenderedPageBreak/>
        <w:t>1/5. számú melléklet</w:t>
      </w:r>
      <w:bookmarkEnd w:id="360"/>
      <w:bookmarkEnd w:id="361"/>
    </w:p>
    <w:p w14:paraId="6F12D919" w14:textId="77777777" w:rsidR="00FD0545" w:rsidRPr="00E13CE5" w:rsidRDefault="00FD0545" w:rsidP="00FD0545">
      <w:pPr>
        <w:pStyle w:val="Cmsor1"/>
        <w:rPr>
          <w:rFonts w:eastAsia="Calibri"/>
        </w:rPr>
      </w:pPr>
      <w:bookmarkStart w:id="362" w:name="_Toc21961971"/>
      <w:bookmarkStart w:id="363" w:name="_Toc58569579"/>
      <w:r w:rsidRPr="00E13CE5">
        <w:rPr>
          <w:rFonts w:eastAsia="Calibri"/>
        </w:rPr>
        <w:t>A Pécsi Tudományegyetem Gyógyszerésztudományi Karának</w:t>
      </w:r>
      <w:r>
        <w:rPr>
          <w:rFonts w:eastAsia="Calibri"/>
        </w:rPr>
        <w:t xml:space="preserve"> </w:t>
      </w:r>
      <w:r w:rsidRPr="00E13CE5">
        <w:rPr>
          <w:rFonts w:eastAsia="Calibri"/>
        </w:rPr>
        <w:t>Teljesítményértékelési Szabályzata</w:t>
      </w:r>
      <w:bookmarkEnd w:id="362"/>
      <w:bookmarkEnd w:id="363"/>
    </w:p>
    <w:p w14:paraId="411F8C58" w14:textId="77777777" w:rsidR="00FD0545" w:rsidRPr="00E13CE5" w:rsidRDefault="00FD0545" w:rsidP="00FD0545">
      <w:pPr>
        <w:rPr>
          <w:rFonts w:eastAsia="Calibri"/>
          <w:b/>
          <w:sz w:val="22"/>
          <w:szCs w:val="22"/>
          <w:highlight w:val="yellow"/>
        </w:rPr>
      </w:pPr>
    </w:p>
    <w:p w14:paraId="7257D3F9" w14:textId="77777777" w:rsidR="00FD0545" w:rsidRPr="00E13CE5" w:rsidRDefault="00FD0545" w:rsidP="00FD0545">
      <w:pPr>
        <w:jc w:val="center"/>
        <w:rPr>
          <w:rFonts w:eastAsia="Calibri"/>
          <w:b/>
          <w:sz w:val="22"/>
          <w:szCs w:val="22"/>
        </w:rPr>
      </w:pPr>
      <w:r w:rsidRPr="00E13CE5">
        <w:rPr>
          <w:rFonts w:eastAsia="Calibri"/>
          <w:b/>
          <w:sz w:val="22"/>
          <w:szCs w:val="22"/>
        </w:rPr>
        <w:t>A szabályzat hatálya</w:t>
      </w:r>
    </w:p>
    <w:p w14:paraId="2E6BE6A7" w14:textId="77777777" w:rsidR="00FD0545" w:rsidRPr="00E13CE5" w:rsidRDefault="00FD0545" w:rsidP="00FD0545">
      <w:pPr>
        <w:jc w:val="center"/>
        <w:rPr>
          <w:rFonts w:eastAsia="Calibri"/>
          <w:b/>
          <w:sz w:val="22"/>
          <w:szCs w:val="22"/>
        </w:rPr>
      </w:pPr>
    </w:p>
    <w:p w14:paraId="7C7C5D6C" w14:textId="77777777" w:rsidR="00FD0545" w:rsidRPr="00E13CE5" w:rsidRDefault="00FD0545" w:rsidP="00FD0545">
      <w:pPr>
        <w:jc w:val="both"/>
        <w:rPr>
          <w:rFonts w:eastAsia="Calibri"/>
          <w:sz w:val="22"/>
          <w:szCs w:val="22"/>
        </w:rPr>
      </w:pPr>
      <w:r w:rsidRPr="00E13CE5">
        <w:rPr>
          <w:rFonts w:eastAsia="Calibri"/>
          <w:b/>
          <w:sz w:val="22"/>
          <w:szCs w:val="22"/>
        </w:rPr>
        <w:t>1. §</w:t>
      </w:r>
      <w:r w:rsidRPr="00E13CE5">
        <w:rPr>
          <w:rFonts w:eastAsia="Calibri"/>
          <w:sz w:val="22"/>
          <w:szCs w:val="22"/>
        </w:rPr>
        <w:t xml:space="preserve"> (1) A teljesítményértékelési rendszer (a továbbiakban: TÉR) valamennyi, a Kar állományába sorolt határozott-, vagy határozatlan időre szóló közalkalmazotti jogviszonyban álló oktatóra és kutatóra kiterjed. Az oktatók és kutatók teljesítményét tanévenként értékelni kell. A szabályzat értelmében a tanársegédek és tudományos segédmunkatársak, valamint az adjunktusok és tudományos munkatársak, valamint a docensek és a tudományos főmunkatársak azonos </w:t>
      </w:r>
      <w:proofErr w:type="gramStart"/>
      <w:r w:rsidRPr="00E13CE5">
        <w:rPr>
          <w:rFonts w:eastAsia="Calibri"/>
          <w:sz w:val="22"/>
          <w:szCs w:val="22"/>
        </w:rPr>
        <w:t>kategóriának</w:t>
      </w:r>
      <w:proofErr w:type="gramEnd"/>
      <w:r w:rsidRPr="00E13CE5">
        <w:rPr>
          <w:rFonts w:eastAsia="Calibri"/>
          <w:sz w:val="22"/>
          <w:szCs w:val="22"/>
        </w:rPr>
        <w:t xml:space="preserve"> tekintendők.</w:t>
      </w:r>
    </w:p>
    <w:p w14:paraId="4A18E062" w14:textId="77777777" w:rsidR="00FD0545" w:rsidRPr="00E13CE5" w:rsidRDefault="00FD0545" w:rsidP="00FD0545">
      <w:pPr>
        <w:jc w:val="both"/>
        <w:rPr>
          <w:rFonts w:eastAsia="Calibri"/>
          <w:sz w:val="22"/>
          <w:szCs w:val="22"/>
        </w:rPr>
      </w:pPr>
    </w:p>
    <w:p w14:paraId="3764FC06" w14:textId="77777777" w:rsidR="00FD0545" w:rsidRPr="00E13CE5" w:rsidRDefault="00FD0545" w:rsidP="00FD0545">
      <w:pPr>
        <w:jc w:val="both"/>
        <w:rPr>
          <w:rFonts w:eastAsia="Calibri"/>
          <w:sz w:val="22"/>
          <w:szCs w:val="22"/>
        </w:rPr>
      </w:pPr>
      <w:r w:rsidRPr="00E13CE5">
        <w:rPr>
          <w:rFonts w:eastAsia="Calibri"/>
          <w:sz w:val="22"/>
          <w:szCs w:val="22"/>
        </w:rPr>
        <w:t>(2) Az oktatók teljesítményének mérése egy mennyiségi és minőségi paramétereket egyaránt tartalmazó pontszámrendszer. A teljesítményeket három alapvető tevékenység vonatkozásában mérjük:</w:t>
      </w:r>
    </w:p>
    <w:p w14:paraId="382545A7" w14:textId="77777777" w:rsidR="00FD0545" w:rsidRPr="00E13CE5" w:rsidRDefault="00FD0545" w:rsidP="00F83E93">
      <w:pPr>
        <w:numPr>
          <w:ilvl w:val="0"/>
          <w:numId w:val="153"/>
        </w:numPr>
        <w:contextualSpacing/>
        <w:rPr>
          <w:rFonts w:eastAsia="Calibri"/>
          <w:sz w:val="22"/>
          <w:szCs w:val="22"/>
        </w:rPr>
      </w:pPr>
      <w:r w:rsidRPr="00E13CE5">
        <w:rPr>
          <w:rFonts w:eastAsia="Calibri"/>
          <w:sz w:val="22"/>
          <w:szCs w:val="22"/>
        </w:rPr>
        <w:t>Oktatási tevékenység</w:t>
      </w:r>
    </w:p>
    <w:p w14:paraId="08EDD87C" w14:textId="77777777" w:rsidR="00FD0545" w:rsidRPr="00E13CE5" w:rsidRDefault="00FD0545" w:rsidP="00F83E93">
      <w:pPr>
        <w:numPr>
          <w:ilvl w:val="0"/>
          <w:numId w:val="153"/>
        </w:numPr>
        <w:contextualSpacing/>
        <w:rPr>
          <w:rFonts w:eastAsia="Calibri"/>
          <w:sz w:val="22"/>
          <w:szCs w:val="22"/>
        </w:rPr>
      </w:pPr>
      <w:r w:rsidRPr="00E13CE5">
        <w:rPr>
          <w:rFonts w:eastAsia="Calibri"/>
          <w:sz w:val="22"/>
          <w:szCs w:val="22"/>
        </w:rPr>
        <w:t>Kutatási tevékenység</w:t>
      </w:r>
    </w:p>
    <w:p w14:paraId="2796C518" w14:textId="77777777" w:rsidR="00FD0545" w:rsidRPr="00E13CE5" w:rsidRDefault="00FD0545" w:rsidP="00F83E93">
      <w:pPr>
        <w:numPr>
          <w:ilvl w:val="0"/>
          <w:numId w:val="153"/>
        </w:numPr>
        <w:contextualSpacing/>
        <w:rPr>
          <w:rFonts w:eastAsia="Calibri"/>
          <w:sz w:val="22"/>
          <w:szCs w:val="22"/>
        </w:rPr>
      </w:pPr>
      <w:r w:rsidRPr="00E13CE5">
        <w:rPr>
          <w:rFonts w:eastAsia="Calibri"/>
          <w:sz w:val="22"/>
          <w:szCs w:val="22"/>
        </w:rPr>
        <w:t>Intézmény-management és közéleti tevékenység</w:t>
      </w:r>
    </w:p>
    <w:p w14:paraId="5E13FE76" w14:textId="77777777" w:rsidR="00FD0545" w:rsidRPr="00E13CE5" w:rsidRDefault="00FD0545" w:rsidP="00FD0545">
      <w:pPr>
        <w:rPr>
          <w:rFonts w:eastAsia="Calibri"/>
          <w:sz w:val="22"/>
          <w:szCs w:val="22"/>
        </w:rPr>
      </w:pPr>
      <w:r w:rsidRPr="00E13CE5">
        <w:rPr>
          <w:rFonts w:eastAsia="Calibri"/>
          <w:sz w:val="22"/>
          <w:szCs w:val="22"/>
        </w:rPr>
        <w:t xml:space="preserve">Ezt követi az egyes oktatói </w:t>
      </w:r>
      <w:proofErr w:type="gramStart"/>
      <w:r w:rsidRPr="00E13CE5">
        <w:rPr>
          <w:rFonts w:eastAsia="Calibri"/>
          <w:sz w:val="22"/>
          <w:szCs w:val="22"/>
        </w:rPr>
        <w:t>kategóriákban</w:t>
      </w:r>
      <w:proofErr w:type="gramEnd"/>
      <w:r w:rsidRPr="00E13CE5">
        <w:rPr>
          <w:rFonts w:eastAsia="Calibri"/>
          <w:sz w:val="22"/>
          <w:szCs w:val="22"/>
        </w:rPr>
        <w:t xml:space="preserve"> elérhető összesített pontszámok minősítése.</w:t>
      </w:r>
    </w:p>
    <w:p w14:paraId="4015DF6A" w14:textId="77777777" w:rsidR="00FD0545" w:rsidRPr="00E13CE5" w:rsidRDefault="00FD0545" w:rsidP="00FD0545">
      <w:pPr>
        <w:rPr>
          <w:rFonts w:eastAsia="Calibri"/>
          <w:sz w:val="22"/>
          <w:szCs w:val="22"/>
        </w:rPr>
      </w:pPr>
    </w:p>
    <w:p w14:paraId="2228CA97" w14:textId="77777777" w:rsidR="00FD0545" w:rsidRPr="00E13CE5" w:rsidRDefault="00FD0545" w:rsidP="00FD0545">
      <w:pPr>
        <w:jc w:val="both"/>
        <w:rPr>
          <w:rFonts w:eastAsia="Calibri"/>
          <w:sz w:val="22"/>
          <w:szCs w:val="22"/>
        </w:rPr>
      </w:pPr>
      <w:r w:rsidRPr="00E13CE5">
        <w:rPr>
          <w:rFonts w:eastAsia="Calibri"/>
          <w:sz w:val="22"/>
          <w:szCs w:val="22"/>
        </w:rPr>
        <w:t>(3) Nem kell értékelni a közalkalmazott teljesítményét és őt minősíteni sem kell, ha a közalkalmazotti jogviszony létesítésére az értékeléssel érintett tanévben került sor vagy ebben az időszakban fizetés nélküli szabadságban részesült, illetve tartós távolléten volt.</w:t>
      </w:r>
    </w:p>
    <w:p w14:paraId="11F0B79C" w14:textId="77777777" w:rsidR="00FD0545" w:rsidRPr="00E13CE5" w:rsidRDefault="00FD0545" w:rsidP="00FD0545">
      <w:pPr>
        <w:jc w:val="both"/>
        <w:rPr>
          <w:rFonts w:eastAsia="Calibri"/>
          <w:sz w:val="22"/>
          <w:szCs w:val="22"/>
        </w:rPr>
      </w:pPr>
    </w:p>
    <w:p w14:paraId="5AC08A5A" w14:textId="77777777" w:rsidR="00FD0545" w:rsidRPr="00E13CE5" w:rsidRDefault="00FD0545" w:rsidP="00FD0545">
      <w:pPr>
        <w:jc w:val="center"/>
        <w:rPr>
          <w:rFonts w:eastAsia="Calibri"/>
          <w:b/>
          <w:sz w:val="22"/>
          <w:szCs w:val="22"/>
        </w:rPr>
      </w:pPr>
      <w:r w:rsidRPr="00E13CE5">
        <w:rPr>
          <w:rFonts w:eastAsia="Calibri"/>
          <w:b/>
          <w:sz w:val="22"/>
          <w:szCs w:val="22"/>
        </w:rPr>
        <w:t>A szabályzat célja</w:t>
      </w:r>
    </w:p>
    <w:p w14:paraId="27887EC1" w14:textId="77777777" w:rsidR="00FD0545" w:rsidRPr="00E13CE5" w:rsidRDefault="00FD0545" w:rsidP="00FD0545">
      <w:pPr>
        <w:jc w:val="center"/>
        <w:rPr>
          <w:rFonts w:eastAsia="Calibri"/>
          <w:b/>
          <w:sz w:val="22"/>
          <w:szCs w:val="22"/>
        </w:rPr>
      </w:pPr>
    </w:p>
    <w:p w14:paraId="3A7386B5" w14:textId="77777777" w:rsidR="00FD0545" w:rsidRPr="00E13CE5" w:rsidRDefault="00FD0545" w:rsidP="00FD0545">
      <w:pPr>
        <w:jc w:val="both"/>
        <w:rPr>
          <w:rFonts w:eastAsia="Calibri"/>
          <w:sz w:val="22"/>
          <w:szCs w:val="22"/>
        </w:rPr>
      </w:pPr>
      <w:r w:rsidRPr="00E13CE5">
        <w:rPr>
          <w:rFonts w:eastAsia="Calibri"/>
          <w:b/>
          <w:sz w:val="22"/>
          <w:szCs w:val="22"/>
        </w:rPr>
        <w:t>2. §</w:t>
      </w:r>
      <w:r w:rsidRPr="00E13CE5">
        <w:rPr>
          <w:rFonts w:eastAsia="Calibri"/>
          <w:sz w:val="22"/>
          <w:szCs w:val="22"/>
        </w:rPr>
        <w:t xml:space="preserve"> Jelen szabályzat célja az oktatók oktatási, intézmény menedzsment és kutatási tevékenységének </w:t>
      </w:r>
      <w:proofErr w:type="gramStart"/>
      <w:r w:rsidRPr="00E13CE5">
        <w:rPr>
          <w:rFonts w:eastAsia="Calibri"/>
          <w:sz w:val="22"/>
          <w:szCs w:val="22"/>
        </w:rPr>
        <w:t>komplex</w:t>
      </w:r>
      <w:proofErr w:type="gramEnd"/>
      <w:r w:rsidRPr="00E13CE5">
        <w:rPr>
          <w:rFonts w:eastAsia="Calibri"/>
          <w:sz w:val="22"/>
          <w:szCs w:val="22"/>
        </w:rPr>
        <w:t xml:space="preserve"> mérése a Kar által működtetett teljesítményértékelési rendszer révén. A TÉR egy olyan </w:t>
      </w:r>
      <w:proofErr w:type="gramStart"/>
      <w:r w:rsidRPr="00E13CE5">
        <w:rPr>
          <w:rFonts w:eastAsia="Calibri"/>
          <w:sz w:val="22"/>
          <w:szCs w:val="22"/>
        </w:rPr>
        <w:t>komplex</w:t>
      </w:r>
      <w:proofErr w:type="gramEnd"/>
      <w:r w:rsidRPr="00E13CE5">
        <w:rPr>
          <w:rFonts w:eastAsia="Calibri"/>
          <w:sz w:val="22"/>
          <w:szCs w:val="22"/>
        </w:rPr>
        <w:t xml:space="preserve"> teljesítményértékelési rendszer, mely tényszerű és objektív információt nyújt az oktatók, kutatók teljesítményének alakulásáról és ehhez kapcsolódóan megfelelő minősítést tud adni munkájukról, valamint elősegíti a szakmai fejlődésüket. A TÉR további célja, hogy fejlődjön a munkatársak szervezeti célokkal való azonosulása, a szervezeti egységvezetők jobban megismerjék a munkafolyamatokat és fejlődjön az intézményi kommunikáció. </w:t>
      </w:r>
    </w:p>
    <w:p w14:paraId="7D03AA5D" w14:textId="77777777" w:rsidR="00FD0545" w:rsidRPr="00E13CE5" w:rsidRDefault="00FD0545" w:rsidP="00FD0545">
      <w:pPr>
        <w:jc w:val="both"/>
        <w:rPr>
          <w:rFonts w:eastAsia="Calibri"/>
          <w:sz w:val="22"/>
          <w:szCs w:val="22"/>
        </w:rPr>
      </w:pPr>
    </w:p>
    <w:p w14:paraId="10AB9F1C" w14:textId="77777777" w:rsidR="00FD0545" w:rsidRPr="00E13CE5" w:rsidRDefault="00FD0545" w:rsidP="00FD0545">
      <w:pPr>
        <w:jc w:val="center"/>
        <w:rPr>
          <w:rFonts w:eastAsia="Calibri"/>
          <w:b/>
          <w:sz w:val="22"/>
          <w:szCs w:val="22"/>
        </w:rPr>
      </w:pPr>
      <w:r w:rsidRPr="00E13CE5">
        <w:rPr>
          <w:rFonts w:eastAsia="Calibri"/>
          <w:b/>
          <w:sz w:val="22"/>
          <w:szCs w:val="22"/>
        </w:rPr>
        <w:t>A TÉR tárgya</w:t>
      </w:r>
    </w:p>
    <w:p w14:paraId="2303A940" w14:textId="77777777" w:rsidR="00FD0545" w:rsidRPr="00E13CE5" w:rsidRDefault="00FD0545" w:rsidP="00FD0545">
      <w:pPr>
        <w:jc w:val="center"/>
        <w:rPr>
          <w:rFonts w:eastAsia="Calibri"/>
          <w:b/>
          <w:sz w:val="22"/>
          <w:szCs w:val="22"/>
        </w:rPr>
      </w:pPr>
    </w:p>
    <w:p w14:paraId="5E80B8F1" w14:textId="77777777" w:rsidR="00FD0545" w:rsidRPr="00E13CE5" w:rsidRDefault="00FD0545" w:rsidP="00FD0545">
      <w:pPr>
        <w:jc w:val="both"/>
        <w:rPr>
          <w:rFonts w:eastAsia="Calibri"/>
          <w:sz w:val="22"/>
          <w:szCs w:val="22"/>
        </w:rPr>
      </w:pPr>
      <w:r w:rsidRPr="00E13CE5">
        <w:rPr>
          <w:rFonts w:eastAsia="Calibri"/>
          <w:b/>
          <w:sz w:val="22"/>
          <w:szCs w:val="22"/>
        </w:rPr>
        <w:t>3. §</w:t>
      </w:r>
      <w:r w:rsidRPr="00E13CE5">
        <w:rPr>
          <w:rFonts w:eastAsia="Calibri"/>
          <w:sz w:val="22"/>
          <w:szCs w:val="22"/>
        </w:rPr>
        <w:t xml:space="preserve"> Az oktatói teljesítmények számba vétele egy szoftver segítségével történik, amely az oktatók adatszolgáltatásán alapul. A teljesítményeket súlyozott pontszámrendszerbe ágyazza, így lehetőséget nyújt arra, hogy az oktatók egyéni </w:t>
      </w:r>
      <w:proofErr w:type="spellStart"/>
      <w:r w:rsidRPr="00E13CE5">
        <w:rPr>
          <w:rFonts w:eastAsia="Calibri"/>
          <w:sz w:val="22"/>
          <w:szCs w:val="22"/>
        </w:rPr>
        <w:t>portfólióikat</w:t>
      </w:r>
      <w:proofErr w:type="spellEnd"/>
      <w:r w:rsidRPr="00E13CE5">
        <w:rPr>
          <w:rFonts w:eastAsia="Calibri"/>
          <w:sz w:val="22"/>
          <w:szCs w:val="22"/>
        </w:rPr>
        <w:t xml:space="preserve"> kialakítsák, a kari vezetés pedig ez alapján az oktatói minősítést évente elvégezhesse.</w:t>
      </w:r>
    </w:p>
    <w:p w14:paraId="0B43D457" w14:textId="77777777" w:rsidR="00FD0545" w:rsidRPr="00E13CE5" w:rsidRDefault="00FD0545" w:rsidP="00FD0545">
      <w:pPr>
        <w:jc w:val="both"/>
        <w:rPr>
          <w:rFonts w:eastAsia="Calibri"/>
          <w:sz w:val="22"/>
          <w:szCs w:val="22"/>
        </w:rPr>
      </w:pPr>
    </w:p>
    <w:p w14:paraId="4435B877" w14:textId="77777777" w:rsidR="00FD0545" w:rsidRPr="00E13CE5" w:rsidRDefault="00FD0545" w:rsidP="00FD0545">
      <w:pPr>
        <w:jc w:val="center"/>
        <w:rPr>
          <w:rFonts w:eastAsia="Calibri"/>
          <w:b/>
          <w:sz w:val="22"/>
          <w:szCs w:val="22"/>
        </w:rPr>
      </w:pPr>
      <w:r w:rsidRPr="00E13CE5">
        <w:rPr>
          <w:rFonts w:eastAsia="Calibri"/>
          <w:b/>
          <w:sz w:val="22"/>
          <w:szCs w:val="22"/>
        </w:rPr>
        <w:t>A TÉR folyamata</w:t>
      </w:r>
    </w:p>
    <w:p w14:paraId="5BF2832C" w14:textId="77777777" w:rsidR="00FD0545" w:rsidRPr="00E13CE5" w:rsidRDefault="00FD0545" w:rsidP="00FD0545">
      <w:pPr>
        <w:jc w:val="center"/>
        <w:rPr>
          <w:rFonts w:eastAsia="Calibri"/>
          <w:b/>
          <w:sz w:val="22"/>
          <w:szCs w:val="22"/>
        </w:rPr>
      </w:pPr>
    </w:p>
    <w:p w14:paraId="019F15F1" w14:textId="77777777" w:rsidR="00FD0545" w:rsidRPr="00E13CE5" w:rsidRDefault="00FD0545" w:rsidP="00FD0545">
      <w:pPr>
        <w:jc w:val="both"/>
        <w:rPr>
          <w:rFonts w:eastAsia="Calibri"/>
          <w:sz w:val="22"/>
          <w:szCs w:val="22"/>
        </w:rPr>
      </w:pPr>
      <w:r w:rsidRPr="00E13CE5">
        <w:rPr>
          <w:rFonts w:eastAsia="Calibri"/>
          <w:b/>
          <w:sz w:val="22"/>
          <w:szCs w:val="22"/>
        </w:rPr>
        <w:t>4. §</w:t>
      </w:r>
      <w:r w:rsidRPr="00E13CE5">
        <w:rPr>
          <w:rFonts w:eastAsia="Calibri"/>
          <w:sz w:val="22"/>
          <w:szCs w:val="22"/>
        </w:rPr>
        <w:t xml:space="preserve"> Az oktatók minden tanév végén elkészítik beszámolójukat. Ezt követően egy teljesítményértékelő beszélgetésen vesznek részt, melynek kimenete az oktató teljesítményének minősítése. </w:t>
      </w:r>
    </w:p>
    <w:p w14:paraId="4F1961B1" w14:textId="77777777" w:rsidR="00FD0545" w:rsidRPr="00E13CE5" w:rsidRDefault="00FD0545" w:rsidP="00FD0545">
      <w:pPr>
        <w:jc w:val="center"/>
        <w:rPr>
          <w:rFonts w:eastAsia="Calibri"/>
          <w:b/>
          <w:sz w:val="22"/>
          <w:szCs w:val="22"/>
        </w:rPr>
      </w:pPr>
    </w:p>
    <w:p w14:paraId="1BC5A469" w14:textId="77777777" w:rsidR="00FD0545" w:rsidRPr="00E13CE5" w:rsidRDefault="00FD0545" w:rsidP="00FD0545">
      <w:pPr>
        <w:jc w:val="center"/>
        <w:rPr>
          <w:rFonts w:eastAsia="Calibri"/>
          <w:b/>
          <w:sz w:val="22"/>
          <w:szCs w:val="22"/>
        </w:rPr>
      </w:pPr>
      <w:r w:rsidRPr="00E13CE5">
        <w:rPr>
          <w:rFonts w:eastAsia="Calibri"/>
          <w:b/>
          <w:sz w:val="22"/>
          <w:szCs w:val="22"/>
        </w:rPr>
        <w:t>A TÉR rendszere</w:t>
      </w:r>
    </w:p>
    <w:p w14:paraId="08411EAC" w14:textId="77777777" w:rsidR="00FD0545" w:rsidRPr="00E13CE5" w:rsidRDefault="00FD0545" w:rsidP="00FD0545">
      <w:pPr>
        <w:jc w:val="center"/>
        <w:rPr>
          <w:rFonts w:eastAsia="Calibri"/>
          <w:b/>
          <w:sz w:val="22"/>
          <w:szCs w:val="22"/>
        </w:rPr>
      </w:pPr>
    </w:p>
    <w:p w14:paraId="45426DBF" w14:textId="77777777" w:rsidR="00FD0545" w:rsidRPr="00E13CE5" w:rsidRDefault="00FD0545" w:rsidP="00FD0545">
      <w:pPr>
        <w:jc w:val="both"/>
        <w:rPr>
          <w:rFonts w:eastAsia="Calibri"/>
          <w:sz w:val="22"/>
          <w:szCs w:val="22"/>
        </w:rPr>
      </w:pPr>
      <w:r w:rsidRPr="00E13CE5">
        <w:rPr>
          <w:rFonts w:eastAsia="Calibri"/>
          <w:b/>
          <w:sz w:val="22"/>
          <w:szCs w:val="22"/>
        </w:rPr>
        <w:t>5. §</w:t>
      </w:r>
      <w:r w:rsidRPr="00E13CE5">
        <w:rPr>
          <w:rFonts w:eastAsia="Calibri"/>
          <w:sz w:val="22"/>
          <w:szCs w:val="22"/>
        </w:rPr>
        <w:t xml:space="preserve"> (1) A TÉR alapgondolata, hogy az egymástól eltérő </w:t>
      </w:r>
      <w:proofErr w:type="gramStart"/>
      <w:r w:rsidRPr="00E13CE5">
        <w:rPr>
          <w:rFonts w:eastAsia="Calibri"/>
          <w:sz w:val="22"/>
          <w:szCs w:val="22"/>
        </w:rPr>
        <w:t>fókuszú</w:t>
      </w:r>
      <w:proofErr w:type="gramEnd"/>
      <w:r w:rsidRPr="00E13CE5">
        <w:rPr>
          <w:rFonts w:eastAsia="Calibri"/>
          <w:sz w:val="22"/>
          <w:szCs w:val="22"/>
        </w:rPr>
        <w:t xml:space="preserve"> tevékenységek összehasonlíthatóvá váljanak és összegezhetők legyenek. Az összegzés alapja, a közös nevező, a teljesítmény pont. A teljesítmény pontszámot az elvégzett munka időszükségletének közelítő mérésével állítjuk elő.</w:t>
      </w:r>
    </w:p>
    <w:p w14:paraId="20791A3F" w14:textId="77777777" w:rsidR="00FD0545" w:rsidRPr="00E13CE5" w:rsidRDefault="00FD0545" w:rsidP="00FD0545">
      <w:pPr>
        <w:jc w:val="both"/>
        <w:rPr>
          <w:rFonts w:eastAsia="Calibri"/>
          <w:sz w:val="22"/>
          <w:szCs w:val="22"/>
        </w:rPr>
      </w:pPr>
    </w:p>
    <w:p w14:paraId="60F09EE7" w14:textId="77777777" w:rsidR="00FD0545" w:rsidRPr="00E13CE5" w:rsidRDefault="00FD0545" w:rsidP="00FD0545">
      <w:pPr>
        <w:jc w:val="both"/>
        <w:rPr>
          <w:rFonts w:eastAsia="Calibri"/>
          <w:sz w:val="22"/>
          <w:szCs w:val="22"/>
        </w:rPr>
      </w:pPr>
      <w:r w:rsidRPr="00E13CE5">
        <w:rPr>
          <w:rFonts w:eastAsia="Calibri"/>
          <w:sz w:val="22"/>
          <w:szCs w:val="22"/>
        </w:rPr>
        <w:t>(2) A teljes rendszer alapértéke egy a magyar nyelvű graduális képzésben heti 2 órában, 14 héten keresztül  100%-</w:t>
      </w:r>
      <w:proofErr w:type="spellStart"/>
      <w:r w:rsidRPr="00E13CE5">
        <w:rPr>
          <w:rFonts w:eastAsia="Calibri"/>
          <w:sz w:val="22"/>
          <w:szCs w:val="22"/>
        </w:rPr>
        <w:t>ban</w:t>
      </w:r>
      <w:proofErr w:type="spellEnd"/>
      <w:r w:rsidRPr="00E13CE5">
        <w:rPr>
          <w:rFonts w:eastAsia="Calibri"/>
          <w:sz w:val="22"/>
          <w:szCs w:val="22"/>
        </w:rPr>
        <w:t xml:space="preserve"> megtartott </w:t>
      </w:r>
      <w:proofErr w:type="spellStart"/>
      <w:r w:rsidRPr="00E13CE5">
        <w:rPr>
          <w:rFonts w:eastAsia="Calibri"/>
          <w:sz w:val="22"/>
          <w:szCs w:val="22"/>
        </w:rPr>
        <w:t>elektív</w:t>
      </w:r>
      <w:proofErr w:type="spellEnd"/>
      <w:r w:rsidRPr="00E13CE5">
        <w:rPr>
          <w:rFonts w:eastAsia="Calibri"/>
          <w:sz w:val="22"/>
          <w:szCs w:val="22"/>
        </w:rPr>
        <w:t xml:space="preserve"> előadás teljesítménypont értéke, ami 28 </w:t>
      </w:r>
      <w:proofErr w:type="gramStart"/>
      <w:r w:rsidRPr="00E13CE5">
        <w:rPr>
          <w:rFonts w:eastAsia="Calibri"/>
          <w:sz w:val="22"/>
          <w:szCs w:val="22"/>
        </w:rPr>
        <w:t>kontakt órából</w:t>
      </w:r>
      <w:proofErr w:type="gramEnd"/>
      <w:r w:rsidRPr="00E13CE5">
        <w:rPr>
          <w:rFonts w:eastAsia="Calibri"/>
          <w:sz w:val="22"/>
          <w:szCs w:val="22"/>
        </w:rPr>
        <w:t xml:space="preserve"> és az ehhez szükséges felkészülési időszakból áll. Átlagosan minden </w:t>
      </w:r>
      <w:proofErr w:type="gramStart"/>
      <w:r w:rsidRPr="00E13CE5">
        <w:rPr>
          <w:rFonts w:eastAsia="Calibri"/>
          <w:sz w:val="22"/>
          <w:szCs w:val="22"/>
        </w:rPr>
        <w:t>kontakt óra</w:t>
      </w:r>
      <w:proofErr w:type="gramEnd"/>
      <w:r w:rsidRPr="00E13CE5">
        <w:rPr>
          <w:rFonts w:eastAsia="Calibri"/>
          <w:sz w:val="22"/>
          <w:szCs w:val="22"/>
        </w:rPr>
        <w:t xml:space="preserve"> megtartásához fél óra </w:t>
      </w:r>
      <w:r w:rsidRPr="00E13CE5">
        <w:rPr>
          <w:rFonts w:eastAsia="Calibri"/>
          <w:sz w:val="22"/>
          <w:szCs w:val="22"/>
        </w:rPr>
        <w:lastRenderedPageBreak/>
        <w:t>felkészülésre van szükség, azaz egy fenti kurzus pont értéke 42. Minden teljesítmény erre az alapértékre vezethető vissza, annak származtatott értéke.</w:t>
      </w:r>
    </w:p>
    <w:p w14:paraId="0A0CF0B8" w14:textId="77777777" w:rsidR="00FD0545" w:rsidRPr="00E13CE5" w:rsidRDefault="00FD0545" w:rsidP="00FD0545">
      <w:pPr>
        <w:jc w:val="both"/>
        <w:rPr>
          <w:rFonts w:eastAsia="Calibri"/>
          <w:sz w:val="22"/>
          <w:szCs w:val="22"/>
        </w:rPr>
      </w:pPr>
    </w:p>
    <w:p w14:paraId="2D7B6C6E" w14:textId="77777777" w:rsidR="00FD0545" w:rsidRPr="00E13CE5" w:rsidRDefault="00FD0545" w:rsidP="00FD0545">
      <w:pPr>
        <w:ind w:left="360"/>
        <w:jc w:val="center"/>
        <w:rPr>
          <w:rFonts w:eastAsia="Calibri"/>
          <w:b/>
          <w:sz w:val="22"/>
          <w:szCs w:val="22"/>
        </w:rPr>
      </w:pPr>
      <w:r w:rsidRPr="00E13CE5">
        <w:rPr>
          <w:rFonts w:eastAsia="Calibri"/>
          <w:b/>
          <w:sz w:val="22"/>
          <w:szCs w:val="22"/>
        </w:rPr>
        <w:t>Oktatási tevékenység mérése</w:t>
      </w:r>
    </w:p>
    <w:p w14:paraId="72FB8A87" w14:textId="77777777" w:rsidR="00FD0545" w:rsidRPr="00E13CE5" w:rsidRDefault="00FD0545" w:rsidP="00FD0545">
      <w:pPr>
        <w:ind w:left="360"/>
        <w:jc w:val="center"/>
        <w:rPr>
          <w:rFonts w:eastAsia="Calibri"/>
          <w:b/>
          <w:sz w:val="22"/>
          <w:szCs w:val="22"/>
        </w:rPr>
      </w:pPr>
    </w:p>
    <w:p w14:paraId="36FE63B1" w14:textId="77777777" w:rsidR="00FD0545" w:rsidRPr="00E13CE5" w:rsidRDefault="00FD0545" w:rsidP="00FD0545">
      <w:pPr>
        <w:jc w:val="both"/>
        <w:rPr>
          <w:rFonts w:eastAsia="Calibri"/>
          <w:sz w:val="22"/>
          <w:szCs w:val="22"/>
        </w:rPr>
      </w:pPr>
      <w:r w:rsidRPr="00E13CE5">
        <w:rPr>
          <w:rFonts w:eastAsia="Calibri"/>
          <w:b/>
          <w:sz w:val="22"/>
          <w:szCs w:val="22"/>
        </w:rPr>
        <w:t>6. §</w:t>
      </w:r>
      <w:r w:rsidRPr="00E13CE5">
        <w:rPr>
          <w:rFonts w:eastAsia="Calibri"/>
          <w:sz w:val="22"/>
          <w:szCs w:val="22"/>
        </w:rPr>
        <w:t xml:space="preserve"> (1) Az oktatási tevékenység mérése három síkon történik: kontakt óratartás, félévközi számonkérés, egyéb oktatási tevékenység.</w:t>
      </w:r>
    </w:p>
    <w:p w14:paraId="58434083" w14:textId="77777777" w:rsidR="00FD0545" w:rsidRPr="00E13CE5" w:rsidRDefault="00FD0545" w:rsidP="00FD0545">
      <w:pPr>
        <w:jc w:val="both"/>
        <w:rPr>
          <w:rFonts w:eastAsia="Calibri"/>
          <w:sz w:val="22"/>
          <w:szCs w:val="22"/>
        </w:rPr>
      </w:pPr>
    </w:p>
    <w:p w14:paraId="270EB8CF" w14:textId="77777777" w:rsidR="00FD0545" w:rsidRPr="00E13CE5" w:rsidRDefault="00FD0545" w:rsidP="00FD0545">
      <w:pPr>
        <w:jc w:val="both"/>
        <w:rPr>
          <w:rFonts w:eastAsia="Calibri"/>
          <w:sz w:val="22"/>
          <w:szCs w:val="22"/>
        </w:rPr>
      </w:pPr>
      <w:r w:rsidRPr="00E13CE5">
        <w:rPr>
          <w:rFonts w:eastAsia="Calibri"/>
          <w:sz w:val="22"/>
          <w:szCs w:val="22"/>
        </w:rPr>
        <w:t>(2) Kontakt óratartás pontértéke: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66"/>
        <w:gridCol w:w="1372"/>
        <w:gridCol w:w="1372"/>
        <w:gridCol w:w="1271"/>
      </w:tblGrid>
      <w:tr w:rsidR="00FD0545" w:rsidRPr="00C376DE" w14:paraId="2F751110" w14:textId="77777777" w:rsidTr="00026782">
        <w:trPr>
          <w:trHeight w:val="300"/>
        </w:trPr>
        <w:tc>
          <w:tcPr>
            <w:tcW w:w="3681" w:type="dxa"/>
            <w:shd w:val="clear" w:color="auto" w:fill="E7E6E6"/>
            <w:noWrap/>
            <w:hideMark/>
          </w:tcPr>
          <w:p w14:paraId="7AD4A128" w14:textId="77777777" w:rsidR="00FD0545" w:rsidRPr="00C376DE" w:rsidRDefault="00FD0545" w:rsidP="00026782">
            <w:pPr>
              <w:jc w:val="both"/>
              <w:rPr>
                <w:rFonts w:eastAsia="Calibri"/>
                <w:b/>
                <w:sz w:val="22"/>
                <w:szCs w:val="22"/>
              </w:rPr>
            </w:pPr>
            <w:r w:rsidRPr="00C376DE">
              <w:rPr>
                <w:rFonts w:eastAsia="Calibri"/>
                <w:b/>
                <w:sz w:val="22"/>
                <w:szCs w:val="22"/>
              </w:rPr>
              <w:t xml:space="preserve">Egy </w:t>
            </w:r>
            <w:proofErr w:type="gramStart"/>
            <w:r w:rsidRPr="00C376DE">
              <w:rPr>
                <w:rFonts w:eastAsia="Calibri"/>
                <w:b/>
                <w:sz w:val="22"/>
                <w:szCs w:val="22"/>
              </w:rPr>
              <w:t>kontakt óra</w:t>
            </w:r>
            <w:proofErr w:type="gramEnd"/>
            <w:r w:rsidRPr="00C376DE">
              <w:rPr>
                <w:rFonts w:eastAsia="Calibri"/>
                <w:b/>
                <w:sz w:val="22"/>
                <w:szCs w:val="22"/>
              </w:rPr>
              <w:t xml:space="preserve"> nyerspont értéke</w:t>
            </w:r>
          </w:p>
        </w:tc>
        <w:tc>
          <w:tcPr>
            <w:tcW w:w="1366" w:type="dxa"/>
            <w:shd w:val="clear" w:color="auto" w:fill="E7E6E6"/>
            <w:noWrap/>
            <w:vAlign w:val="center"/>
            <w:hideMark/>
          </w:tcPr>
          <w:p w14:paraId="4A377211" w14:textId="77777777" w:rsidR="00FD0545" w:rsidRPr="00C376DE" w:rsidRDefault="00FD0545" w:rsidP="00026782">
            <w:pPr>
              <w:jc w:val="center"/>
              <w:rPr>
                <w:rFonts w:eastAsia="Calibri"/>
                <w:b/>
                <w:sz w:val="22"/>
                <w:szCs w:val="22"/>
              </w:rPr>
            </w:pPr>
            <w:r w:rsidRPr="00C376DE">
              <w:rPr>
                <w:rFonts w:eastAsia="Calibri"/>
                <w:b/>
                <w:sz w:val="22"/>
                <w:szCs w:val="22"/>
              </w:rPr>
              <w:t>Kötelező gyakorlat</w:t>
            </w:r>
          </w:p>
        </w:tc>
        <w:tc>
          <w:tcPr>
            <w:tcW w:w="1372" w:type="dxa"/>
            <w:shd w:val="clear" w:color="auto" w:fill="E7E6E6"/>
            <w:noWrap/>
            <w:vAlign w:val="center"/>
            <w:hideMark/>
          </w:tcPr>
          <w:p w14:paraId="4C1FDDCD" w14:textId="77777777" w:rsidR="00FD0545" w:rsidRPr="00C376DE" w:rsidRDefault="00FD0545" w:rsidP="00026782">
            <w:pPr>
              <w:jc w:val="center"/>
              <w:rPr>
                <w:rFonts w:eastAsia="Calibri"/>
                <w:b/>
                <w:sz w:val="22"/>
                <w:szCs w:val="22"/>
              </w:rPr>
            </w:pPr>
            <w:proofErr w:type="spellStart"/>
            <w:r w:rsidRPr="00C376DE">
              <w:rPr>
                <w:rFonts w:eastAsia="Calibri"/>
                <w:b/>
                <w:sz w:val="22"/>
                <w:szCs w:val="22"/>
              </w:rPr>
              <w:t>Elektív</w:t>
            </w:r>
            <w:proofErr w:type="spellEnd"/>
            <w:r w:rsidRPr="00C376DE">
              <w:rPr>
                <w:rFonts w:eastAsia="Calibri"/>
                <w:b/>
                <w:sz w:val="22"/>
                <w:szCs w:val="22"/>
              </w:rPr>
              <w:t xml:space="preserve"> előadás</w:t>
            </w:r>
          </w:p>
        </w:tc>
        <w:tc>
          <w:tcPr>
            <w:tcW w:w="1372" w:type="dxa"/>
            <w:shd w:val="clear" w:color="auto" w:fill="E7E6E6"/>
            <w:noWrap/>
            <w:vAlign w:val="center"/>
            <w:hideMark/>
          </w:tcPr>
          <w:p w14:paraId="7D8CE353" w14:textId="77777777" w:rsidR="00FD0545" w:rsidRPr="00C376DE" w:rsidRDefault="00FD0545" w:rsidP="00026782">
            <w:pPr>
              <w:jc w:val="center"/>
              <w:rPr>
                <w:rFonts w:eastAsia="Calibri"/>
                <w:b/>
                <w:sz w:val="22"/>
                <w:szCs w:val="22"/>
              </w:rPr>
            </w:pPr>
            <w:proofErr w:type="gramStart"/>
            <w:r w:rsidRPr="00C376DE">
              <w:rPr>
                <w:rFonts w:eastAsia="Calibri"/>
                <w:b/>
                <w:sz w:val="22"/>
                <w:szCs w:val="22"/>
              </w:rPr>
              <w:t>Fakultatív</w:t>
            </w:r>
            <w:proofErr w:type="gramEnd"/>
            <w:r w:rsidRPr="00C376DE">
              <w:rPr>
                <w:rFonts w:eastAsia="Calibri"/>
                <w:b/>
                <w:sz w:val="22"/>
                <w:szCs w:val="22"/>
              </w:rPr>
              <w:t xml:space="preserve"> előadás</w:t>
            </w:r>
          </w:p>
        </w:tc>
        <w:tc>
          <w:tcPr>
            <w:tcW w:w="1271" w:type="dxa"/>
            <w:shd w:val="clear" w:color="auto" w:fill="E7E6E6"/>
            <w:noWrap/>
            <w:vAlign w:val="center"/>
            <w:hideMark/>
          </w:tcPr>
          <w:p w14:paraId="20F9EFE6" w14:textId="77777777" w:rsidR="00FD0545" w:rsidRPr="00C376DE" w:rsidRDefault="00FD0545" w:rsidP="00026782">
            <w:pPr>
              <w:jc w:val="center"/>
              <w:rPr>
                <w:rFonts w:eastAsia="Calibri"/>
                <w:b/>
                <w:sz w:val="22"/>
                <w:szCs w:val="22"/>
              </w:rPr>
            </w:pPr>
            <w:r w:rsidRPr="00C376DE">
              <w:rPr>
                <w:rFonts w:eastAsia="Calibri"/>
                <w:b/>
                <w:sz w:val="22"/>
                <w:szCs w:val="22"/>
              </w:rPr>
              <w:t>Kötelező előadás</w:t>
            </w:r>
          </w:p>
        </w:tc>
      </w:tr>
      <w:tr w:rsidR="00FD0545" w:rsidRPr="00C376DE" w14:paraId="5564FE42" w14:textId="77777777" w:rsidTr="00026782">
        <w:trPr>
          <w:trHeight w:val="300"/>
        </w:trPr>
        <w:tc>
          <w:tcPr>
            <w:tcW w:w="3681" w:type="dxa"/>
            <w:shd w:val="clear" w:color="auto" w:fill="auto"/>
            <w:noWrap/>
            <w:hideMark/>
          </w:tcPr>
          <w:p w14:paraId="391C69BB" w14:textId="77777777" w:rsidR="00FD0545" w:rsidRPr="00C376DE" w:rsidRDefault="00FD0545" w:rsidP="00026782">
            <w:pPr>
              <w:jc w:val="both"/>
              <w:rPr>
                <w:rFonts w:eastAsia="Calibri"/>
                <w:sz w:val="22"/>
                <w:szCs w:val="22"/>
              </w:rPr>
            </w:pPr>
            <w:r w:rsidRPr="00C376DE">
              <w:rPr>
                <w:rFonts w:eastAsia="Calibri"/>
                <w:sz w:val="22"/>
                <w:szCs w:val="22"/>
              </w:rPr>
              <w:t>Magyar nyelvű graduális képzés</w:t>
            </w:r>
          </w:p>
        </w:tc>
        <w:tc>
          <w:tcPr>
            <w:tcW w:w="1366" w:type="dxa"/>
            <w:shd w:val="clear" w:color="auto" w:fill="auto"/>
            <w:noWrap/>
            <w:vAlign w:val="center"/>
            <w:hideMark/>
          </w:tcPr>
          <w:p w14:paraId="1210F963" w14:textId="77777777" w:rsidR="00FD0545" w:rsidRPr="00C376DE" w:rsidRDefault="00FD0545" w:rsidP="00026782">
            <w:pPr>
              <w:jc w:val="center"/>
              <w:rPr>
                <w:rFonts w:eastAsia="Calibri"/>
                <w:sz w:val="22"/>
                <w:szCs w:val="22"/>
              </w:rPr>
            </w:pPr>
            <w:r w:rsidRPr="00C376DE">
              <w:rPr>
                <w:rFonts w:eastAsia="Calibri"/>
                <w:sz w:val="22"/>
                <w:szCs w:val="22"/>
              </w:rPr>
              <w:t>1,63</w:t>
            </w:r>
          </w:p>
        </w:tc>
        <w:tc>
          <w:tcPr>
            <w:tcW w:w="1372" w:type="dxa"/>
            <w:shd w:val="clear" w:color="auto" w:fill="auto"/>
            <w:noWrap/>
            <w:vAlign w:val="center"/>
            <w:hideMark/>
          </w:tcPr>
          <w:p w14:paraId="303C0543" w14:textId="77777777" w:rsidR="00FD0545" w:rsidRPr="00C376DE" w:rsidRDefault="00FD0545" w:rsidP="00026782">
            <w:pPr>
              <w:jc w:val="center"/>
              <w:rPr>
                <w:rFonts w:eastAsia="Calibri"/>
                <w:sz w:val="22"/>
                <w:szCs w:val="22"/>
              </w:rPr>
            </w:pPr>
            <w:r w:rsidRPr="00C376DE">
              <w:rPr>
                <w:rFonts w:eastAsia="Calibri"/>
                <w:sz w:val="22"/>
                <w:szCs w:val="22"/>
              </w:rPr>
              <w:t>1,50</w:t>
            </w:r>
          </w:p>
        </w:tc>
        <w:tc>
          <w:tcPr>
            <w:tcW w:w="1372" w:type="dxa"/>
            <w:shd w:val="clear" w:color="auto" w:fill="auto"/>
            <w:noWrap/>
            <w:vAlign w:val="center"/>
            <w:hideMark/>
          </w:tcPr>
          <w:p w14:paraId="09A29AF5" w14:textId="77777777" w:rsidR="00FD0545" w:rsidRPr="00C376DE" w:rsidRDefault="00FD0545" w:rsidP="00026782">
            <w:pPr>
              <w:jc w:val="center"/>
              <w:rPr>
                <w:rFonts w:eastAsia="Calibri"/>
                <w:sz w:val="22"/>
                <w:szCs w:val="22"/>
              </w:rPr>
            </w:pPr>
            <w:r w:rsidRPr="00C376DE">
              <w:rPr>
                <w:rFonts w:eastAsia="Calibri"/>
                <w:sz w:val="22"/>
                <w:szCs w:val="22"/>
              </w:rPr>
              <w:t>1,05</w:t>
            </w:r>
          </w:p>
        </w:tc>
        <w:tc>
          <w:tcPr>
            <w:tcW w:w="1271" w:type="dxa"/>
            <w:shd w:val="clear" w:color="auto" w:fill="auto"/>
            <w:noWrap/>
            <w:vAlign w:val="center"/>
            <w:hideMark/>
          </w:tcPr>
          <w:p w14:paraId="3E1F64A6" w14:textId="77777777" w:rsidR="00FD0545" w:rsidRPr="00C376DE" w:rsidRDefault="00FD0545" w:rsidP="00026782">
            <w:pPr>
              <w:jc w:val="center"/>
              <w:rPr>
                <w:rFonts w:eastAsia="Calibri"/>
                <w:sz w:val="22"/>
                <w:szCs w:val="22"/>
              </w:rPr>
            </w:pPr>
            <w:r w:rsidRPr="00C376DE">
              <w:rPr>
                <w:rFonts w:eastAsia="Calibri"/>
                <w:sz w:val="22"/>
                <w:szCs w:val="22"/>
              </w:rPr>
              <w:t>1,95</w:t>
            </w:r>
          </w:p>
        </w:tc>
      </w:tr>
      <w:tr w:rsidR="00FD0545" w:rsidRPr="00C376DE" w14:paraId="0639591E" w14:textId="77777777" w:rsidTr="00026782">
        <w:trPr>
          <w:trHeight w:val="300"/>
        </w:trPr>
        <w:tc>
          <w:tcPr>
            <w:tcW w:w="3681" w:type="dxa"/>
            <w:shd w:val="clear" w:color="auto" w:fill="auto"/>
            <w:noWrap/>
            <w:hideMark/>
          </w:tcPr>
          <w:p w14:paraId="1E7B0E88" w14:textId="77777777" w:rsidR="00FD0545" w:rsidRPr="00C376DE" w:rsidRDefault="00FD0545" w:rsidP="00026782">
            <w:pPr>
              <w:jc w:val="both"/>
              <w:rPr>
                <w:rFonts w:eastAsia="Calibri"/>
                <w:sz w:val="22"/>
                <w:szCs w:val="22"/>
              </w:rPr>
            </w:pPr>
            <w:r w:rsidRPr="00C376DE">
              <w:rPr>
                <w:rFonts w:eastAsia="Calibri"/>
                <w:sz w:val="22"/>
                <w:szCs w:val="22"/>
              </w:rPr>
              <w:t>Idegen nyelvű ANGOL graduális képzés</w:t>
            </w:r>
          </w:p>
        </w:tc>
        <w:tc>
          <w:tcPr>
            <w:tcW w:w="1366" w:type="dxa"/>
            <w:shd w:val="clear" w:color="auto" w:fill="auto"/>
            <w:noWrap/>
            <w:vAlign w:val="center"/>
            <w:hideMark/>
          </w:tcPr>
          <w:p w14:paraId="71E9481A" w14:textId="77777777" w:rsidR="00FD0545" w:rsidRPr="00C376DE" w:rsidRDefault="00FD0545" w:rsidP="00026782">
            <w:pPr>
              <w:jc w:val="center"/>
              <w:rPr>
                <w:rFonts w:eastAsia="Calibri"/>
                <w:sz w:val="22"/>
                <w:szCs w:val="22"/>
              </w:rPr>
            </w:pPr>
            <w:r w:rsidRPr="00C376DE">
              <w:rPr>
                <w:rFonts w:eastAsia="Calibri"/>
                <w:sz w:val="22"/>
                <w:szCs w:val="22"/>
              </w:rPr>
              <w:t>2,93</w:t>
            </w:r>
          </w:p>
        </w:tc>
        <w:tc>
          <w:tcPr>
            <w:tcW w:w="1372" w:type="dxa"/>
            <w:shd w:val="clear" w:color="auto" w:fill="auto"/>
            <w:noWrap/>
            <w:vAlign w:val="center"/>
            <w:hideMark/>
          </w:tcPr>
          <w:p w14:paraId="1D7FFF57" w14:textId="77777777" w:rsidR="00FD0545" w:rsidRPr="00C376DE" w:rsidRDefault="00FD0545" w:rsidP="00026782">
            <w:pPr>
              <w:jc w:val="center"/>
              <w:rPr>
                <w:rFonts w:eastAsia="Calibri"/>
                <w:sz w:val="22"/>
                <w:szCs w:val="22"/>
              </w:rPr>
            </w:pPr>
            <w:r w:rsidRPr="00C376DE">
              <w:rPr>
                <w:rFonts w:eastAsia="Calibri"/>
                <w:sz w:val="22"/>
                <w:szCs w:val="22"/>
              </w:rPr>
              <w:t>2,70</w:t>
            </w:r>
          </w:p>
        </w:tc>
        <w:tc>
          <w:tcPr>
            <w:tcW w:w="1372" w:type="dxa"/>
            <w:shd w:val="clear" w:color="auto" w:fill="auto"/>
            <w:noWrap/>
            <w:vAlign w:val="center"/>
            <w:hideMark/>
          </w:tcPr>
          <w:p w14:paraId="527363AD" w14:textId="77777777" w:rsidR="00FD0545" w:rsidRPr="00C376DE" w:rsidRDefault="00FD0545" w:rsidP="00026782">
            <w:pPr>
              <w:jc w:val="center"/>
              <w:rPr>
                <w:rFonts w:eastAsia="Calibri"/>
                <w:sz w:val="22"/>
                <w:szCs w:val="22"/>
              </w:rPr>
            </w:pPr>
            <w:r w:rsidRPr="00C376DE">
              <w:rPr>
                <w:rFonts w:eastAsia="Calibri"/>
                <w:sz w:val="22"/>
                <w:szCs w:val="22"/>
              </w:rPr>
              <w:t>1,89</w:t>
            </w:r>
          </w:p>
        </w:tc>
        <w:tc>
          <w:tcPr>
            <w:tcW w:w="1271" w:type="dxa"/>
            <w:shd w:val="clear" w:color="auto" w:fill="auto"/>
            <w:noWrap/>
            <w:vAlign w:val="center"/>
            <w:hideMark/>
          </w:tcPr>
          <w:p w14:paraId="2FC3D118" w14:textId="77777777" w:rsidR="00FD0545" w:rsidRPr="00C376DE" w:rsidRDefault="00FD0545" w:rsidP="00026782">
            <w:pPr>
              <w:jc w:val="center"/>
              <w:rPr>
                <w:rFonts w:eastAsia="Calibri"/>
                <w:sz w:val="22"/>
                <w:szCs w:val="22"/>
              </w:rPr>
            </w:pPr>
            <w:r w:rsidRPr="00C376DE">
              <w:rPr>
                <w:rFonts w:eastAsia="Calibri"/>
                <w:sz w:val="22"/>
                <w:szCs w:val="22"/>
              </w:rPr>
              <w:t>3,51</w:t>
            </w:r>
          </w:p>
        </w:tc>
      </w:tr>
      <w:tr w:rsidR="00FD0545" w:rsidRPr="00C376DE" w14:paraId="2563FFEE" w14:textId="77777777" w:rsidTr="00026782">
        <w:trPr>
          <w:trHeight w:val="300"/>
        </w:trPr>
        <w:tc>
          <w:tcPr>
            <w:tcW w:w="3681" w:type="dxa"/>
            <w:shd w:val="clear" w:color="auto" w:fill="auto"/>
            <w:noWrap/>
            <w:hideMark/>
          </w:tcPr>
          <w:p w14:paraId="611C8DBE" w14:textId="77777777" w:rsidR="00FD0545" w:rsidRPr="00C376DE" w:rsidRDefault="00FD0545" w:rsidP="00026782">
            <w:pPr>
              <w:jc w:val="both"/>
              <w:rPr>
                <w:rFonts w:eastAsia="Calibri"/>
                <w:sz w:val="22"/>
                <w:szCs w:val="22"/>
              </w:rPr>
            </w:pPr>
            <w:r w:rsidRPr="00C376DE">
              <w:rPr>
                <w:rFonts w:eastAsia="Calibri"/>
                <w:sz w:val="22"/>
                <w:szCs w:val="22"/>
              </w:rPr>
              <w:t>Idegen nyelvű NÉMET graduális képzés</w:t>
            </w:r>
          </w:p>
        </w:tc>
        <w:tc>
          <w:tcPr>
            <w:tcW w:w="1366" w:type="dxa"/>
            <w:shd w:val="clear" w:color="auto" w:fill="auto"/>
            <w:noWrap/>
            <w:vAlign w:val="center"/>
            <w:hideMark/>
          </w:tcPr>
          <w:p w14:paraId="1F76948E" w14:textId="77777777" w:rsidR="00FD0545" w:rsidRPr="00C376DE" w:rsidRDefault="00FD0545" w:rsidP="00026782">
            <w:pPr>
              <w:jc w:val="center"/>
              <w:rPr>
                <w:rFonts w:eastAsia="Calibri"/>
                <w:sz w:val="22"/>
                <w:szCs w:val="22"/>
              </w:rPr>
            </w:pPr>
            <w:r w:rsidRPr="00C376DE">
              <w:rPr>
                <w:rFonts w:eastAsia="Calibri"/>
                <w:sz w:val="22"/>
                <w:szCs w:val="22"/>
              </w:rPr>
              <w:t>3,25</w:t>
            </w:r>
          </w:p>
        </w:tc>
        <w:tc>
          <w:tcPr>
            <w:tcW w:w="1372" w:type="dxa"/>
            <w:shd w:val="clear" w:color="auto" w:fill="auto"/>
            <w:noWrap/>
            <w:vAlign w:val="center"/>
            <w:hideMark/>
          </w:tcPr>
          <w:p w14:paraId="232DDFF5" w14:textId="77777777" w:rsidR="00FD0545" w:rsidRPr="00C376DE" w:rsidRDefault="00FD0545" w:rsidP="00026782">
            <w:pPr>
              <w:jc w:val="center"/>
              <w:rPr>
                <w:rFonts w:eastAsia="Calibri"/>
                <w:sz w:val="22"/>
                <w:szCs w:val="22"/>
              </w:rPr>
            </w:pPr>
            <w:r w:rsidRPr="00C376DE">
              <w:rPr>
                <w:rFonts w:eastAsia="Calibri"/>
                <w:sz w:val="22"/>
                <w:szCs w:val="22"/>
              </w:rPr>
              <w:t>3,00</w:t>
            </w:r>
          </w:p>
        </w:tc>
        <w:tc>
          <w:tcPr>
            <w:tcW w:w="1372" w:type="dxa"/>
            <w:shd w:val="clear" w:color="auto" w:fill="auto"/>
            <w:noWrap/>
            <w:vAlign w:val="center"/>
            <w:hideMark/>
          </w:tcPr>
          <w:p w14:paraId="31F581B6" w14:textId="77777777" w:rsidR="00FD0545" w:rsidRPr="00C376DE" w:rsidRDefault="00FD0545" w:rsidP="00026782">
            <w:pPr>
              <w:jc w:val="center"/>
              <w:rPr>
                <w:rFonts w:eastAsia="Calibri"/>
                <w:sz w:val="22"/>
                <w:szCs w:val="22"/>
              </w:rPr>
            </w:pPr>
            <w:r w:rsidRPr="00C376DE">
              <w:rPr>
                <w:rFonts w:eastAsia="Calibri"/>
                <w:sz w:val="22"/>
                <w:szCs w:val="22"/>
              </w:rPr>
              <w:t>2,10</w:t>
            </w:r>
          </w:p>
        </w:tc>
        <w:tc>
          <w:tcPr>
            <w:tcW w:w="1271" w:type="dxa"/>
            <w:shd w:val="clear" w:color="auto" w:fill="auto"/>
            <w:noWrap/>
            <w:vAlign w:val="center"/>
            <w:hideMark/>
          </w:tcPr>
          <w:p w14:paraId="327DF670" w14:textId="77777777" w:rsidR="00FD0545" w:rsidRPr="00C376DE" w:rsidRDefault="00FD0545" w:rsidP="00026782">
            <w:pPr>
              <w:jc w:val="center"/>
              <w:rPr>
                <w:rFonts w:eastAsia="Calibri"/>
                <w:sz w:val="22"/>
                <w:szCs w:val="22"/>
              </w:rPr>
            </w:pPr>
            <w:r w:rsidRPr="00C376DE">
              <w:rPr>
                <w:rFonts w:eastAsia="Calibri"/>
                <w:sz w:val="22"/>
                <w:szCs w:val="22"/>
              </w:rPr>
              <w:t>3,90</w:t>
            </w:r>
          </w:p>
        </w:tc>
      </w:tr>
      <w:tr w:rsidR="00FD0545" w:rsidRPr="00C376DE" w14:paraId="1481C432" w14:textId="77777777" w:rsidTr="00026782">
        <w:trPr>
          <w:trHeight w:val="300"/>
        </w:trPr>
        <w:tc>
          <w:tcPr>
            <w:tcW w:w="3681" w:type="dxa"/>
            <w:shd w:val="clear" w:color="auto" w:fill="auto"/>
            <w:noWrap/>
            <w:hideMark/>
          </w:tcPr>
          <w:p w14:paraId="085E0DC1" w14:textId="77777777" w:rsidR="00FD0545" w:rsidRPr="00C376DE" w:rsidRDefault="00FD0545" w:rsidP="00026782">
            <w:pPr>
              <w:jc w:val="both"/>
              <w:rPr>
                <w:rFonts w:eastAsia="Calibri"/>
                <w:sz w:val="22"/>
                <w:szCs w:val="22"/>
              </w:rPr>
            </w:pPr>
            <w:r w:rsidRPr="00C376DE">
              <w:rPr>
                <w:rFonts w:eastAsia="Calibri"/>
                <w:sz w:val="22"/>
                <w:szCs w:val="22"/>
              </w:rPr>
              <w:t>Szakgyógyszerész képzés</w:t>
            </w:r>
          </w:p>
        </w:tc>
        <w:tc>
          <w:tcPr>
            <w:tcW w:w="1366" w:type="dxa"/>
            <w:shd w:val="clear" w:color="auto" w:fill="auto"/>
            <w:noWrap/>
            <w:vAlign w:val="center"/>
            <w:hideMark/>
          </w:tcPr>
          <w:p w14:paraId="1B4252BF"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5A6D349D"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2A8852F6"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271" w:type="dxa"/>
            <w:shd w:val="clear" w:color="auto" w:fill="auto"/>
            <w:noWrap/>
            <w:vAlign w:val="center"/>
            <w:hideMark/>
          </w:tcPr>
          <w:p w14:paraId="4AE37EBC" w14:textId="77777777" w:rsidR="00FD0545" w:rsidRPr="00C376DE" w:rsidRDefault="00FD0545" w:rsidP="00026782">
            <w:pPr>
              <w:jc w:val="center"/>
              <w:rPr>
                <w:rFonts w:eastAsia="Calibri"/>
                <w:sz w:val="22"/>
                <w:szCs w:val="22"/>
              </w:rPr>
            </w:pPr>
            <w:r w:rsidRPr="00C376DE">
              <w:rPr>
                <w:rFonts w:eastAsia="Calibri"/>
                <w:sz w:val="22"/>
                <w:szCs w:val="22"/>
              </w:rPr>
              <w:t>1,95</w:t>
            </w:r>
          </w:p>
        </w:tc>
      </w:tr>
      <w:tr w:rsidR="00FD0545" w:rsidRPr="00C376DE" w14:paraId="1DF3D74B" w14:textId="77777777" w:rsidTr="00026782">
        <w:trPr>
          <w:trHeight w:val="300"/>
        </w:trPr>
        <w:tc>
          <w:tcPr>
            <w:tcW w:w="3681" w:type="dxa"/>
            <w:shd w:val="clear" w:color="auto" w:fill="auto"/>
            <w:noWrap/>
            <w:hideMark/>
          </w:tcPr>
          <w:p w14:paraId="51507A18" w14:textId="77777777" w:rsidR="00FD0545" w:rsidRPr="00C376DE" w:rsidRDefault="00FD0545" w:rsidP="00026782">
            <w:pPr>
              <w:jc w:val="both"/>
              <w:rPr>
                <w:rFonts w:eastAsia="Calibri"/>
                <w:sz w:val="22"/>
                <w:szCs w:val="22"/>
              </w:rPr>
            </w:pPr>
            <w:r w:rsidRPr="00C376DE">
              <w:rPr>
                <w:rFonts w:eastAsia="Calibri"/>
                <w:sz w:val="22"/>
                <w:szCs w:val="22"/>
              </w:rPr>
              <w:t>Gyógyszerész továbbképzés</w:t>
            </w:r>
          </w:p>
        </w:tc>
        <w:tc>
          <w:tcPr>
            <w:tcW w:w="1366" w:type="dxa"/>
            <w:shd w:val="clear" w:color="auto" w:fill="auto"/>
            <w:noWrap/>
            <w:vAlign w:val="center"/>
            <w:hideMark/>
          </w:tcPr>
          <w:p w14:paraId="1768D2F2"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2B715ACB"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36B4DF29"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271" w:type="dxa"/>
            <w:shd w:val="clear" w:color="auto" w:fill="auto"/>
            <w:noWrap/>
            <w:vAlign w:val="center"/>
            <w:hideMark/>
          </w:tcPr>
          <w:p w14:paraId="53E1F153" w14:textId="77777777" w:rsidR="00FD0545" w:rsidRPr="00C376DE" w:rsidRDefault="00FD0545" w:rsidP="00026782">
            <w:pPr>
              <w:jc w:val="center"/>
              <w:rPr>
                <w:rFonts w:eastAsia="Calibri"/>
                <w:sz w:val="22"/>
                <w:szCs w:val="22"/>
              </w:rPr>
            </w:pPr>
            <w:r w:rsidRPr="00C376DE">
              <w:rPr>
                <w:rFonts w:eastAsia="Calibri"/>
                <w:sz w:val="22"/>
                <w:szCs w:val="22"/>
              </w:rPr>
              <w:t>1,95</w:t>
            </w:r>
          </w:p>
        </w:tc>
      </w:tr>
      <w:tr w:rsidR="00FD0545" w:rsidRPr="00C376DE" w14:paraId="3D9A67D2" w14:textId="77777777" w:rsidTr="00026782">
        <w:trPr>
          <w:trHeight w:val="300"/>
        </w:trPr>
        <w:tc>
          <w:tcPr>
            <w:tcW w:w="3681" w:type="dxa"/>
            <w:shd w:val="clear" w:color="auto" w:fill="auto"/>
            <w:noWrap/>
            <w:hideMark/>
          </w:tcPr>
          <w:p w14:paraId="2E971F6E" w14:textId="77777777" w:rsidR="00FD0545" w:rsidRPr="00C376DE" w:rsidRDefault="00FD0545" w:rsidP="00026782">
            <w:pPr>
              <w:jc w:val="both"/>
              <w:rPr>
                <w:rFonts w:eastAsia="Calibri"/>
                <w:sz w:val="22"/>
                <w:szCs w:val="22"/>
              </w:rPr>
            </w:pPr>
            <w:proofErr w:type="gramStart"/>
            <w:r w:rsidRPr="00C376DE">
              <w:rPr>
                <w:rFonts w:eastAsia="Calibri"/>
                <w:sz w:val="22"/>
                <w:szCs w:val="22"/>
              </w:rPr>
              <w:t>Asszisztens</w:t>
            </w:r>
            <w:proofErr w:type="gramEnd"/>
            <w:r w:rsidRPr="00C376DE">
              <w:rPr>
                <w:rFonts w:eastAsia="Calibri"/>
                <w:sz w:val="22"/>
                <w:szCs w:val="22"/>
              </w:rPr>
              <w:t xml:space="preserve"> továbbképzés</w:t>
            </w:r>
          </w:p>
        </w:tc>
        <w:tc>
          <w:tcPr>
            <w:tcW w:w="1366" w:type="dxa"/>
            <w:shd w:val="clear" w:color="auto" w:fill="auto"/>
            <w:noWrap/>
            <w:vAlign w:val="center"/>
            <w:hideMark/>
          </w:tcPr>
          <w:p w14:paraId="769D87DD"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14721F60"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792A638A"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271" w:type="dxa"/>
            <w:shd w:val="clear" w:color="auto" w:fill="auto"/>
            <w:noWrap/>
            <w:vAlign w:val="center"/>
            <w:hideMark/>
          </w:tcPr>
          <w:p w14:paraId="6A3991C7" w14:textId="77777777" w:rsidR="00FD0545" w:rsidRPr="00C376DE" w:rsidRDefault="00FD0545" w:rsidP="00026782">
            <w:pPr>
              <w:jc w:val="center"/>
              <w:rPr>
                <w:rFonts w:eastAsia="Calibri"/>
                <w:sz w:val="22"/>
                <w:szCs w:val="22"/>
              </w:rPr>
            </w:pPr>
            <w:r w:rsidRPr="00C376DE">
              <w:rPr>
                <w:rFonts w:eastAsia="Calibri"/>
                <w:sz w:val="22"/>
                <w:szCs w:val="22"/>
              </w:rPr>
              <w:t>1,50</w:t>
            </w:r>
          </w:p>
        </w:tc>
      </w:tr>
      <w:tr w:rsidR="00FD0545" w:rsidRPr="00C376DE" w14:paraId="3ADE7AFD" w14:textId="77777777" w:rsidTr="00026782">
        <w:trPr>
          <w:trHeight w:val="300"/>
        </w:trPr>
        <w:tc>
          <w:tcPr>
            <w:tcW w:w="3681" w:type="dxa"/>
            <w:shd w:val="clear" w:color="auto" w:fill="auto"/>
            <w:noWrap/>
            <w:hideMark/>
          </w:tcPr>
          <w:p w14:paraId="678DA5AC" w14:textId="77777777" w:rsidR="00FD0545" w:rsidRPr="00C376DE" w:rsidRDefault="00FD0545" w:rsidP="00026782">
            <w:pPr>
              <w:jc w:val="both"/>
              <w:rPr>
                <w:rFonts w:eastAsia="Calibri"/>
                <w:sz w:val="22"/>
                <w:szCs w:val="22"/>
              </w:rPr>
            </w:pPr>
            <w:r w:rsidRPr="00C376DE">
              <w:rPr>
                <w:rFonts w:eastAsia="Calibri"/>
                <w:sz w:val="22"/>
                <w:szCs w:val="22"/>
              </w:rPr>
              <w:t>PHD képzés</w:t>
            </w:r>
          </w:p>
        </w:tc>
        <w:tc>
          <w:tcPr>
            <w:tcW w:w="1366" w:type="dxa"/>
            <w:shd w:val="clear" w:color="auto" w:fill="auto"/>
            <w:noWrap/>
            <w:vAlign w:val="center"/>
            <w:hideMark/>
          </w:tcPr>
          <w:p w14:paraId="4019B524" w14:textId="77777777" w:rsidR="00FD0545" w:rsidRPr="00C376DE" w:rsidRDefault="00FD0545" w:rsidP="00026782">
            <w:pPr>
              <w:jc w:val="center"/>
              <w:rPr>
                <w:rFonts w:eastAsia="Calibri"/>
                <w:sz w:val="22"/>
                <w:szCs w:val="22"/>
              </w:rPr>
            </w:pPr>
            <w:r w:rsidRPr="00C376DE">
              <w:rPr>
                <w:rFonts w:eastAsia="Calibri"/>
                <w:sz w:val="22"/>
                <w:szCs w:val="22"/>
              </w:rPr>
              <w:t>3,25</w:t>
            </w:r>
          </w:p>
        </w:tc>
        <w:tc>
          <w:tcPr>
            <w:tcW w:w="1372" w:type="dxa"/>
            <w:shd w:val="clear" w:color="auto" w:fill="auto"/>
            <w:noWrap/>
            <w:vAlign w:val="center"/>
            <w:hideMark/>
          </w:tcPr>
          <w:p w14:paraId="3546F102"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372" w:type="dxa"/>
            <w:shd w:val="clear" w:color="auto" w:fill="auto"/>
            <w:noWrap/>
            <w:vAlign w:val="center"/>
            <w:hideMark/>
          </w:tcPr>
          <w:p w14:paraId="7D98A5C6" w14:textId="77777777" w:rsidR="00FD0545" w:rsidRPr="00C376DE" w:rsidRDefault="00FD0545" w:rsidP="00026782">
            <w:pPr>
              <w:jc w:val="center"/>
              <w:rPr>
                <w:rFonts w:eastAsia="Calibri"/>
                <w:sz w:val="22"/>
                <w:szCs w:val="22"/>
              </w:rPr>
            </w:pPr>
            <w:r w:rsidRPr="00C376DE">
              <w:rPr>
                <w:rFonts w:eastAsia="Calibri"/>
                <w:sz w:val="22"/>
                <w:szCs w:val="22"/>
              </w:rPr>
              <w:t>-</w:t>
            </w:r>
          </w:p>
        </w:tc>
        <w:tc>
          <w:tcPr>
            <w:tcW w:w="1271" w:type="dxa"/>
            <w:shd w:val="clear" w:color="auto" w:fill="auto"/>
            <w:noWrap/>
            <w:vAlign w:val="center"/>
            <w:hideMark/>
          </w:tcPr>
          <w:p w14:paraId="641CAB24" w14:textId="77777777" w:rsidR="00FD0545" w:rsidRPr="00C376DE" w:rsidRDefault="00FD0545" w:rsidP="00026782">
            <w:pPr>
              <w:jc w:val="center"/>
              <w:rPr>
                <w:rFonts w:eastAsia="Calibri"/>
                <w:sz w:val="22"/>
                <w:szCs w:val="22"/>
              </w:rPr>
            </w:pPr>
            <w:r w:rsidRPr="00C376DE">
              <w:rPr>
                <w:rFonts w:eastAsia="Calibri"/>
                <w:sz w:val="22"/>
                <w:szCs w:val="22"/>
              </w:rPr>
              <w:t>3,90</w:t>
            </w:r>
          </w:p>
        </w:tc>
      </w:tr>
    </w:tbl>
    <w:p w14:paraId="04211FDE" w14:textId="77777777" w:rsidR="00FD0545" w:rsidRPr="00E13CE5" w:rsidRDefault="00FD0545" w:rsidP="00FD0545">
      <w:pPr>
        <w:jc w:val="both"/>
        <w:rPr>
          <w:rFonts w:eastAsia="Calibri"/>
          <w:sz w:val="22"/>
          <w:szCs w:val="22"/>
        </w:rPr>
      </w:pPr>
    </w:p>
    <w:p w14:paraId="05D046F7" w14:textId="77777777" w:rsidR="00FD0545" w:rsidRPr="00E13CE5" w:rsidRDefault="00FD0545" w:rsidP="00FD0545">
      <w:pPr>
        <w:jc w:val="both"/>
        <w:rPr>
          <w:rFonts w:eastAsia="Calibri"/>
          <w:sz w:val="22"/>
          <w:szCs w:val="22"/>
        </w:rPr>
      </w:pPr>
      <w:r w:rsidRPr="00E13CE5">
        <w:rPr>
          <w:rFonts w:eastAsia="Calibri"/>
          <w:sz w:val="22"/>
          <w:szCs w:val="22"/>
        </w:rPr>
        <w:t>A pontszámítás összefüggései:</w:t>
      </w:r>
    </w:p>
    <w:p w14:paraId="223F37DE"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nyerspont kifejezés arra utal, hogy a táblázatban szereplő pontszámok csak a mennyiségre vonatkoznak, azaz </w:t>
      </w:r>
      <w:proofErr w:type="gramStart"/>
      <w:r w:rsidRPr="00E13CE5">
        <w:rPr>
          <w:rFonts w:eastAsia="Calibri"/>
          <w:sz w:val="22"/>
          <w:szCs w:val="22"/>
        </w:rPr>
        <w:t>korrigálandók</w:t>
      </w:r>
      <w:proofErr w:type="gramEnd"/>
      <w:r w:rsidRPr="00E13CE5">
        <w:rPr>
          <w:rFonts w:eastAsia="Calibri"/>
          <w:sz w:val="22"/>
          <w:szCs w:val="22"/>
        </w:rPr>
        <w:t xml:space="preserve"> minőségi szempontokkal is, melyet egy később részletezendő lépésben kerül végrehajtásra.</w:t>
      </w:r>
    </w:p>
    <w:p w14:paraId="6E4EF3B9"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magyar nyelvű graduális képzés </w:t>
      </w:r>
      <w:proofErr w:type="spellStart"/>
      <w:r w:rsidRPr="00E13CE5">
        <w:rPr>
          <w:rFonts w:eastAsia="Calibri"/>
          <w:sz w:val="22"/>
          <w:szCs w:val="22"/>
        </w:rPr>
        <w:t>elektív</w:t>
      </w:r>
      <w:proofErr w:type="spellEnd"/>
      <w:r w:rsidRPr="00E13CE5">
        <w:rPr>
          <w:rFonts w:eastAsia="Calibri"/>
          <w:sz w:val="22"/>
          <w:szCs w:val="22"/>
        </w:rPr>
        <w:t xml:space="preserve"> előadása az alapérték (ld. fent).</w:t>
      </w:r>
    </w:p>
    <w:p w14:paraId="65E8E343"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magyar nyelvű graduális képzésben a </w:t>
      </w:r>
      <w:proofErr w:type="gramStart"/>
      <w:r w:rsidRPr="00E13CE5">
        <w:rPr>
          <w:rFonts w:eastAsia="Calibri"/>
          <w:sz w:val="22"/>
          <w:szCs w:val="22"/>
        </w:rPr>
        <w:t>fakultatív</w:t>
      </w:r>
      <w:proofErr w:type="gramEnd"/>
      <w:r w:rsidRPr="00E13CE5">
        <w:rPr>
          <w:rFonts w:eastAsia="Calibri"/>
          <w:sz w:val="22"/>
          <w:szCs w:val="22"/>
        </w:rPr>
        <w:t xml:space="preserve"> előadás az </w:t>
      </w:r>
      <w:proofErr w:type="spellStart"/>
      <w:r w:rsidRPr="00E13CE5">
        <w:rPr>
          <w:rFonts w:eastAsia="Calibri"/>
          <w:sz w:val="22"/>
          <w:szCs w:val="22"/>
        </w:rPr>
        <w:t>elektív</w:t>
      </w:r>
      <w:proofErr w:type="spellEnd"/>
      <w:r w:rsidRPr="00E13CE5">
        <w:rPr>
          <w:rFonts w:eastAsia="Calibri"/>
          <w:sz w:val="22"/>
          <w:szCs w:val="22"/>
        </w:rPr>
        <w:t xml:space="preserve"> előadás pontértékének 70%-a.</w:t>
      </w:r>
    </w:p>
    <w:p w14:paraId="32636046"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magyar nyelvű graduális képzésben a kötelező előadás az </w:t>
      </w:r>
      <w:proofErr w:type="spellStart"/>
      <w:r w:rsidRPr="00E13CE5">
        <w:rPr>
          <w:rFonts w:eastAsia="Calibri"/>
          <w:sz w:val="22"/>
          <w:szCs w:val="22"/>
        </w:rPr>
        <w:t>elektív</w:t>
      </w:r>
      <w:proofErr w:type="spellEnd"/>
      <w:r w:rsidRPr="00E13CE5">
        <w:rPr>
          <w:rFonts w:eastAsia="Calibri"/>
          <w:sz w:val="22"/>
          <w:szCs w:val="22"/>
        </w:rPr>
        <w:t xml:space="preserve"> előadás pontértékének 1,3-szorosa.</w:t>
      </w:r>
    </w:p>
    <w:p w14:paraId="29713C97"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A magyar nyelvű graduális képzésben a kötelező szeminárium/gyakorlat 1,2-szerese a kötelező előadás pontértéke.</w:t>
      </w:r>
    </w:p>
    <w:p w14:paraId="782E3A8E"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Az angol nyelvű graduális képzés pontértékei a magyar nyelvű képzés pontértékének 1,8 szerese a fenti </w:t>
      </w:r>
      <w:proofErr w:type="gramStart"/>
      <w:r w:rsidRPr="00E13CE5">
        <w:rPr>
          <w:rFonts w:eastAsia="Calibri"/>
          <w:sz w:val="22"/>
          <w:szCs w:val="22"/>
        </w:rPr>
        <w:t>kontakt óra</w:t>
      </w:r>
      <w:proofErr w:type="gramEnd"/>
      <w:r w:rsidRPr="00E13CE5">
        <w:rPr>
          <w:rFonts w:eastAsia="Calibri"/>
          <w:sz w:val="22"/>
          <w:szCs w:val="22"/>
        </w:rPr>
        <w:t xml:space="preserve"> kategóriáknál.</w:t>
      </w:r>
    </w:p>
    <w:p w14:paraId="2089414A"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német nyelvű graduális képzés pontértékei a magyar nyelvű képzés pontértékének 2-szerese a fenti </w:t>
      </w:r>
      <w:proofErr w:type="gramStart"/>
      <w:r w:rsidRPr="00E13CE5">
        <w:rPr>
          <w:rFonts w:eastAsia="Calibri"/>
          <w:sz w:val="22"/>
          <w:szCs w:val="22"/>
        </w:rPr>
        <w:t>kontakt óra</w:t>
      </w:r>
      <w:proofErr w:type="gramEnd"/>
      <w:r w:rsidRPr="00E13CE5">
        <w:rPr>
          <w:rFonts w:eastAsia="Calibri"/>
          <w:sz w:val="22"/>
          <w:szCs w:val="22"/>
        </w:rPr>
        <w:t xml:space="preserve"> kategóriáknál.</w:t>
      </w:r>
    </w:p>
    <w:p w14:paraId="4C9A7658"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A szakgyógyszerész képzés és a gyógyszerész továbbképzések előadásait a magyar nyelvű graduális képzés kötelező előadásaival egyenértékűnek kezelendő.</w:t>
      </w:r>
    </w:p>
    <w:p w14:paraId="5CBAEC3A"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Az </w:t>
      </w:r>
      <w:proofErr w:type="gramStart"/>
      <w:r w:rsidRPr="00E13CE5">
        <w:rPr>
          <w:rFonts w:eastAsia="Calibri"/>
          <w:sz w:val="22"/>
          <w:szCs w:val="22"/>
        </w:rPr>
        <w:t>asszisztens</w:t>
      </w:r>
      <w:proofErr w:type="gramEnd"/>
      <w:r w:rsidRPr="00E13CE5">
        <w:rPr>
          <w:rFonts w:eastAsia="Calibri"/>
          <w:sz w:val="22"/>
          <w:szCs w:val="22"/>
        </w:rPr>
        <w:t xml:space="preserve"> továbbképzés előadásainak értékét az etalonnal azonos értékűnek kell tekinteni.</w:t>
      </w:r>
    </w:p>
    <w:p w14:paraId="0A055A3F" w14:textId="77777777" w:rsidR="00FD0545" w:rsidRPr="00E13CE5" w:rsidRDefault="00FD0545" w:rsidP="00F83E93">
      <w:pPr>
        <w:numPr>
          <w:ilvl w:val="0"/>
          <w:numId w:val="149"/>
        </w:numPr>
        <w:contextualSpacing/>
        <w:jc w:val="both"/>
        <w:rPr>
          <w:rFonts w:eastAsia="Calibri"/>
          <w:sz w:val="22"/>
          <w:szCs w:val="22"/>
        </w:rPr>
      </w:pPr>
      <w:r w:rsidRPr="00E13CE5">
        <w:rPr>
          <w:rFonts w:eastAsia="Calibri"/>
          <w:sz w:val="22"/>
          <w:szCs w:val="22"/>
        </w:rPr>
        <w:t xml:space="preserve">A PHD képzés minden létező </w:t>
      </w:r>
      <w:proofErr w:type="gramStart"/>
      <w:r w:rsidRPr="00E13CE5">
        <w:rPr>
          <w:rFonts w:eastAsia="Calibri"/>
          <w:sz w:val="22"/>
          <w:szCs w:val="22"/>
        </w:rPr>
        <w:t>kategóriában</w:t>
      </w:r>
      <w:proofErr w:type="gramEnd"/>
      <w:r w:rsidRPr="00E13CE5">
        <w:rPr>
          <w:rFonts w:eastAsia="Calibri"/>
          <w:sz w:val="22"/>
          <w:szCs w:val="22"/>
        </w:rPr>
        <w:t xml:space="preserve"> a magyar nyelvű graduális képzés pontszámainak 2-szerese.</w:t>
      </w:r>
    </w:p>
    <w:p w14:paraId="0A63C8F4" w14:textId="77777777" w:rsidR="00FD0545" w:rsidRPr="00E13CE5" w:rsidRDefault="00FD0545" w:rsidP="00FD0545">
      <w:pPr>
        <w:jc w:val="both"/>
        <w:rPr>
          <w:rFonts w:eastAsia="Calibri"/>
          <w:sz w:val="22"/>
          <w:szCs w:val="22"/>
        </w:rPr>
      </w:pPr>
      <w:r w:rsidRPr="00E13CE5">
        <w:rPr>
          <w:rFonts w:eastAsia="Calibri"/>
          <w:sz w:val="22"/>
          <w:szCs w:val="22"/>
        </w:rPr>
        <w:t>A kontakt óratartási tevékenység súlyozása szakértői becsléseken és tapasztalati tényeken alapul.</w:t>
      </w:r>
    </w:p>
    <w:p w14:paraId="3120F69C" w14:textId="77777777" w:rsidR="00FD0545" w:rsidRPr="00E13CE5" w:rsidRDefault="00FD0545" w:rsidP="00FD0545">
      <w:pPr>
        <w:rPr>
          <w:rFonts w:eastAsia="Calibri"/>
          <w:sz w:val="22"/>
          <w:szCs w:val="22"/>
        </w:rPr>
      </w:pPr>
    </w:p>
    <w:p w14:paraId="58A17A77" w14:textId="77777777" w:rsidR="00FD0545" w:rsidRPr="00E13CE5" w:rsidRDefault="00FD0545" w:rsidP="00FD0545">
      <w:pPr>
        <w:rPr>
          <w:rFonts w:eastAsia="Calibri"/>
          <w:sz w:val="22"/>
          <w:szCs w:val="22"/>
        </w:rPr>
      </w:pPr>
      <w:r w:rsidRPr="00E13CE5">
        <w:rPr>
          <w:rFonts w:eastAsia="Calibri"/>
          <w:sz w:val="22"/>
          <w:szCs w:val="22"/>
        </w:rPr>
        <w:t>(3) A félévközi számonkérés pontértéke:</w:t>
      </w:r>
    </w:p>
    <w:p w14:paraId="45E3FF1F" w14:textId="77777777" w:rsidR="00FD0545" w:rsidRPr="00E13CE5" w:rsidRDefault="00FD0545" w:rsidP="00FD0545">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FD0545" w:rsidRPr="00C376DE" w14:paraId="7DEAECD9" w14:textId="77777777" w:rsidTr="00026782">
        <w:trPr>
          <w:trHeight w:val="300"/>
        </w:trPr>
        <w:tc>
          <w:tcPr>
            <w:tcW w:w="8880" w:type="dxa"/>
            <w:shd w:val="clear" w:color="auto" w:fill="auto"/>
            <w:noWrap/>
            <w:hideMark/>
          </w:tcPr>
          <w:p w14:paraId="56BF2493" w14:textId="77777777" w:rsidR="00FD0545" w:rsidRPr="00C376DE" w:rsidRDefault="00FD0545" w:rsidP="00026782">
            <w:pPr>
              <w:jc w:val="both"/>
              <w:rPr>
                <w:rFonts w:eastAsia="Calibri"/>
                <w:sz w:val="22"/>
                <w:szCs w:val="22"/>
              </w:rPr>
            </w:pPr>
            <w:r w:rsidRPr="00C376DE">
              <w:rPr>
                <w:rFonts w:eastAsia="Calibri"/>
                <w:sz w:val="22"/>
                <w:szCs w:val="22"/>
              </w:rPr>
              <w:t>Szóbeli magyar nyelvű számonkérések száma * 0,5 * hallgatói létszám.</w:t>
            </w:r>
          </w:p>
        </w:tc>
      </w:tr>
      <w:tr w:rsidR="00FD0545" w:rsidRPr="00C376DE" w14:paraId="1AD18CF4" w14:textId="77777777" w:rsidTr="00026782">
        <w:trPr>
          <w:trHeight w:val="300"/>
        </w:trPr>
        <w:tc>
          <w:tcPr>
            <w:tcW w:w="8880" w:type="dxa"/>
            <w:shd w:val="clear" w:color="auto" w:fill="auto"/>
            <w:noWrap/>
            <w:hideMark/>
          </w:tcPr>
          <w:p w14:paraId="388D2BAE" w14:textId="77777777" w:rsidR="00FD0545" w:rsidRPr="00C376DE" w:rsidRDefault="00FD0545" w:rsidP="00026782">
            <w:pPr>
              <w:jc w:val="both"/>
              <w:rPr>
                <w:rFonts w:eastAsia="Calibri"/>
                <w:sz w:val="22"/>
                <w:szCs w:val="22"/>
              </w:rPr>
            </w:pPr>
            <w:r w:rsidRPr="00C376DE">
              <w:rPr>
                <w:rFonts w:eastAsia="Calibri"/>
                <w:sz w:val="22"/>
                <w:szCs w:val="22"/>
              </w:rPr>
              <w:t>Szóbeli idegen nyelvű számonkérések száma * 0,8 * hallgatói létszám.</w:t>
            </w:r>
          </w:p>
        </w:tc>
      </w:tr>
      <w:tr w:rsidR="00FD0545" w:rsidRPr="00C376DE" w14:paraId="02C112C6" w14:textId="77777777" w:rsidTr="00026782">
        <w:trPr>
          <w:trHeight w:val="300"/>
        </w:trPr>
        <w:tc>
          <w:tcPr>
            <w:tcW w:w="8880" w:type="dxa"/>
            <w:shd w:val="clear" w:color="auto" w:fill="auto"/>
            <w:noWrap/>
            <w:hideMark/>
          </w:tcPr>
          <w:p w14:paraId="74191ED7" w14:textId="77777777" w:rsidR="00FD0545" w:rsidRPr="00C376DE" w:rsidRDefault="00FD0545" w:rsidP="00026782">
            <w:pPr>
              <w:jc w:val="both"/>
              <w:rPr>
                <w:rFonts w:eastAsia="Calibri"/>
                <w:sz w:val="22"/>
                <w:szCs w:val="22"/>
              </w:rPr>
            </w:pPr>
            <w:r w:rsidRPr="00C376DE">
              <w:rPr>
                <w:rFonts w:eastAsia="Calibri"/>
                <w:sz w:val="22"/>
                <w:szCs w:val="22"/>
              </w:rPr>
              <w:t>Írásbeli magyar nyelvű számonkérések száma * 0,25 * hallgatói létszám.</w:t>
            </w:r>
          </w:p>
        </w:tc>
      </w:tr>
      <w:tr w:rsidR="00FD0545" w:rsidRPr="00C376DE" w14:paraId="646DD89C" w14:textId="77777777" w:rsidTr="00026782">
        <w:trPr>
          <w:trHeight w:val="300"/>
        </w:trPr>
        <w:tc>
          <w:tcPr>
            <w:tcW w:w="8880" w:type="dxa"/>
            <w:shd w:val="clear" w:color="auto" w:fill="auto"/>
            <w:noWrap/>
            <w:hideMark/>
          </w:tcPr>
          <w:p w14:paraId="43F9E25D" w14:textId="77777777" w:rsidR="00FD0545" w:rsidRPr="00C376DE" w:rsidRDefault="00FD0545" w:rsidP="00026782">
            <w:pPr>
              <w:jc w:val="both"/>
              <w:rPr>
                <w:rFonts w:eastAsia="Calibri"/>
                <w:sz w:val="22"/>
                <w:szCs w:val="22"/>
              </w:rPr>
            </w:pPr>
            <w:r w:rsidRPr="00C376DE">
              <w:rPr>
                <w:rFonts w:eastAsia="Calibri"/>
                <w:sz w:val="22"/>
                <w:szCs w:val="22"/>
              </w:rPr>
              <w:t>Írásbeli idegen nyelvű számonkérések száma * 0,4 * hallgatói létszám.</w:t>
            </w:r>
          </w:p>
        </w:tc>
      </w:tr>
    </w:tbl>
    <w:p w14:paraId="651BCCCF" w14:textId="77777777" w:rsidR="00FD0545" w:rsidRPr="00E13CE5" w:rsidRDefault="00FD0545" w:rsidP="00FD0545">
      <w:pPr>
        <w:jc w:val="both"/>
        <w:rPr>
          <w:rFonts w:eastAsia="Calibri"/>
          <w:sz w:val="22"/>
          <w:szCs w:val="22"/>
        </w:rPr>
      </w:pPr>
      <w:r w:rsidRPr="00E13CE5">
        <w:rPr>
          <w:rFonts w:eastAsia="Calibri"/>
          <w:sz w:val="22"/>
          <w:szCs w:val="22"/>
        </w:rPr>
        <w:t>Tekintettel arra, hogy a Karon meglehetősen elterjedt a félévközi számonkérés rendszere, indokolt e tevékenység félév végi számonkéréstől elkülönített kezelése. A táblázatban szereplő pontértékek a vizsgáztatáshoz szükséges időráfordítást tükrözik vissza. Mértékük tapasztalati adatokon alapul.</w:t>
      </w:r>
    </w:p>
    <w:p w14:paraId="768D0FDE" w14:textId="77777777" w:rsidR="00FD0545" w:rsidRPr="00E13CE5" w:rsidRDefault="00FD0545" w:rsidP="00FD0545">
      <w:pPr>
        <w:jc w:val="both"/>
        <w:rPr>
          <w:rFonts w:eastAsia="Calibri"/>
          <w:sz w:val="22"/>
          <w:szCs w:val="22"/>
        </w:rPr>
      </w:pPr>
    </w:p>
    <w:p w14:paraId="1CA69C5B" w14:textId="77777777" w:rsidR="00FD0545" w:rsidRPr="00E13CE5" w:rsidRDefault="00FD0545" w:rsidP="00FD0545">
      <w:pPr>
        <w:jc w:val="both"/>
        <w:rPr>
          <w:rFonts w:eastAsia="Calibri"/>
          <w:sz w:val="22"/>
          <w:szCs w:val="22"/>
        </w:rPr>
      </w:pPr>
      <w:r w:rsidRPr="00E13CE5">
        <w:rPr>
          <w:rFonts w:eastAsia="Calibri"/>
          <w:sz w:val="22"/>
          <w:szCs w:val="22"/>
        </w:rPr>
        <w:t>(4) Egyéb oktatási tevékenység pontértéke:</w:t>
      </w:r>
    </w:p>
    <w:p w14:paraId="3EC90755" w14:textId="77777777" w:rsidR="00FD0545" w:rsidRPr="00E13CE5" w:rsidRDefault="00FD0545" w:rsidP="00FD0545">
      <w:pPr>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744"/>
      </w:tblGrid>
      <w:tr w:rsidR="00FD0545" w:rsidRPr="00C376DE" w14:paraId="70145D40" w14:textId="77777777" w:rsidTr="00026782">
        <w:trPr>
          <w:trHeight w:val="300"/>
        </w:trPr>
        <w:tc>
          <w:tcPr>
            <w:tcW w:w="3318" w:type="dxa"/>
            <w:shd w:val="clear" w:color="auto" w:fill="E7E6E6"/>
            <w:noWrap/>
            <w:hideMark/>
          </w:tcPr>
          <w:p w14:paraId="412B0B2A" w14:textId="77777777" w:rsidR="00FD0545" w:rsidRPr="00C376DE" w:rsidRDefault="00FD0545" w:rsidP="00026782">
            <w:pPr>
              <w:jc w:val="both"/>
              <w:rPr>
                <w:rFonts w:eastAsia="Calibri"/>
                <w:b/>
                <w:sz w:val="22"/>
                <w:szCs w:val="22"/>
              </w:rPr>
            </w:pPr>
            <w:r w:rsidRPr="00C376DE">
              <w:rPr>
                <w:rFonts w:eastAsia="Calibri"/>
                <w:b/>
                <w:sz w:val="22"/>
                <w:szCs w:val="22"/>
              </w:rPr>
              <w:t>Tevékenység</w:t>
            </w:r>
          </w:p>
        </w:tc>
        <w:tc>
          <w:tcPr>
            <w:tcW w:w="5744" w:type="dxa"/>
            <w:shd w:val="clear" w:color="auto" w:fill="E7E6E6"/>
            <w:noWrap/>
            <w:hideMark/>
          </w:tcPr>
          <w:p w14:paraId="2B582872" w14:textId="77777777" w:rsidR="00FD0545" w:rsidRPr="00C376DE" w:rsidRDefault="00FD0545" w:rsidP="00026782">
            <w:pPr>
              <w:jc w:val="both"/>
              <w:rPr>
                <w:rFonts w:eastAsia="Calibri"/>
                <w:b/>
                <w:sz w:val="22"/>
                <w:szCs w:val="22"/>
              </w:rPr>
            </w:pPr>
            <w:r w:rsidRPr="00C376DE">
              <w:rPr>
                <w:rFonts w:eastAsia="Calibri"/>
                <w:b/>
                <w:sz w:val="22"/>
                <w:szCs w:val="22"/>
              </w:rPr>
              <w:t>Megjegyzés</w:t>
            </w:r>
          </w:p>
        </w:tc>
      </w:tr>
      <w:tr w:rsidR="00FD0545" w:rsidRPr="00C376DE" w14:paraId="61E38161" w14:textId="77777777" w:rsidTr="00026782">
        <w:trPr>
          <w:trHeight w:val="315"/>
        </w:trPr>
        <w:tc>
          <w:tcPr>
            <w:tcW w:w="3318" w:type="dxa"/>
            <w:shd w:val="clear" w:color="auto" w:fill="auto"/>
            <w:noWrap/>
            <w:hideMark/>
          </w:tcPr>
          <w:p w14:paraId="584A5729" w14:textId="77777777" w:rsidR="00FD0545" w:rsidRPr="00C376DE" w:rsidRDefault="00FD0545" w:rsidP="00026782">
            <w:pPr>
              <w:jc w:val="both"/>
              <w:rPr>
                <w:rFonts w:eastAsia="Calibri"/>
                <w:sz w:val="22"/>
                <w:szCs w:val="22"/>
              </w:rPr>
            </w:pPr>
            <w:r w:rsidRPr="00C376DE">
              <w:rPr>
                <w:rFonts w:eastAsia="Calibri"/>
                <w:sz w:val="22"/>
                <w:szCs w:val="22"/>
              </w:rPr>
              <w:t xml:space="preserve">Rendszeres hallgatói </w:t>
            </w:r>
            <w:proofErr w:type="gramStart"/>
            <w:r w:rsidRPr="00C376DE">
              <w:rPr>
                <w:rFonts w:eastAsia="Calibri"/>
                <w:sz w:val="22"/>
                <w:szCs w:val="22"/>
              </w:rPr>
              <w:t>konzultáció</w:t>
            </w:r>
            <w:proofErr w:type="gramEnd"/>
          </w:p>
        </w:tc>
        <w:tc>
          <w:tcPr>
            <w:tcW w:w="5744" w:type="dxa"/>
            <w:shd w:val="clear" w:color="auto" w:fill="auto"/>
            <w:noWrap/>
            <w:hideMark/>
          </w:tcPr>
          <w:p w14:paraId="36FEA3ED" w14:textId="77777777" w:rsidR="00FD0545" w:rsidRPr="00C376DE" w:rsidRDefault="00FD0545" w:rsidP="00026782">
            <w:pPr>
              <w:jc w:val="both"/>
              <w:rPr>
                <w:rFonts w:eastAsia="Calibri"/>
                <w:sz w:val="22"/>
                <w:szCs w:val="22"/>
              </w:rPr>
            </w:pPr>
            <w:r w:rsidRPr="00C376DE">
              <w:rPr>
                <w:rFonts w:eastAsia="Calibri"/>
                <w:sz w:val="22"/>
                <w:szCs w:val="22"/>
              </w:rPr>
              <w:t>56 pont, heti 2 óra mindkét félévben</w:t>
            </w:r>
          </w:p>
        </w:tc>
      </w:tr>
      <w:tr w:rsidR="00FD0545" w:rsidRPr="00C376DE" w14:paraId="17BFB7DA" w14:textId="77777777" w:rsidTr="00026782">
        <w:trPr>
          <w:trHeight w:val="300"/>
        </w:trPr>
        <w:tc>
          <w:tcPr>
            <w:tcW w:w="9062" w:type="dxa"/>
            <w:gridSpan w:val="2"/>
            <w:shd w:val="clear" w:color="auto" w:fill="auto"/>
            <w:noWrap/>
            <w:hideMark/>
          </w:tcPr>
          <w:p w14:paraId="6FE74E9C" w14:textId="77777777" w:rsidR="00FD0545" w:rsidRPr="00C376DE" w:rsidRDefault="00FD0545" w:rsidP="00026782">
            <w:pPr>
              <w:rPr>
                <w:rFonts w:eastAsia="Calibri"/>
                <w:sz w:val="22"/>
                <w:szCs w:val="22"/>
              </w:rPr>
            </w:pPr>
            <w:r w:rsidRPr="00C376DE">
              <w:rPr>
                <w:rFonts w:eastAsia="Calibri"/>
                <w:sz w:val="22"/>
                <w:szCs w:val="22"/>
              </w:rPr>
              <w:t>Szakdolgozat</w:t>
            </w:r>
          </w:p>
        </w:tc>
      </w:tr>
      <w:tr w:rsidR="00FD0545" w:rsidRPr="00C376DE" w14:paraId="794AE09C" w14:textId="77777777" w:rsidTr="00026782">
        <w:trPr>
          <w:trHeight w:val="300"/>
        </w:trPr>
        <w:tc>
          <w:tcPr>
            <w:tcW w:w="3318" w:type="dxa"/>
            <w:shd w:val="clear" w:color="auto" w:fill="auto"/>
            <w:noWrap/>
            <w:hideMark/>
          </w:tcPr>
          <w:p w14:paraId="30FCDF5E" w14:textId="77777777" w:rsidR="00FD0545" w:rsidRPr="00C376DE" w:rsidRDefault="00FD0545" w:rsidP="00026782">
            <w:pPr>
              <w:ind w:left="708"/>
              <w:jc w:val="both"/>
              <w:rPr>
                <w:rFonts w:eastAsia="Calibri"/>
                <w:sz w:val="22"/>
                <w:szCs w:val="22"/>
              </w:rPr>
            </w:pPr>
            <w:r w:rsidRPr="00C376DE">
              <w:rPr>
                <w:rFonts w:eastAsia="Calibri"/>
                <w:sz w:val="22"/>
                <w:szCs w:val="22"/>
              </w:rPr>
              <w:t>Vezetés</w:t>
            </w:r>
          </w:p>
        </w:tc>
        <w:tc>
          <w:tcPr>
            <w:tcW w:w="5744" w:type="dxa"/>
            <w:shd w:val="clear" w:color="auto" w:fill="auto"/>
            <w:noWrap/>
            <w:hideMark/>
          </w:tcPr>
          <w:p w14:paraId="7011E353" w14:textId="77777777" w:rsidR="00FD0545" w:rsidRPr="00C376DE" w:rsidRDefault="00FD0545" w:rsidP="00026782">
            <w:pPr>
              <w:jc w:val="both"/>
              <w:rPr>
                <w:rFonts w:eastAsia="Calibri"/>
                <w:sz w:val="22"/>
                <w:szCs w:val="22"/>
              </w:rPr>
            </w:pPr>
            <w:r w:rsidRPr="00C376DE">
              <w:rPr>
                <w:rFonts w:eastAsia="Calibri"/>
                <w:sz w:val="22"/>
                <w:szCs w:val="22"/>
              </w:rPr>
              <w:t xml:space="preserve">5, 9, 10 pont/ hallgató (magyar, angol, német), </w:t>
            </w:r>
            <w:proofErr w:type="spellStart"/>
            <w:r w:rsidRPr="00C376DE">
              <w:rPr>
                <w:rFonts w:eastAsia="Calibri"/>
                <w:sz w:val="22"/>
                <w:szCs w:val="22"/>
              </w:rPr>
              <w:t>max</w:t>
            </w:r>
            <w:proofErr w:type="spellEnd"/>
            <w:r w:rsidRPr="00C376DE">
              <w:rPr>
                <w:rFonts w:eastAsia="Calibri"/>
                <w:sz w:val="22"/>
                <w:szCs w:val="22"/>
              </w:rPr>
              <w:t>. 56 pont</w:t>
            </w:r>
          </w:p>
        </w:tc>
      </w:tr>
      <w:tr w:rsidR="00FD0545" w:rsidRPr="00C376DE" w14:paraId="72D8EFE3" w14:textId="77777777" w:rsidTr="00026782">
        <w:trPr>
          <w:trHeight w:val="300"/>
        </w:trPr>
        <w:tc>
          <w:tcPr>
            <w:tcW w:w="3318" w:type="dxa"/>
            <w:shd w:val="clear" w:color="auto" w:fill="auto"/>
            <w:noWrap/>
            <w:hideMark/>
          </w:tcPr>
          <w:p w14:paraId="4897AB72" w14:textId="77777777" w:rsidR="00FD0545" w:rsidRPr="00C376DE" w:rsidRDefault="00FD0545" w:rsidP="00026782">
            <w:pPr>
              <w:ind w:left="708"/>
              <w:jc w:val="both"/>
              <w:rPr>
                <w:rFonts w:eastAsia="Calibri"/>
                <w:sz w:val="22"/>
                <w:szCs w:val="22"/>
              </w:rPr>
            </w:pPr>
            <w:r w:rsidRPr="00C376DE">
              <w:rPr>
                <w:rFonts w:eastAsia="Calibri"/>
                <w:sz w:val="22"/>
                <w:szCs w:val="22"/>
              </w:rPr>
              <w:t>Védés</w:t>
            </w:r>
          </w:p>
        </w:tc>
        <w:tc>
          <w:tcPr>
            <w:tcW w:w="5744" w:type="dxa"/>
            <w:shd w:val="clear" w:color="auto" w:fill="auto"/>
            <w:noWrap/>
            <w:hideMark/>
          </w:tcPr>
          <w:p w14:paraId="7D99081B" w14:textId="77777777" w:rsidR="00FD0545" w:rsidRPr="00C376DE" w:rsidRDefault="00FD0545" w:rsidP="00026782">
            <w:pPr>
              <w:jc w:val="both"/>
              <w:rPr>
                <w:rFonts w:eastAsia="Calibri"/>
                <w:sz w:val="22"/>
                <w:szCs w:val="22"/>
              </w:rPr>
            </w:pPr>
            <w:r w:rsidRPr="00C376DE">
              <w:rPr>
                <w:rFonts w:eastAsia="Calibri"/>
                <w:sz w:val="22"/>
                <w:szCs w:val="22"/>
              </w:rPr>
              <w:t xml:space="preserve">2, 3,6, 4 pont /hallgató (magyar, angol, német), </w:t>
            </w:r>
            <w:proofErr w:type="spellStart"/>
            <w:r w:rsidRPr="00C376DE">
              <w:rPr>
                <w:rFonts w:eastAsia="Calibri"/>
                <w:sz w:val="22"/>
                <w:szCs w:val="22"/>
              </w:rPr>
              <w:t>max</w:t>
            </w:r>
            <w:proofErr w:type="spellEnd"/>
            <w:r w:rsidRPr="00C376DE">
              <w:rPr>
                <w:rFonts w:eastAsia="Calibri"/>
                <w:sz w:val="22"/>
                <w:szCs w:val="22"/>
              </w:rPr>
              <w:t>. 56 pont</w:t>
            </w:r>
          </w:p>
        </w:tc>
      </w:tr>
      <w:tr w:rsidR="00FD0545" w:rsidRPr="00C376DE" w14:paraId="2022FC61" w14:textId="77777777" w:rsidTr="00026782">
        <w:trPr>
          <w:trHeight w:val="315"/>
        </w:trPr>
        <w:tc>
          <w:tcPr>
            <w:tcW w:w="3318" w:type="dxa"/>
            <w:shd w:val="clear" w:color="auto" w:fill="auto"/>
            <w:noWrap/>
            <w:hideMark/>
          </w:tcPr>
          <w:p w14:paraId="0777CFE1" w14:textId="77777777" w:rsidR="00FD0545" w:rsidRPr="00C376DE" w:rsidRDefault="00FD0545" w:rsidP="00026782">
            <w:pPr>
              <w:ind w:left="708"/>
              <w:jc w:val="both"/>
              <w:rPr>
                <w:rFonts w:eastAsia="Calibri"/>
                <w:sz w:val="22"/>
                <w:szCs w:val="22"/>
              </w:rPr>
            </w:pPr>
            <w:r w:rsidRPr="00C376DE">
              <w:rPr>
                <w:rFonts w:eastAsia="Calibri"/>
                <w:sz w:val="22"/>
                <w:szCs w:val="22"/>
              </w:rPr>
              <w:t>Bírálat</w:t>
            </w:r>
          </w:p>
        </w:tc>
        <w:tc>
          <w:tcPr>
            <w:tcW w:w="5744" w:type="dxa"/>
            <w:shd w:val="clear" w:color="auto" w:fill="auto"/>
            <w:noWrap/>
            <w:hideMark/>
          </w:tcPr>
          <w:p w14:paraId="1A6E9A52" w14:textId="77777777" w:rsidR="00FD0545" w:rsidRPr="00C376DE" w:rsidRDefault="00FD0545" w:rsidP="00026782">
            <w:pPr>
              <w:jc w:val="both"/>
              <w:rPr>
                <w:rFonts w:eastAsia="Calibri"/>
                <w:sz w:val="22"/>
                <w:szCs w:val="22"/>
              </w:rPr>
            </w:pPr>
            <w:r w:rsidRPr="00C376DE">
              <w:rPr>
                <w:rFonts w:eastAsia="Calibri"/>
                <w:sz w:val="22"/>
                <w:szCs w:val="22"/>
              </w:rPr>
              <w:t xml:space="preserve">2, 3,6, 4 pont /hallgató (magyar, angol, német), </w:t>
            </w:r>
            <w:proofErr w:type="spellStart"/>
            <w:r w:rsidRPr="00C376DE">
              <w:rPr>
                <w:rFonts w:eastAsia="Calibri"/>
                <w:sz w:val="22"/>
                <w:szCs w:val="22"/>
              </w:rPr>
              <w:t>max</w:t>
            </w:r>
            <w:proofErr w:type="spellEnd"/>
            <w:r w:rsidRPr="00C376DE">
              <w:rPr>
                <w:rFonts w:eastAsia="Calibri"/>
                <w:sz w:val="22"/>
                <w:szCs w:val="22"/>
              </w:rPr>
              <w:t>. 56 pont</w:t>
            </w:r>
          </w:p>
        </w:tc>
      </w:tr>
      <w:tr w:rsidR="00FD0545" w:rsidRPr="00C376DE" w14:paraId="67FFDB69" w14:textId="77777777" w:rsidTr="00026782">
        <w:trPr>
          <w:trHeight w:val="300"/>
        </w:trPr>
        <w:tc>
          <w:tcPr>
            <w:tcW w:w="3318" w:type="dxa"/>
            <w:shd w:val="clear" w:color="auto" w:fill="auto"/>
            <w:noWrap/>
            <w:hideMark/>
          </w:tcPr>
          <w:p w14:paraId="7938DEBD" w14:textId="77777777" w:rsidR="00FD0545" w:rsidRPr="00C376DE" w:rsidRDefault="00FD0545" w:rsidP="00026782">
            <w:pPr>
              <w:jc w:val="both"/>
              <w:rPr>
                <w:rFonts w:eastAsia="Calibri"/>
                <w:sz w:val="22"/>
                <w:szCs w:val="22"/>
              </w:rPr>
            </w:pPr>
            <w:proofErr w:type="spellStart"/>
            <w:r w:rsidRPr="00C376DE">
              <w:rPr>
                <w:rFonts w:eastAsia="Calibri"/>
                <w:sz w:val="22"/>
                <w:szCs w:val="22"/>
              </w:rPr>
              <w:t>Neptun</w:t>
            </w:r>
            <w:proofErr w:type="spellEnd"/>
            <w:r w:rsidRPr="00C376DE">
              <w:rPr>
                <w:rFonts w:eastAsia="Calibri"/>
                <w:sz w:val="22"/>
                <w:szCs w:val="22"/>
              </w:rPr>
              <w:t xml:space="preserve"> </w:t>
            </w:r>
            <w:proofErr w:type="gramStart"/>
            <w:r w:rsidRPr="00C376DE">
              <w:rPr>
                <w:rFonts w:eastAsia="Calibri"/>
                <w:sz w:val="22"/>
                <w:szCs w:val="22"/>
              </w:rPr>
              <w:t>adminisztráció</w:t>
            </w:r>
            <w:proofErr w:type="gramEnd"/>
          </w:p>
        </w:tc>
        <w:tc>
          <w:tcPr>
            <w:tcW w:w="5744" w:type="dxa"/>
            <w:shd w:val="clear" w:color="auto" w:fill="auto"/>
            <w:noWrap/>
            <w:hideMark/>
          </w:tcPr>
          <w:p w14:paraId="15C60022" w14:textId="77777777" w:rsidR="00FD0545" w:rsidRPr="00C376DE" w:rsidRDefault="00FD0545" w:rsidP="00026782">
            <w:pPr>
              <w:jc w:val="both"/>
              <w:rPr>
                <w:rFonts w:eastAsia="Calibri"/>
                <w:sz w:val="22"/>
                <w:szCs w:val="22"/>
              </w:rPr>
            </w:pPr>
            <w:proofErr w:type="spellStart"/>
            <w:r w:rsidRPr="00C376DE">
              <w:rPr>
                <w:rFonts w:eastAsia="Calibri"/>
                <w:sz w:val="22"/>
                <w:szCs w:val="22"/>
              </w:rPr>
              <w:t>max</w:t>
            </w:r>
            <w:proofErr w:type="spellEnd"/>
            <w:r w:rsidRPr="00C376DE">
              <w:rPr>
                <w:rFonts w:eastAsia="Calibri"/>
                <w:sz w:val="22"/>
                <w:szCs w:val="22"/>
              </w:rPr>
              <w:t>. 28 pont</w:t>
            </w:r>
          </w:p>
        </w:tc>
      </w:tr>
      <w:tr w:rsidR="00FD0545" w:rsidRPr="00C376DE" w14:paraId="532700EA" w14:textId="77777777" w:rsidTr="00026782">
        <w:trPr>
          <w:trHeight w:val="300"/>
        </w:trPr>
        <w:tc>
          <w:tcPr>
            <w:tcW w:w="3318" w:type="dxa"/>
            <w:shd w:val="clear" w:color="auto" w:fill="auto"/>
            <w:noWrap/>
            <w:hideMark/>
          </w:tcPr>
          <w:p w14:paraId="5D913AC9" w14:textId="77777777" w:rsidR="00FD0545" w:rsidRPr="00C376DE" w:rsidRDefault="00FD0545" w:rsidP="00026782">
            <w:pPr>
              <w:jc w:val="both"/>
              <w:rPr>
                <w:rFonts w:eastAsia="Calibri"/>
                <w:sz w:val="22"/>
                <w:szCs w:val="22"/>
              </w:rPr>
            </w:pPr>
            <w:r w:rsidRPr="00C376DE">
              <w:rPr>
                <w:rFonts w:eastAsia="Calibri"/>
                <w:sz w:val="22"/>
                <w:szCs w:val="22"/>
              </w:rPr>
              <w:t>Új tárgy kidolgozása</w:t>
            </w:r>
          </w:p>
        </w:tc>
        <w:tc>
          <w:tcPr>
            <w:tcW w:w="5744" w:type="dxa"/>
            <w:shd w:val="clear" w:color="auto" w:fill="auto"/>
            <w:noWrap/>
            <w:hideMark/>
          </w:tcPr>
          <w:p w14:paraId="27892396" w14:textId="77777777" w:rsidR="00FD0545" w:rsidRPr="00C376DE" w:rsidRDefault="00FD0545" w:rsidP="00026782">
            <w:pPr>
              <w:jc w:val="both"/>
              <w:rPr>
                <w:rFonts w:eastAsia="Calibri"/>
                <w:sz w:val="22"/>
                <w:szCs w:val="22"/>
              </w:rPr>
            </w:pPr>
            <w:r w:rsidRPr="00C376DE">
              <w:rPr>
                <w:rFonts w:eastAsia="Calibri"/>
                <w:sz w:val="22"/>
                <w:szCs w:val="22"/>
              </w:rPr>
              <w:t xml:space="preserve">14 pont / kredit, </w:t>
            </w:r>
            <w:proofErr w:type="spellStart"/>
            <w:r w:rsidRPr="00C376DE">
              <w:rPr>
                <w:rFonts w:eastAsia="Calibri"/>
                <w:sz w:val="22"/>
                <w:szCs w:val="22"/>
              </w:rPr>
              <w:t>max</w:t>
            </w:r>
            <w:proofErr w:type="spellEnd"/>
            <w:r w:rsidRPr="00C376DE">
              <w:rPr>
                <w:rFonts w:eastAsia="Calibri"/>
                <w:sz w:val="22"/>
                <w:szCs w:val="22"/>
              </w:rPr>
              <w:t>. 56 pont</w:t>
            </w:r>
          </w:p>
        </w:tc>
      </w:tr>
      <w:tr w:rsidR="00FD0545" w:rsidRPr="00C376DE" w14:paraId="7F6A5012" w14:textId="77777777" w:rsidTr="00026782">
        <w:trPr>
          <w:trHeight w:val="300"/>
        </w:trPr>
        <w:tc>
          <w:tcPr>
            <w:tcW w:w="3318" w:type="dxa"/>
            <w:shd w:val="clear" w:color="auto" w:fill="auto"/>
            <w:noWrap/>
            <w:hideMark/>
          </w:tcPr>
          <w:p w14:paraId="1A5AFF88" w14:textId="77777777" w:rsidR="00FD0545" w:rsidRPr="00C376DE" w:rsidRDefault="00FD0545" w:rsidP="00026782">
            <w:pPr>
              <w:jc w:val="both"/>
              <w:rPr>
                <w:rFonts w:eastAsia="Calibri"/>
                <w:sz w:val="22"/>
                <w:szCs w:val="22"/>
              </w:rPr>
            </w:pPr>
            <w:r w:rsidRPr="00C376DE">
              <w:rPr>
                <w:rFonts w:eastAsia="Calibri"/>
                <w:sz w:val="22"/>
                <w:szCs w:val="22"/>
              </w:rPr>
              <w:t>Vizsgafelügyelet</w:t>
            </w:r>
          </w:p>
        </w:tc>
        <w:tc>
          <w:tcPr>
            <w:tcW w:w="5744" w:type="dxa"/>
            <w:shd w:val="clear" w:color="auto" w:fill="auto"/>
            <w:noWrap/>
            <w:hideMark/>
          </w:tcPr>
          <w:p w14:paraId="3009B4D0" w14:textId="77777777" w:rsidR="00FD0545" w:rsidRPr="00C376DE" w:rsidRDefault="00FD0545" w:rsidP="00026782">
            <w:pPr>
              <w:jc w:val="both"/>
              <w:rPr>
                <w:rFonts w:eastAsia="Calibri"/>
                <w:sz w:val="22"/>
                <w:szCs w:val="22"/>
              </w:rPr>
            </w:pPr>
            <w:r w:rsidRPr="00C376DE">
              <w:rPr>
                <w:rFonts w:eastAsia="Calibri"/>
                <w:sz w:val="22"/>
                <w:szCs w:val="22"/>
              </w:rPr>
              <w:t xml:space="preserve">0,05 pont / hallgató, </w:t>
            </w:r>
            <w:proofErr w:type="spellStart"/>
            <w:r w:rsidRPr="00C376DE">
              <w:rPr>
                <w:rFonts w:eastAsia="Calibri"/>
                <w:sz w:val="22"/>
                <w:szCs w:val="22"/>
              </w:rPr>
              <w:t>max</w:t>
            </w:r>
            <w:proofErr w:type="spellEnd"/>
            <w:r w:rsidRPr="00C376DE">
              <w:rPr>
                <w:rFonts w:eastAsia="Calibri"/>
                <w:sz w:val="22"/>
                <w:szCs w:val="22"/>
              </w:rPr>
              <w:t>. 28 pont</w:t>
            </w:r>
          </w:p>
        </w:tc>
      </w:tr>
      <w:tr w:rsidR="00FD0545" w:rsidRPr="00C376DE" w14:paraId="4EBCDE14" w14:textId="77777777" w:rsidTr="00026782">
        <w:trPr>
          <w:trHeight w:val="300"/>
        </w:trPr>
        <w:tc>
          <w:tcPr>
            <w:tcW w:w="3318" w:type="dxa"/>
            <w:shd w:val="clear" w:color="auto" w:fill="auto"/>
            <w:noWrap/>
            <w:hideMark/>
          </w:tcPr>
          <w:p w14:paraId="2C8ED1CE" w14:textId="77777777" w:rsidR="00FD0545" w:rsidRPr="00C376DE" w:rsidRDefault="00FD0545" w:rsidP="00026782">
            <w:pPr>
              <w:jc w:val="both"/>
              <w:rPr>
                <w:rFonts w:eastAsia="Calibri"/>
                <w:sz w:val="22"/>
                <w:szCs w:val="22"/>
              </w:rPr>
            </w:pPr>
            <w:r w:rsidRPr="00C376DE">
              <w:rPr>
                <w:rFonts w:eastAsia="Calibri"/>
                <w:sz w:val="22"/>
                <w:szCs w:val="22"/>
              </w:rPr>
              <w:t>Félév végi vizsgák</w:t>
            </w:r>
          </w:p>
        </w:tc>
        <w:tc>
          <w:tcPr>
            <w:tcW w:w="5744" w:type="dxa"/>
            <w:shd w:val="clear" w:color="auto" w:fill="auto"/>
            <w:noWrap/>
            <w:hideMark/>
          </w:tcPr>
          <w:p w14:paraId="7E138AB3" w14:textId="77777777" w:rsidR="00FD0545" w:rsidRPr="00C376DE" w:rsidRDefault="00FD0545" w:rsidP="00026782">
            <w:pPr>
              <w:jc w:val="both"/>
              <w:rPr>
                <w:rFonts w:eastAsia="Calibri"/>
                <w:sz w:val="22"/>
                <w:szCs w:val="22"/>
              </w:rPr>
            </w:pPr>
            <w:r w:rsidRPr="00C376DE">
              <w:rPr>
                <w:rFonts w:eastAsia="Calibri"/>
                <w:sz w:val="22"/>
                <w:szCs w:val="22"/>
              </w:rPr>
              <w:t xml:space="preserve">0,5 pont / hallgató, </w:t>
            </w:r>
            <w:proofErr w:type="spellStart"/>
            <w:r w:rsidRPr="00C376DE">
              <w:rPr>
                <w:rFonts w:eastAsia="Calibri"/>
                <w:sz w:val="22"/>
                <w:szCs w:val="22"/>
              </w:rPr>
              <w:t>max</w:t>
            </w:r>
            <w:proofErr w:type="spellEnd"/>
            <w:r w:rsidRPr="00C376DE">
              <w:rPr>
                <w:rFonts w:eastAsia="Calibri"/>
                <w:sz w:val="22"/>
                <w:szCs w:val="22"/>
              </w:rPr>
              <w:t>. 200 pont</w:t>
            </w:r>
          </w:p>
        </w:tc>
      </w:tr>
      <w:tr w:rsidR="00FD0545" w:rsidRPr="00C376DE" w14:paraId="448522E1" w14:textId="77777777" w:rsidTr="00026782">
        <w:trPr>
          <w:trHeight w:val="300"/>
        </w:trPr>
        <w:tc>
          <w:tcPr>
            <w:tcW w:w="3318" w:type="dxa"/>
            <w:shd w:val="clear" w:color="auto" w:fill="auto"/>
            <w:noWrap/>
            <w:hideMark/>
          </w:tcPr>
          <w:p w14:paraId="3EA07238" w14:textId="77777777" w:rsidR="00FD0545" w:rsidRPr="00C376DE" w:rsidRDefault="00FD0545" w:rsidP="00026782">
            <w:pPr>
              <w:jc w:val="both"/>
              <w:rPr>
                <w:rFonts w:eastAsia="Calibri"/>
                <w:sz w:val="22"/>
                <w:szCs w:val="22"/>
              </w:rPr>
            </w:pPr>
            <w:r w:rsidRPr="00C376DE">
              <w:rPr>
                <w:rFonts w:eastAsia="Calibri"/>
                <w:sz w:val="22"/>
                <w:szCs w:val="22"/>
              </w:rPr>
              <w:t>Záróvizsgáztatás</w:t>
            </w:r>
          </w:p>
        </w:tc>
        <w:tc>
          <w:tcPr>
            <w:tcW w:w="5744" w:type="dxa"/>
            <w:shd w:val="clear" w:color="auto" w:fill="auto"/>
            <w:noWrap/>
            <w:hideMark/>
          </w:tcPr>
          <w:p w14:paraId="2C4A96BA" w14:textId="77777777" w:rsidR="00FD0545" w:rsidRPr="00C376DE" w:rsidRDefault="00FD0545" w:rsidP="00026782">
            <w:pPr>
              <w:jc w:val="both"/>
              <w:rPr>
                <w:rFonts w:eastAsia="Calibri"/>
                <w:sz w:val="22"/>
                <w:szCs w:val="22"/>
              </w:rPr>
            </w:pPr>
            <w:r w:rsidRPr="00C376DE">
              <w:rPr>
                <w:rFonts w:eastAsia="Calibri"/>
                <w:sz w:val="22"/>
                <w:szCs w:val="22"/>
              </w:rPr>
              <w:t xml:space="preserve">0,5 pont / hallgató, </w:t>
            </w:r>
            <w:proofErr w:type="spellStart"/>
            <w:r w:rsidRPr="00C376DE">
              <w:rPr>
                <w:rFonts w:eastAsia="Calibri"/>
                <w:sz w:val="22"/>
                <w:szCs w:val="22"/>
              </w:rPr>
              <w:t>max</w:t>
            </w:r>
            <w:proofErr w:type="spellEnd"/>
            <w:r w:rsidRPr="00C376DE">
              <w:rPr>
                <w:rFonts w:eastAsia="Calibri"/>
                <w:sz w:val="22"/>
                <w:szCs w:val="22"/>
              </w:rPr>
              <w:t>. 100 pont</w:t>
            </w:r>
          </w:p>
        </w:tc>
      </w:tr>
      <w:tr w:rsidR="00FD0545" w:rsidRPr="00C376DE" w14:paraId="4FEE8118" w14:textId="77777777" w:rsidTr="00026782">
        <w:trPr>
          <w:trHeight w:val="300"/>
        </w:trPr>
        <w:tc>
          <w:tcPr>
            <w:tcW w:w="3318" w:type="dxa"/>
            <w:shd w:val="clear" w:color="auto" w:fill="auto"/>
            <w:noWrap/>
            <w:hideMark/>
          </w:tcPr>
          <w:p w14:paraId="4297EC40" w14:textId="77777777" w:rsidR="00FD0545" w:rsidRPr="00C376DE" w:rsidRDefault="00FD0545" w:rsidP="00026782">
            <w:pPr>
              <w:jc w:val="both"/>
              <w:rPr>
                <w:rFonts w:eastAsia="Calibri"/>
                <w:sz w:val="22"/>
                <w:szCs w:val="22"/>
              </w:rPr>
            </w:pPr>
            <w:r w:rsidRPr="00C376DE">
              <w:rPr>
                <w:rFonts w:eastAsia="Calibri"/>
                <w:sz w:val="22"/>
                <w:szCs w:val="22"/>
              </w:rPr>
              <w:t>Felvételi vizsgáztatás (angol)</w:t>
            </w:r>
          </w:p>
        </w:tc>
        <w:tc>
          <w:tcPr>
            <w:tcW w:w="5744" w:type="dxa"/>
            <w:shd w:val="clear" w:color="auto" w:fill="auto"/>
            <w:noWrap/>
            <w:hideMark/>
          </w:tcPr>
          <w:p w14:paraId="594F3D46" w14:textId="77777777" w:rsidR="00FD0545" w:rsidRPr="00C376DE" w:rsidRDefault="00FD0545" w:rsidP="00026782">
            <w:pPr>
              <w:jc w:val="both"/>
              <w:rPr>
                <w:rFonts w:eastAsia="Calibri"/>
                <w:sz w:val="22"/>
                <w:szCs w:val="22"/>
              </w:rPr>
            </w:pPr>
            <w:r w:rsidRPr="00C376DE">
              <w:rPr>
                <w:rFonts w:eastAsia="Calibri"/>
                <w:sz w:val="22"/>
                <w:szCs w:val="22"/>
              </w:rPr>
              <w:t xml:space="preserve">0,5 pont / hallgató, </w:t>
            </w:r>
            <w:proofErr w:type="spellStart"/>
            <w:r w:rsidRPr="00C376DE">
              <w:rPr>
                <w:rFonts w:eastAsia="Calibri"/>
                <w:sz w:val="22"/>
                <w:szCs w:val="22"/>
              </w:rPr>
              <w:t>max</w:t>
            </w:r>
            <w:proofErr w:type="spellEnd"/>
            <w:r w:rsidRPr="00C376DE">
              <w:rPr>
                <w:rFonts w:eastAsia="Calibri"/>
                <w:sz w:val="22"/>
                <w:szCs w:val="22"/>
              </w:rPr>
              <w:t>. 100 pont</w:t>
            </w:r>
          </w:p>
        </w:tc>
      </w:tr>
      <w:tr w:rsidR="00FD0545" w:rsidRPr="00C376DE" w14:paraId="5332172D" w14:textId="77777777" w:rsidTr="00026782">
        <w:trPr>
          <w:trHeight w:val="300"/>
        </w:trPr>
        <w:tc>
          <w:tcPr>
            <w:tcW w:w="3318" w:type="dxa"/>
            <w:shd w:val="clear" w:color="auto" w:fill="auto"/>
            <w:noWrap/>
            <w:hideMark/>
          </w:tcPr>
          <w:p w14:paraId="0BDB4752" w14:textId="77777777" w:rsidR="00FD0545" w:rsidRPr="00C376DE" w:rsidRDefault="00FD0545" w:rsidP="00026782">
            <w:pPr>
              <w:jc w:val="both"/>
              <w:rPr>
                <w:rFonts w:eastAsia="Calibri"/>
                <w:sz w:val="22"/>
                <w:szCs w:val="22"/>
              </w:rPr>
            </w:pPr>
            <w:r w:rsidRPr="00C376DE">
              <w:rPr>
                <w:rFonts w:eastAsia="Calibri"/>
                <w:sz w:val="22"/>
                <w:szCs w:val="22"/>
              </w:rPr>
              <w:t xml:space="preserve">Szakmai </w:t>
            </w:r>
            <w:proofErr w:type="gramStart"/>
            <w:r w:rsidRPr="00C376DE">
              <w:rPr>
                <w:rFonts w:eastAsia="Calibri"/>
                <w:sz w:val="22"/>
                <w:szCs w:val="22"/>
              </w:rPr>
              <w:t>gyakorlat szervezés</w:t>
            </w:r>
            <w:proofErr w:type="gramEnd"/>
          </w:p>
        </w:tc>
        <w:tc>
          <w:tcPr>
            <w:tcW w:w="5744" w:type="dxa"/>
            <w:shd w:val="clear" w:color="auto" w:fill="auto"/>
            <w:noWrap/>
            <w:hideMark/>
          </w:tcPr>
          <w:p w14:paraId="764BC0D8" w14:textId="77777777" w:rsidR="00FD0545" w:rsidRPr="00C376DE" w:rsidRDefault="00FD0545" w:rsidP="00026782">
            <w:pPr>
              <w:jc w:val="both"/>
              <w:rPr>
                <w:rFonts w:eastAsia="Calibri"/>
                <w:sz w:val="22"/>
                <w:szCs w:val="22"/>
              </w:rPr>
            </w:pPr>
            <w:proofErr w:type="spellStart"/>
            <w:r w:rsidRPr="00C376DE">
              <w:rPr>
                <w:rFonts w:eastAsia="Calibri"/>
                <w:sz w:val="22"/>
                <w:szCs w:val="22"/>
              </w:rPr>
              <w:t>max</w:t>
            </w:r>
            <w:proofErr w:type="spellEnd"/>
            <w:r w:rsidRPr="00C376DE">
              <w:rPr>
                <w:rFonts w:eastAsia="Calibri"/>
                <w:sz w:val="22"/>
                <w:szCs w:val="22"/>
              </w:rPr>
              <w:t>. 56 pont</w:t>
            </w:r>
          </w:p>
        </w:tc>
      </w:tr>
    </w:tbl>
    <w:p w14:paraId="43B00B2A" w14:textId="77777777" w:rsidR="00FD0545" w:rsidRPr="00E13CE5" w:rsidRDefault="00FD0545" w:rsidP="00FD0545">
      <w:pPr>
        <w:jc w:val="both"/>
        <w:rPr>
          <w:rFonts w:eastAsia="Calibri"/>
          <w:sz w:val="22"/>
          <w:szCs w:val="22"/>
        </w:rPr>
      </w:pPr>
    </w:p>
    <w:p w14:paraId="53A920B9" w14:textId="77777777" w:rsidR="00FD0545" w:rsidRPr="00E13CE5" w:rsidRDefault="00FD0545" w:rsidP="00FD0545">
      <w:pPr>
        <w:jc w:val="both"/>
        <w:rPr>
          <w:rFonts w:eastAsia="Calibri"/>
          <w:sz w:val="22"/>
          <w:szCs w:val="22"/>
        </w:rPr>
      </w:pPr>
      <w:r w:rsidRPr="00E13CE5">
        <w:rPr>
          <w:rFonts w:eastAsia="Calibri"/>
          <w:sz w:val="22"/>
          <w:szCs w:val="22"/>
        </w:rPr>
        <w:t>Megjegyzések, magyarázatok:</w:t>
      </w:r>
    </w:p>
    <w:p w14:paraId="1A594A93"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 xml:space="preserve">A rendszeres hallgatói </w:t>
      </w:r>
      <w:proofErr w:type="gramStart"/>
      <w:r w:rsidRPr="00E13CE5">
        <w:rPr>
          <w:rFonts w:eastAsia="Calibri"/>
          <w:sz w:val="22"/>
          <w:szCs w:val="22"/>
        </w:rPr>
        <w:t>konzultáció</w:t>
      </w:r>
      <w:proofErr w:type="gramEnd"/>
      <w:r w:rsidRPr="00E13CE5">
        <w:rPr>
          <w:rFonts w:eastAsia="Calibri"/>
          <w:sz w:val="22"/>
          <w:szCs w:val="22"/>
        </w:rPr>
        <w:t xml:space="preserve"> heti két fogadóóra formájában teljesítendő elvárás, ami automatikusan beépül a teljesítményértékelési rendszerbe.</w:t>
      </w:r>
    </w:p>
    <w:p w14:paraId="6E8EBC6C"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 xml:space="preserve">A szakdolgozat elkészítésével kapcsolatos oktatói teendők pontértékei a </w:t>
      </w:r>
      <w:proofErr w:type="gramStart"/>
      <w:r w:rsidRPr="00E13CE5">
        <w:rPr>
          <w:rFonts w:eastAsia="Calibri"/>
          <w:sz w:val="22"/>
          <w:szCs w:val="22"/>
        </w:rPr>
        <w:t>kontakt óra-szorzókat</w:t>
      </w:r>
      <w:proofErr w:type="gramEnd"/>
      <w:r w:rsidRPr="00E13CE5">
        <w:rPr>
          <w:rFonts w:eastAsia="Calibri"/>
          <w:sz w:val="22"/>
          <w:szCs w:val="22"/>
        </w:rPr>
        <w:t xml:space="preserve"> követik (angol nyelvű: 1,8, német nyelvű: 2)</w:t>
      </w:r>
    </w:p>
    <w:p w14:paraId="74DF5EF6"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 xml:space="preserve">A </w:t>
      </w:r>
      <w:proofErr w:type="spellStart"/>
      <w:r w:rsidRPr="00E13CE5">
        <w:rPr>
          <w:rFonts w:eastAsia="Calibri"/>
          <w:sz w:val="22"/>
          <w:szCs w:val="22"/>
        </w:rPr>
        <w:t>Neptun</w:t>
      </w:r>
      <w:proofErr w:type="spellEnd"/>
      <w:r w:rsidRPr="00E13CE5">
        <w:rPr>
          <w:rFonts w:eastAsia="Calibri"/>
          <w:sz w:val="22"/>
          <w:szCs w:val="22"/>
        </w:rPr>
        <w:t xml:space="preserve"> </w:t>
      </w:r>
      <w:proofErr w:type="gramStart"/>
      <w:r w:rsidRPr="00E13CE5">
        <w:rPr>
          <w:rFonts w:eastAsia="Calibri"/>
          <w:sz w:val="22"/>
          <w:szCs w:val="22"/>
        </w:rPr>
        <w:t>adminisztráció</w:t>
      </w:r>
      <w:proofErr w:type="gramEnd"/>
      <w:r w:rsidRPr="00E13CE5">
        <w:rPr>
          <w:rFonts w:eastAsia="Calibri"/>
          <w:sz w:val="22"/>
          <w:szCs w:val="22"/>
        </w:rPr>
        <w:t xml:space="preserve"> pontértéke akkor számolható el, ha a kurzusok le vannak zárva.</w:t>
      </w:r>
    </w:p>
    <w:p w14:paraId="384AFA94"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Új tárgy kidolgozásának pontértéke a tárgy kredit értékétől függ.</w:t>
      </w:r>
    </w:p>
    <w:p w14:paraId="2F7BD94E"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 xml:space="preserve">Szakmai gyakorlat szervezéséért </w:t>
      </w:r>
      <w:proofErr w:type="gramStart"/>
      <w:r w:rsidRPr="00E13CE5">
        <w:rPr>
          <w:rFonts w:eastAsia="Calibri"/>
          <w:sz w:val="22"/>
          <w:szCs w:val="22"/>
        </w:rPr>
        <w:t>limitált</w:t>
      </w:r>
      <w:proofErr w:type="gramEnd"/>
      <w:r w:rsidRPr="00E13CE5">
        <w:rPr>
          <w:rFonts w:eastAsia="Calibri"/>
          <w:sz w:val="22"/>
          <w:szCs w:val="22"/>
        </w:rPr>
        <w:t xml:space="preserve"> pontszám adható.</w:t>
      </w:r>
    </w:p>
    <w:p w14:paraId="3D4C6180" w14:textId="77777777" w:rsidR="00FD0545" w:rsidRPr="00E13CE5" w:rsidRDefault="00FD0545" w:rsidP="00F83E93">
      <w:pPr>
        <w:numPr>
          <w:ilvl w:val="0"/>
          <w:numId w:val="150"/>
        </w:numPr>
        <w:contextualSpacing/>
        <w:jc w:val="both"/>
        <w:rPr>
          <w:rFonts w:eastAsia="Calibri"/>
          <w:sz w:val="22"/>
          <w:szCs w:val="22"/>
        </w:rPr>
      </w:pPr>
      <w:r w:rsidRPr="00E13CE5">
        <w:rPr>
          <w:rFonts w:eastAsia="Calibri"/>
          <w:sz w:val="22"/>
          <w:szCs w:val="22"/>
        </w:rPr>
        <w:t>Minden más fent felsorolt tevékenységhez hallgató arányos pontszám kerül hozzárendelésre.</w:t>
      </w:r>
    </w:p>
    <w:p w14:paraId="36452F03" w14:textId="77777777" w:rsidR="00FD0545" w:rsidRPr="00E13CE5" w:rsidRDefault="00FD0545" w:rsidP="00FD0545">
      <w:pPr>
        <w:jc w:val="both"/>
        <w:rPr>
          <w:rFonts w:eastAsia="Calibri"/>
          <w:sz w:val="22"/>
          <w:szCs w:val="22"/>
        </w:rPr>
      </w:pPr>
      <w:r w:rsidRPr="00E13CE5">
        <w:rPr>
          <w:rFonts w:eastAsia="Calibri"/>
          <w:sz w:val="22"/>
          <w:szCs w:val="22"/>
        </w:rPr>
        <w:t xml:space="preserve">(5) Az oktatási tevékenység összegzése a nyers pont. A mennyiségi számbevétel minőségi szempontokkal </w:t>
      </w:r>
      <w:proofErr w:type="gramStart"/>
      <w:r w:rsidRPr="00E13CE5">
        <w:rPr>
          <w:rFonts w:eastAsia="Calibri"/>
          <w:sz w:val="22"/>
          <w:szCs w:val="22"/>
        </w:rPr>
        <w:t>korrigálva</w:t>
      </w:r>
      <w:proofErr w:type="gramEnd"/>
      <w:r w:rsidRPr="00E13CE5">
        <w:rPr>
          <w:rFonts w:eastAsia="Calibri"/>
          <w:sz w:val="22"/>
          <w:szCs w:val="22"/>
        </w:rPr>
        <w:t xml:space="preserve"> eredményezi  </w:t>
      </w:r>
      <w:r w:rsidRPr="00E13CE5">
        <w:rPr>
          <w:rFonts w:eastAsia="Calibri"/>
          <w:b/>
          <w:sz w:val="22"/>
          <w:szCs w:val="22"/>
        </w:rPr>
        <w:t>az összes oktatási pontot</w:t>
      </w:r>
      <w:r w:rsidRPr="00E13CE5">
        <w:rPr>
          <w:rFonts w:eastAsia="Calibri"/>
          <w:sz w:val="22"/>
          <w:szCs w:val="22"/>
        </w:rPr>
        <w:t>.</w:t>
      </w:r>
    </w:p>
    <w:p w14:paraId="172952D2" w14:textId="77777777" w:rsidR="00FD0545" w:rsidRPr="00E13CE5" w:rsidRDefault="00FD0545" w:rsidP="00FD0545">
      <w:pPr>
        <w:jc w:val="both"/>
        <w:rPr>
          <w:rFonts w:eastAsia="Calibri"/>
          <w:sz w:val="22"/>
          <w:szCs w:val="22"/>
        </w:rPr>
      </w:pPr>
    </w:p>
    <w:p w14:paraId="275AF5C4" w14:textId="77777777" w:rsidR="00FD0545" w:rsidRPr="00E13CE5" w:rsidRDefault="00FD0545" w:rsidP="00FD0545">
      <w:pPr>
        <w:jc w:val="both"/>
        <w:rPr>
          <w:rFonts w:eastAsia="Calibri"/>
          <w:sz w:val="22"/>
          <w:szCs w:val="22"/>
        </w:rPr>
      </w:pPr>
      <w:r w:rsidRPr="00E13CE5">
        <w:rPr>
          <w:rFonts w:eastAsia="Calibri"/>
          <w:sz w:val="22"/>
          <w:szCs w:val="22"/>
        </w:rPr>
        <w:t>(6) Az egyik minőségszorzó a besorolástól függ és követik a felsőoktatásban szokásos bérbesorolási sémát:</w:t>
      </w:r>
    </w:p>
    <w:p w14:paraId="679331DF" w14:textId="77777777" w:rsidR="00FD0545" w:rsidRPr="00E13CE5" w:rsidRDefault="00FD0545" w:rsidP="00FD0545">
      <w:pPr>
        <w:jc w:val="both"/>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585"/>
      </w:tblGrid>
      <w:tr w:rsidR="00FD0545" w:rsidRPr="00C376DE" w14:paraId="54F8CFB6" w14:textId="77777777" w:rsidTr="00026782">
        <w:trPr>
          <w:trHeight w:val="330"/>
          <w:jc w:val="center"/>
        </w:trPr>
        <w:tc>
          <w:tcPr>
            <w:tcW w:w="3280" w:type="dxa"/>
            <w:shd w:val="clear" w:color="auto" w:fill="E7E6E6"/>
          </w:tcPr>
          <w:p w14:paraId="14ED37C4" w14:textId="77777777" w:rsidR="00FD0545" w:rsidRPr="00C376DE" w:rsidRDefault="00FD0545" w:rsidP="00026782">
            <w:pPr>
              <w:jc w:val="both"/>
              <w:rPr>
                <w:rFonts w:eastAsia="Calibri"/>
                <w:b/>
                <w:sz w:val="22"/>
                <w:szCs w:val="22"/>
              </w:rPr>
            </w:pPr>
            <w:r w:rsidRPr="00C376DE">
              <w:rPr>
                <w:rFonts w:eastAsia="Calibri"/>
                <w:b/>
                <w:sz w:val="22"/>
                <w:szCs w:val="22"/>
              </w:rPr>
              <w:t>Besorolás</w:t>
            </w:r>
          </w:p>
        </w:tc>
        <w:tc>
          <w:tcPr>
            <w:tcW w:w="1535" w:type="dxa"/>
            <w:shd w:val="clear" w:color="auto" w:fill="E7E6E6"/>
          </w:tcPr>
          <w:p w14:paraId="6B81286D" w14:textId="77777777" w:rsidR="00FD0545" w:rsidRPr="00C376DE" w:rsidRDefault="00FD0545" w:rsidP="00026782">
            <w:pPr>
              <w:jc w:val="right"/>
              <w:rPr>
                <w:rFonts w:eastAsia="Calibri"/>
                <w:b/>
                <w:sz w:val="22"/>
                <w:szCs w:val="22"/>
              </w:rPr>
            </w:pPr>
            <w:r w:rsidRPr="00C376DE">
              <w:rPr>
                <w:rFonts w:eastAsia="Calibri"/>
                <w:b/>
                <w:sz w:val="22"/>
                <w:szCs w:val="22"/>
              </w:rPr>
              <w:t>minőségszorzó</w:t>
            </w:r>
          </w:p>
        </w:tc>
      </w:tr>
      <w:tr w:rsidR="00FD0545" w:rsidRPr="00C376DE" w14:paraId="5A843C60" w14:textId="77777777" w:rsidTr="00026782">
        <w:trPr>
          <w:trHeight w:val="330"/>
          <w:jc w:val="center"/>
        </w:trPr>
        <w:tc>
          <w:tcPr>
            <w:tcW w:w="3280" w:type="dxa"/>
            <w:shd w:val="clear" w:color="auto" w:fill="auto"/>
            <w:hideMark/>
          </w:tcPr>
          <w:p w14:paraId="68456B88" w14:textId="77777777" w:rsidR="00FD0545" w:rsidRPr="00C376DE" w:rsidRDefault="00FD0545" w:rsidP="00026782">
            <w:pPr>
              <w:jc w:val="both"/>
              <w:rPr>
                <w:rFonts w:eastAsia="Calibri"/>
                <w:sz w:val="22"/>
                <w:szCs w:val="22"/>
              </w:rPr>
            </w:pPr>
            <w:r w:rsidRPr="00C376DE">
              <w:rPr>
                <w:rFonts w:eastAsia="Calibri"/>
                <w:sz w:val="22"/>
                <w:szCs w:val="22"/>
              </w:rPr>
              <w:t>Egyetemi tanár</w:t>
            </w:r>
          </w:p>
        </w:tc>
        <w:tc>
          <w:tcPr>
            <w:tcW w:w="1535" w:type="dxa"/>
            <w:shd w:val="clear" w:color="auto" w:fill="auto"/>
            <w:hideMark/>
          </w:tcPr>
          <w:p w14:paraId="4A3B2842" w14:textId="77777777" w:rsidR="00FD0545" w:rsidRPr="00C376DE" w:rsidRDefault="00FD0545" w:rsidP="00026782">
            <w:pPr>
              <w:jc w:val="right"/>
              <w:rPr>
                <w:rFonts w:eastAsia="Calibri"/>
                <w:sz w:val="22"/>
                <w:szCs w:val="22"/>
              </w:rPr>
            </w:pPr>
            <w:r w:rsidRPr="00C376DE">
              <w:rPr>
                <w:rFonts w:eastAsia="Calibri"/>
                <w:sz w:val="22"/>
                <w:szCs w:val="22"/>
              </w:rPr>
              <w:t>1</w:t>
            </w:r>
          </w:p>
        </w:tc>
      </w:tr>
      <w:tr w:rsidR="00FD0545" w:rsidRPr="00C376DE" w14:paraId="29016723" w14:textId="77777777" w:rsidTr="00026782">
        <w:trPr>
          <w:trHeight w:val="330"/>
          <w:jc w:val="center"/>
        </w:trPr>
        <w:tc>
          <w:tcPr>
            <w:tcW w:w="3280" w:type="dxa"/>
            <w:shd w:val="clear" w:color="auto" w:fill="auto"/>
            <w:hideMark/>
          </w:tcPr>
          <w:p w14:paraId="1E0D04E5" w14:textId="77777777" w:rsidR="00FD0545" w:rsidRPr="00C376DE" w:rsidRDefault="00FD0545" w:rsidP="00026782">
            <w:pPr>
              <w:jc w:val="both"/>
              <w:rPr>
                <w:rFonts w:eastAsia="Calibri"/>
                <w:sz w:val="22"/>
                <w:szCs w:val="22"/>
              </w:rPr>
            </w:pPr>
            <w:r w:rsidRPr="00C376DE">
              <w:rPr>
                <w:rFonts w:eastAsia="Calibri"/>
                <w:sz w:val="22"/>
                <w:szCs w:val="22"/>
              </w:rPr>
              <w:t xml:space="preserve">Egyetemi docens </w:t>
            </w:r>
          </w:p>
        </w:tc>
        <w:tc>
          <w:tcPr>
            <w:tcW w:w="1535" w:type="dxa"/>
            <w:shd w:val="clear" w:color="auto" w:fill="auto"/>
            <w:hideMark/>
          </w:tcPr>
          <w:p w14:paraId="74818CBF" w14:textId="77777777" w:rsidR="00FD0545" w:rsidRPr="00C376DE" w:rsidRDefault="00FD0545" w:rsidP="00026782">
            <w:pPr>
              <w:jc w:val="right"/>
              <w:rPr>
                <w:rFonts w:eastAsia="Calibri"/>
                <w:sz w:val="22"/>
                <w:szCs w:val="22"/>
              </w:rPr>
            </w:pPr>
            <w:r w:rsidRPr="00C376DE">
              <w:rPr>
                <w:rFonts w:eastAsia="Calibri"/>
                <w:sz w:val="22"/>
                <w:szCs w:val="22"/>
              </w:rPr>
              <w:t>0,82</w:t>
            </w:r>
          </w:p>
        </w:tc>
      </w:tr>
      <w:tr w:rsidR="00FD0545" w:rsidRPr="00C376DE" w14:paraId="1562E9FA" w14:textId="77777777" w:rsidTr="00026782">
        <w:trPr>
          <w:trHeight w:val="330"/>
          <w:jc w:val="center"/>
        </w:trPr>
        <w:tc>
          <w:tcPr>
            <w:tcW w:w="3280" w:type="dxa"/>
            <w:shd w:val="clear" w:color="auto" w:fill="auto"/>
            <w:hideMark/>
          </w:tcPr>
          <w:p w14:paraId="35DE64FC" w14:textId="77777777" w:rsidR="00FD0545" w:rsidRPr="00C376DE" w:rsidRDefault="00FD0545" w:rsidP="00026782">
            <w:pPr>
              <w:jc w:val="both"/>
              <w:rPr>
                <w:rFonts w:eastAsia="Calibri"/>
                <w:sz w:val="22"/>
                <w:szCs w:val="22"/>
              </w:rPr>
            </w:pPr>
            <w:r w:rsidRPr="00C376DE">
              <w:rPr>
                <w:rFonts w:eastAsia="Calibri"/>
                <w:sz w:val="22"/>
                <w:szCs w:val="22"/>
              </w:rPr>
              <w:t>Adjunktus</w:t>
            </w:r>
          </w:p>
        </w:tc>
        <w:tc>
          <w:tcPr>
            <w:tcW w:w="1535" w:type="dxa"/>
            <w:shd w:val="clear" w:color="auto" w:fill="auto"/>
            <w:hideMark/>
          </w:tcPr>
          <w:p w14:paraId="2FD4E506" w14:textId="77777777" w:rsidR="00FD0545" w:rsidRPr="00C376DE" w:rsidRDefault="00FD0545" w:rsidP="00026782">
            <w:pPr>
              <w:jc w:val="right"/>
              <w:rPr>
                <w:rFonts w:eastAsia="Calibri"/>
                <w:sz w:val="22"/>
                <w:szCs w:val="22"/>
              </w:rPr>
            </w:pPr>
            <w:r w:rsidRPr="00C376DE">
              <w:rPr>
                <w:rFonts w:eastAsia="Calibri"/>
                <w:sz w:val="22"/>
                <w:szCs w:val="22"/>
              </w:rPr>
              <w:t>0,5</w:t>
            </w:r>
          </w:p>
        </w:tc>
      </w:tr>
      <w:tr w:rsidR="00FD0545" w:rsidRPr="00C376DE" w14:paraId="3A8165A3" w14:textId="77777777" w:rsidTr="00026782">
        <w:trPr>
          <w:trHeight w:val="330"/>
          <w:jc w:val="center"/>
        </w:trPr>
        <w:tc>
          <w:tcPr>
            <w:tcW w:w="3280" w:type="dxa"/>
            <w:shd w:val="clear" w:color="auto" w:fill="auto"/>
            <w:hideMark/>
          </w:tcPr>
          <w:p w14:paraId="0EB6EAA6" w14:textId="77777777" w:rsidR="00FD0545" w:rsidRPr="00C376DE" w:rsidRDefault="00FD0545" w:rsidP="00026782">
            <w:pPr>
              <w:jc w:val="both"/>
              <w:rPr>
                <w:rFonts w:eastAsia="Calibri"/>
                <w:sz w:val="22"/>
                <w:szCs w:val="22"/>
              </w:rPr>
            </w:pPr>
            <w:r w:rsidRPr="00C376DE">
              <w:rPr>
                <w:rFonts w:eastAsia="Calibri"/>
                <w:sz w:val="22"/>
                <w:szCs w:val="22"/>
              </w:rPr>
              <w:t xml:space="preserve">Tanársegéd </w:t>
            </w:r>
          </w:p>
        </w:tc>
        <w:tc>
          <w:tcPr>
            <w:tcW w:w="1535" w:type="dxa"/>
            <w:shd w:val="clear" w:color="auto" w:fill="auto"/>
            <w:hideMark/>
          </w:tcPr>
          <w:p w14:paraId="1A549914" w14:textId="77777777" w:rsidR="00FD0545" w:rsidRPr="00C376DE" w:rsidRDefault="00FD0545" w:rsidP="00026782">
            <w:pPr>
              <w:jc w:val="right"/>
              <w:rPr>
                <w:rFonts w:eastAsia="Calibri"/>
                <w:sz w:val="22"/>
                <w:szCs w:val="22"/>
              </w:rPr>
            </w:pPr>
            <w:r w:rsidRPr="00C376DE">
              <w:rPr>
                <w:rFonts w:eastAsia="Calibri"/>
                <w:sz w:val="22"/>
                <w:szCs w:val="22"/>
              </w:rPr>
              <w:t>0,4</w:t>
            </w:r>
          </w:p>
        </w:tc>
      </w:tr>
    </w:tbl>
    <w:p w14:paraId="11250219" w14:textId="77777777" w:rsidR="00FD0545" w:rsidRPr="00E13CE5" w:rsidRDefault="00FD0545" w:rsidP="00FD0545">
      <w:pPr>
        <w:spacing w:before="240"/>
        <w:jc w:val="both"/>
        <w:rPr>
          <w:rFonts w:eastAsia="Calibri"/>
          <w:sz w:val="22"/>
          <w:szCs w:val="22"/>
        </w:rPr>
      </w:pPr>
      <w:r w:rsidRPr="00E13CE5">
        <w:rPr>
          <w:rFonts w:eastAsia="Calibri"/>
          <w:sz w:val="22"/>
          <w:szCs w:val="22"/>
        </w:rPr>
        <w:t xml:space="preserve">(7) Hallgatói visszajelzések alapján kialakított minőségszorzó az Oktatói Munka Hallgatói Véleményezése (OMHV) alapján kerül meghatározásra. A kérdőív az oktatókat szakmai felkészültség, oktatói </w:t>
      </w:r>
      <w:proofErr w:type="gramStart"/>
      <w:r w:rsidRPr="00E13CE5">
        <w:rPr>
          <w:rFonts w:eastAsia="Calibri"/>
          <w:sz w:val="22"/>
          <w:szCs w:val="22"/>
        </w:rPr>
        <w:t>kvalitás</w:t>
      </w:r>
      <w:proofErr w:type="gramEnd"/>
      <w:r w:rsidRPr="00E13CE5">
        <w:rPr>
          <w:rFonts w:eastAsia="Calibri"/>
          <w:sz w:val="22"/>
          <w:szCs w:val="22"/>
        </w:rPr>
        <w:t xml:space="preserve"> és hallgatóközpontúság alapján értékeli egy 1-5-ig terjedő érdemjegy szerű </w:t>
      </w:r>
      <w:proofErr w:type="spellStart"/>
      <w:r w:rsidRPr="00E13CE5">
        <w:rPr>
          <w:rFonts w:eastAsia="Calibri"/>
          <w:sz w:val="22"/>
          <w:szCs w:val="22"/>
        </w:rPr>
        <w:t>Likert</w:t>
      </w:r>
      <w:proofErr w:type="spellEnd"/>
      <w:r w:rsidRPr="00E13CE5">
        <w:rPr>
          <w:rFonts w:eastAsia="Calibri"/>
          <w:sz w:val="22"/>
          <w:szCs w:val="22"/>
        </w:rPr>
        <w:t xml:space="preserve">-skálán. A véleményezések adott részvételi arány és az alábbi érték szint </w:t>
      </w:r>
      <w:proofErr w:type="gramStart"/>
      <w:r w:rsidRPr="00E13CE5">
        <w:rPr>
          <w:rFonts w:eastAsia="Calibri"/>
          <w:sz w:val="22"/>
          <w:szCs w:val="22"/>
        </w:rPr>
        <w:t>fellett</w:t>
      </w:r>
      <w:proofErr w:type="gramEnd"/>
      <w:r w:rsidRPr="00E13CE5">
        <w:rPr>
          <w:rFonts w:eastAsia="Calibri"/>
          <w:sz w:val="22"/>
          <w:szCs w:val="22"/>
        </w:rPr>
        <w:t xml:space="preserve"> pozitív minőségszorzóv</w:t>
      </w:r>
      <w:r>
        <w:rPr>
          <w:rFonts w:eastAsia="Calibri"/>
          <w:sz w:val="22"/>
          <w:szCs w:val="22"/>
        </w:rPr>
        <w:t>al kerülnek figyelembe vételre.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585"/>
      </w:tblGrid>
      <w:tr w:rsidR="00FD0545" w:rsidRPr="00C376DE" w14:paraId="632CFF0B" w14:textId="77777777" w:rsidTr="00026782">
        <w:trPr>
          <w:trHeight w:val="330"/>
          <w:jc w:val="center"/>
        </w:trPr>
        <w:tc>
          <w:tcPr>
            <w:tcW w:w="3280" w:type="dxa"/>
            <w:shd w:val="clear" w:color="auto" w:fill="E7E6E6"/>
            <w:hideMark/>
          </w:tcPr>
          <w:p w14:paraId="53CE316D" w14:textId="77777777" w:rsidR="00FD0545" w:rsidRPr="00C376DE" w:rsidRDefault="00FD0545" w:rsidP="00026782">
            <w:pPr>
              <w:jc w:val="both"/>
              <w:rPr>
                <w:rFonts w:eastAsia="Calibri"/>
                <w:b/>
                <w:sz w:val="22"/>
                <w:szCs w:val="22"/>
              </w:rPr>
            </w:pPr>
            <w:r w:rsidRPr="00C376DE">
              <w:rPr>
                <w:rFonts w:eastAsia="Calibri"/>
                <w:b/>
                <w:sz w:val="22"/>
                <w:szCs w:val="22"/>
              </w:rPr>
              <w:t>OMHV átlag pont</w:t>
            </w:r>
          </w:p>
        </w:tc>
        <w:tc>
          <w:tcPr>
            <w:tcW w:w="1535" w:type="dxa"/>
            <w:shd w:val="clear" w:color="auto" w:fill="E7E6E6"/>
            <w:hideMark/>
          </w:tcPr>
          <w:p w14:paraId="284B1337" w14:textId="77777777" w:rsidR="00FD0545" w:rsidRPr="00C376DE" w:rsidRDefault="00FD0545" w:rsidP="00026782">
            <w:pPr>
              <w:jc w:val="right"/>
              <w:rPr>
                <w:rFonts w:eastAsia="Calibri"/>
                <w:b/>
                <w:sz w:val="22"/>
                <w:szCs w:val="22"/>
              </w:rPr>
            </w:pPr>
            <w:r w:rsidRPr="00C376DE">
              <w:rPr>
                <w:rFonts w:eastAsia="Calibri"/>
                <w:b/>
                <w:sz w:val="22"/>
                <w:szCs w:val="22"/>
              </w:rPr>
              <w:t>minőségszorzó</w:t>
            </w:r>
          </w:p>
        </w:tc>
      </w:tr>
      <w:tr w:rsidR="00FD0545" w:rsidRPr="00C376DE" w14:paraId="561D364F" w14:textId="77777777" w:rsidTr="00026782">
        <w:trPr>
          <w:trHeight w:val="330"/>
          <w:jc w:val="center"/>
        </w:trPr>
        <w:tc>
          <w:tcPr>
            <w:tcW w:w="3280" w:type="dxa"/>
            <w:shd w:val="clear" w:color="auto" w:fill="auto"/>
            <w:hideMark/>
          </w:tcPr>
          <w:p w14:paraId="50412F92" w14:textId="77777777" w:rsidR="00FD0545" w:rsidRPr="00C376DE" w:rsidRDefault="00FD0545" w:rsidP="00026782">
            <w:pPr>
              <w:jc w:val="both"/>
              <w:rPr>
                <w:rFonts w:eastAsia="Calibri"/>
                <w:sz w:val="22"/>
                <w:szCs w:val="22"/>
              </w:rPr>
            </w:pPr>
            <w:r w:rsidRPr="00C376DE">
              <w:rPr>
                <w:rFonts w:eastAsia="Calibri"/>
                <w:sz w:val="22"/>
                <w:szCs w:val="22"/>
              </w:rPr>
              <w:t>≤4,0</w:t>
            </w:r>
          </w:p>
        </w:tc>
        <w:tc>
          <w:tcPr>
            <w:tcW w:w="1535" w:type="dxa"/>
            <w:shd w:val="clear" w:color="auto" w:fill="auto"/>
            <w:hideMark/>
          </w:tcPr>
          <w:p w14:paraId="6FCAE76D" w14:textId="77777777" w:rsidR="00FD0545" w:rsidRPr="00C376DE" w:rsidRDefault="00FD0545" w:rsidP="00026782">
            <w:pPr>
              <w:jc w:val="right"/>
              <w:rPr>
                <w:rFonts w:eastAsia="Calibri"/>
                <w:sz w:val="22"/>
                <w:szCs w:val="22"/>
              </w:rPr>
            </w:pPr>
            <w:r w:rsidRPr="00C376DE">
              <w:rPr>
                <w:rFonts w:eastAsia="Calibri"/>
                <w:sz w:val="22"/>
                <w:szCs w:val="22"/>
              </w:rPr>
              <w:t>1</w:t>
            </w:r>
          </w:p>
        </w:tc>
      </w:tr>
      <w:tr w:rsidR="00FD0545" w:rsidRPr="00C376DE" w14:paraId="04E1351D" w14:textId="77777777" w:rsidTr="00026782">
        <w:trPr>
          <w:trHeight w:val="330"/>
          <w:jc w:val="center"/>
        </w:trPr>
        <w:tc>
          <w:tcPr>
            <w:tcW w:w="3280" w:type="dxa"/>
            <w:shd w:val="clear" w:color="auto" w:fill="auto"/>
            <w:hideMark/>
          </w:tcPr>
          <w:p w14:paraId="39B95C53" w14:textId="77777777" w:rsidR="00FD0545" w:rsidRPr="00C376DE" w:rsidRDefault="00FD0545" w:rsidP="00026782">
            <w:pPr>
              <w:jc w:val="both"/>
              <w:rPr>
                <w:rFonts w:eastAsia="Calibri"/>
                <w:sz w:val="22"/>
                <w:szCs w:val="22"/>
              </w:rPr>
            </w:pPr>
            <w:r w:rsidRPr="00C376DE">
              <w:rPr>
                <w:rFonts w:eastAsia="Calibri"/>
                <w:sz w:val="22"/>
                <w:szCs w:val="22"/>
              </w:rPr>
              <w:t>4,</w:t>
            </w:r>
            <w:proofErr w:type="gramStart"/>
            <w:r w:rsidRPr="00C376DE">
              <w:rPr>
                <w:rFonts w:eastAsia="Calibri"/>
                <w:sz w:val="22"/>
                <w:szCs w:val="22"/>
              </w:rPr>
              <w:t>0&lt; és</w:t>
            </w:r>
            <w:proofErr w:type="gramEnd"/>
            <w:r w:rsidRPr="00C376DE">
              <w:rPr>
                <w:rFonts w:eastAsia="Calibri"/>
                <w:sz w:val="22"/>
                <w:szCs w:val="22"/>
              </w:rPr>
              <w:t xml:space="preserve"> &lt;4,8</w:t>
            </w:r>
          </w:p>
        </w:tc>
        <w:tc>
          <w:tcPr>
            <w:tcW w:w="1535" w:type="dxa"/>
            <w:shd w:val="clear" w:color="auto" w:fill="auto"/>
            <w:hideMark/>
          </w:tcPr>
          <w:p w14:paraId="1717BE03" w14:textId="77777777" w:rsidR="00FD0545" w:rsidRPr="00C376DE" w:rsidRDefault="00FD0545" w:rsidP="00026782">
            <w:pPr>
              <w:jc w:val="right"/>
              <w:rPr>
                <w:rFonts w:eastAsia="Calibri"/>
                <w:sz w:val="22"/>
                <w:szCs w:val="22"/>
              </w:rPr>
            </w:pPr>
            <w:r w:rsidRPr="00C376DE">
              <w:rPr>
                <w:rFonts w:eastAsia="Calibri"/>
                <w:sz w:val="22"/>
                <w:szCs w:val="22"/>
              </w:rPr>
              <w:t>1,1</w:t>
            </w:r>
          </w:p>
        </w:tc>
      </w:tr>
      <w:tr w:rsidR="00FD0545" w:rsidRPr="00C376DE" w14:paraId="58E3198C" w14:textId="77777777" w:rsidTr="00026782">
        <w:trPr>
          <w:trHeight w:val="330"/>
          <w:jc w:val="center"/>
        </w:trPr>
        <w:tc>
          <w:tcPr>
            <w:tcW w:w="3280" w:type="dxa"/>
            <w:shd w:val="clear" w:color="auto" w:fill="auto"/>
            <w:hideMark/>
          </w:tcPr>
          <w:p w14:paraId="4EBF399B" w14:textId="77777777" w:rsidR="00FD0545" w:rsidRPr="00C376DE" w:rsidRDefault="00FD0545" w:rsidP="00026782">
            <w:pPr>
              <w:jc w:val="both"/>
              <w:rPr>
                <w:rFonts w:eastAsia="Calibri"/>
                <w:sz w:val="22"/>
                <w:szCs w:val="22"/>
              </w:rPr>
            </w:pPr>
            <w:r w:rsidRPr="00C376DE">
              <w:rPr>
                <w:rFonts w:eastAsia="Calibri"/>
                <w:sz w:val="22"/>
                <w:szCs w:val="22"/>
              </w:rPr>
              <w:t>4,8≤</w:t>
            </w:r>
          </w:p>
        </w:tc>
        <w:tc>
          <w:tcPr>
            <w:tcW w:w="1535" w:type="dxa"/>
            <w:shd w:val="clear" w:color="auto" w:fill="auto"/>
            <w:hideMark/>
          </w:tcPr>
          <w:p w14:paraId="1911BF43" w14:textId="77777777" w:rsidR="00FD0545" w:rsidRPr="00C376DE" w:rsidRDefault="00FD0545" w:rsidP="00026782">
            <w:pPr>
              <w:jc w:val="right"/>
              <w:rPr>
                <w:rFonts w:eastAsia="Calibri"/>
                <w:sz w:val="22"/>
                <w:szCs w:val="22"/>
              </w:rPr>
            </w:pPr>
            <w:r w:rsidRPr="00C376DE">
              <w:rPr>
                <w:rFonts w:eastAsia="Calibri"/>
                <w:sz w:val="22"/>
                <w:szCs w:val="22"/>
              </w:rPr>
              <w:t>1,2</w:t>
            </w:r>
          </w:p>
        </w:tc>
      </w:tr>
    </w:tbl>
    <w:p w14:paraId="1B57F025" w14:textId="77777777" w:rsidR="00FD0545" w:rsidRPr="00E13CE5" w:rsidRDefault="00FD0545" w:rsidP="00FD0545">
      <w:pPr>
        <w:jc w:val="both"/>
        <w:rPr>
          <w:rFonts w:eastAsia="Calibri"/>
          <w:sz w:val="22"/>
          <w:szCs w:val="22"/>
        </w:rPr>
      </w:pPr>
    </w:p>
    <w:p w14:paraId="17A47E94" w14:textId="77777777" w:rsidR="00FD0545" w:rsidRPr="00E13CE5" w:rsidRDefault="00FD0545" w:rsidP="00FD0545">
      <w:pPr>
        <w:jc w:val="both"/>
        <w:rPr>
          <w:rFonts w:eastAsia="Calibri"/>
          <w:sz w:val="22"/>
          <w:szCs w:val="22"/>
        </w:rPr>
      </w:pPr>
      <w:r w:rsidRPr="00E13CE5">
        <w:rPr>
          <w:rFonts w:eastAsia="Calibri"/>
          <w:sz w:val="22"/>
          <w:szCs w:val="22"/>
        </w:rPr>
        <w:lastRenderedPageBreak/>
        <w:t>(8) A nyers oktatási pontszámot ezekkel a sz</w:t>
      </w:r>
      <w:r>
        <w:rPr>
          <w:rFonts w:eastAsia="Calibri"/>
          <w:sz w:val="22"/>
          <w:szCs w:val="22"/>
        </w:rPr>
        <w:t>orzókkal beszorozva eredményezi</w:t>
      </w:r>
      <w:r w:rsidRPr="00E13CE5">
        <w:rPr>
          <w:rFonts w:eastAsia="Calibri"/>
          <w:sz w:val="22"/>
          <w:szCs w:val="22"/>
        </w:rPr>
        <w:t xml:space="preserve"> az oktatási tevékenység összes pontszámát.</w:t>
      </w:r>
    </w:p>
    <w:p w14:paraId="1C98C404" w14:textId="77777777" w:rsidR="00FD0545" w:rsidRPr="00E13CE5" w:rsidRDefault="00FD0545" w:rsidP="00FD0545">
      <w:pPr>
        <w:jc w:val="both"/>
        <w:rPr>
          <w:rFonts w:eastAsia="Calibri"/>
          <w:sz w:val="22"/>
          <w:szCs w:val="22"/>
        </w:rPr>
      </w:pPr>
    </w:p>
    <w:p w14:paraId="2BA49589" w14:textId="77777777" w:rsidR="00FD0545" w:rsidRPr="00E13CE5" w:rsidRDefault="00FD0545" w:rsidP="00FD0545">
      <w:pPr>
        <w:spacing w:after="200" w:line="276" w:lineRule="auto"/>
        <w:ind w:left="720"/>
        <w:contextualSpacing/>
        <w:jc w:val="center"/>
        <w:rPr>
          <w:rFonts w:eastAsia="Calibri"/>
          <w:sz w:val="22"/>
          <w:szCs w:val="22"/>
        </w:rPr>
      </w:pPr>
      <w:r w:rsidRPr="00E13CE5">
        <w:rPr>
          <w:rFonts w:eastAsia="Calibri"/>
          <w:b/>
          <w:sz w:val="22"/>
          <w:szCs w:val="22"/>
        </w:rPr>
        <w:t>Intézmény menedzsment tevékenység mérése</w:t>
      </w:r>
    </w:p>
    <w:p w14:paraId="64097891" w14:textId="77777777" w:rsidR="00FD0545" w:rsidRPr="00E13CE5" w:rsidRDefault="00FD0545" w:rsidP="00FD0545">
      <w:pPr>
        <w:jc w:val="both"/>
        <w:rPr>
          <w:rFonts w:eastAsia="Calibri"/>
          <w:sz w:val="22"/>
          <w:szCs w:val="22"/>
        </w:rPr>
      </w:pPr>
      <w:r w:rsidRPr="00E13CE5">
        <w:rPr>
          <w:rFonts w:eastAsia="Calibri"/>
          <w:b/>
          <w:sz w:val="22"/>
          <w:szCs w:val="22"/>
        </w:rPr>
        <w:t>7. §</w:t>
      </w:r>
      <w:r w:rsidRPr="00E13CE5">
        <w:rPr>
          <w:rFonts w:eastAsia="Calibri"/>
          <w:sz w:val="22"/>
          <w:szCs w:val="22"/>
        </w:rPr>
        <w:t xml:space="preserve"> (1) Az oktatói tevékenység második területe az intézmény menedzsment feladatkör. A jelen §–</w:t>
      </w:r>
      <w:proofErr w:type="spellStart"/>
      <w:r w:rsidRPr="00E13CE5">
        <w:rPr>
          <w:rFonts w:eastAsia="Calibri"/>
          <w:sz w:val="22"/>
          <w:szCs w:val="22"/>
        </w:rPr>
        <w:t>ban</w:t>
      </w:r>
      <w:proofErr w:type="spellEnd"/>
      <w:r w:rsidRPr="00E13CE5">
        <w:rPr>
          <w:rFonts w:eastAsia="Calibri"/>
          <w:sz w:val="22"/>
          <w:szCs w:val="22"/>
        </w:rPr>
        <w:t xml:space="preserve"> található táblázat tartalmazza az ide sorolható tevékenységeket és súlyozásukat.</w:t>
      </w:r>
    </w:p>
    <w:p w14:paraId="5A633DAC" w14:textId="77777777" w:rsidR="00FD0545" w:rsidRPr="00E13CE5" w:rsidRDefault="00FD0545" w:rsidP="00FD0545">
      <w:pPr>
        <w:jc w:val="both"/>
        <w:rPr>
          <w:rFonts w:eastAsia="Calibri"/>
          <w:sz w:val="22"/>
          <w:szCs w:val="22"/>
        </w:rPr>
      </w:pPr>
    </w:p>
    <w:p w14:paraId="2C41D803" w14:textId="77777777" w:rsidR="00FD0545" w:rsidRPr="00E13CE5" w:rsidRDefault="00FD0545" w:rsidP="00FD0545">
      <w:pPr>
        <w:jc w:val="both"/>
        <w:rPr>
          <w:rFonts w:eastAsia="Calibri"/>
          <w:sz w:val="22"/>
          <w:szCs w:val="22"/>
        </w:rPr>
      </w:pPr>
      <w:r w:rsidRPr="00E13CE5">
        <w:rPr>
          <w:rFonts w:eastAsia="Calibri"/>
          <w:sz w:val="22"/>
          <w:szCs w:val="22"/>
        </w:rPr>
        <w:t xml:space="preserve">(2) A meghatározott pontértékű mezők értékei az önértékelés részeként </w:t>
      </w:r>
      <w:proofErr w:type="gramStart"/>
      <w:r w:rsidRPr="00E13CE5">
        <w:rPr>
          <w:rFonts w:eastAsia="Calibri"/>
          <w:sz w:val="22"/>
          <w:szCs w:val="22"/>
        </w:rPr>
        <w:t>automatikusan</w:t>
      </w:r>
      <w:proofErr w:type="gramEnd"/>
      <w:r w:rsidRPr="00E13CE5">
        <w:rPr>
          <w:rFonts w:eastAsia="Calibri"/>
          <w:sz w:val="22"/>
          <w:szCs w:val="22"/>
        </w:rPr>
        <w:t xml:space="preserve"> hozzáadódnak a teljesítménypontokhoz, amennyiben azok az íven bejelölésre kerülnek, mint elvégzett feladatok. A pontok tükrözik az adott intézmény menedzsment feladat alapértékhez viszonyított súlyát (pl. a dékáni tevékenység az </w:t>
      </w:r>
      <w:proofErr w:type="gramStart"/>
      <w:r w:rsidRPr="00E13CE5">
        <w:rPr>
          <w:rFonts w:eastAsia="Calibri"/>
          <w:sz w:val="22"/>
          <w:szCs w:val="22"/>
        </w:rPr>
        <w:t>etalon</w:t>
      </w:r>
      <w:proofErr w:type="gramEnd"/>
      <w:r w:rsidRPr="00E13CE5">
        <w:rPr>
          <w:rFonts w:eastAsia="Calibri"/>
          <w:sz w:val="22"/>
          <w:szCs w:val="22"/>
        </w:rPr>
        <w:t xml:space="preserve"> 12-szerese).</w:t>
      </w:r>
    </w:p>
    <w:p w14:paraId="7508AD79" w14:textId="77777777" w:rsidR="00FD0545" w:rsidRPr="00E13CE5" w:rsidRDefault="00FD0545" w:rsidP="00FD0545">
      <w:pPr>
        <w:jc w:val="both"/>
        <w:rPr>
          <w:rFonts w:eastAsia="Calibri"/>
          <w:sz w:val="22"/>
          <w:szCs w:val="22"/>
        </w:rPr>
      </w:pPr>
    </w:p>
    <w:p w14:paraId="68F3F89C" w14:textId="77777777" w:rsidR="00FD0545" w:rsidRPr="00E13CE5" w:rsidRDefault="00FD0545" w:rsidP="00FD0545">
      <w:pPr>
        <w:jc w:val="both"/>
        <w:rPr>
          <w:rFonts w:eastAsia="Calibri"/>
          <w:sz w:val="22"/>
          <w:szCs w:val="22"/>
        </w:rPr>
      </w:pPr>
      <w:r w:rsidRPr="00E13CE5">
        <w:rPr>
          <w:rFonts w:eastAsia="Calibri"/>
          <w:sz w:val="22"/>
          <w:szCs w:val="22"/>
        </w:rPr>
        <w:t>(3) A pontértékkel nem meghatározott tevékenységek a teljesítményértékelő beszélgetésen kerülnek meghatározásra, amikor a dékáni vezetés elismeri a tevékenység teljesítmény értékét.</w:t>
      </w:r>
    </w:p>
    <w:p w14:paraId="72956A09" w14:textId="77777777" w:rsidR="00FD0545" w:rsidRPr="00E13CE5" w:rsidRDefault="00FD0545" w:rsidP="00FD0545">
      <w:pPr>
        <w:jc w:val="both"/>
        <w:rPr>
          <w:rFonts w:eastAsia="Calibri"/>
          <w:sz w:val="22"/>
          <w:szCs w:val="22"/>
        </w:rPr>
      </w:pPr>
    </w:p>
    <w:tbl>
      <w:tblPr>
        <w:tblW w:w="6189" w:type="dxa"/>
        <w:jc w:val="center"/>
        <w:tblCellMar>
          <w:left w:w="70" w:type="dxa"/>
          <w:right w:w="70" w:type="dxa"/>
        </w:tblCellMar>
        <w:tblLook w:val="04A0" w:firstRow="1" w:lastRow="0" w:firstColumn="1" w:lastColumn="0" w:noHBand="0" w:noVBand="1"/>
      </w:tblPr>
      <w:tblGrid>
        <w:gridCol w:w="5200"/>
        <w:gridCol w:w="989"/>
      </w:tblGrid>
      <w:tr w:rsidR="00FD0545" w:rsidRPr="00E13CE5" w14:paraId="6D218FD3" w14:textId="77777777" w:rsidTr="00026782">
        <w:trPr>
          <w:trHeight w:val="300"/>
          <w:jc w:val="center"/>
        </w:trPr>
        <w:tc>
          <w:tcPr>
            <w:tcW w:w="520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911D4A7" w14:textId="77777777" w:rsidR="00FD0545" w:rsidRPr="00E13CE5" w:rsidRDefault="00FD0545" w:rsidP="00026782">
            <w:pPr>
              <w:rPr>
                <w:rFonts w:eastAsia="Calibri"/>
                <w:b/>
                <w:sz w:val="22"/>
                <w:szCs w:val="22"/>
              </w:rPr>
            </w:pPr>
            <w:r w:rsidRPr="00E13CE5">
              <w:rPr>
                <w:rFonts w:eastAsia="Calibri"/>
                <w:b/>
                <w:sz w:val="22"/>
                <w:szCs w:val="22"/>
              </w:rPr>
              <w:t>Tevékenység megnevezése</w:t>
            </w:r>
          </w:p>
        </w:tc>
        <w:tc>
          <w:tcPr>
            <w:tcW w:w="989" w:type="dxa"/>
            <w:tcBorders>
              <w:top w:val="single" w:sz="4" w:space="0" w:color="auto"/>
              <w:left w:val="nil"/>
              <w:bottom w:val="single" w:sz="4" w:space="0" w:color="auto"/>
              <w:right w:val="single" w:sz="4" w:space="0" w:color="auto"/>
            </w:tcBorders>
            <w:shd w:val="clear" w:color="auto" w:fill="E7E6E6"/>
            <w:noWrap/>
            <w:vAlign w:val="bottom"/>
            <w:hideMark/>
          </w:tcPr>
          <w:p w14:paraId="6C17EE65" w14:textId="77777777" w:rsidR="00FD0545" w:rsidRPr="00E13CE5" w:rsidRDefault="00FD0545" w:rsidP="00026782">
            <w:pPr>
              <w:jc w:val="center"/>
              <w:rPr>
                <w:rFonts w:eastAsia="Calibri"/>
                <w:b/>
                <w:sz w:val="22"/>
                <w:szCs w:val="22"/>
              </w:rPr>
            </w:pPr>
            <w:r w:rsidRPr="00E13CE5">
              <w:rPr>
                <w:rFonts w:eastAsia="Calibri"/>
                <w:b/>
                <w:sz w:val="22"/>
                <w:szCs w:val="22"/>
              </w:rPr>
              <w:t>Pont</w:t>
            </w:r>
          </w:p>
        </w:tc>
      </w:tr>
      <w:tr w:rsidR="00FD0545" w:rsidRPr="00E13CE5" w14:paraId="4584EB31"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B978AAA" w14:textId="77777777" w:rsidR="00FD0545" w:rsidRPr="00E13CE5" w:rsidRDefault="00FD0545" w:rsidP="00026782">
            <w:pPr>
              <w:rPr>
                <w:rFonts w:eastAsia="Calibri"/>
                <w:sz w:val="22"/>
                <w:szCs w:val="22"/>
              </w:rPr>
            </w:pPr>
            <w:r w:rsidRPr="00E13CE5">
              <w:rPr>
                <w:rFonts w:eastAsia="Calibri"/>
                <w:sz w:val="22"/>
                <w:szCs w:val="22"/>
              </w:rPr>
              <w:t>Részvétel kari szakmai rendezvényeken</w:t>
            </w:r>
          </w:p>
        </w:tc>
        <w:tc>
          <w:tcPr>
            <w:tcW w:w="989" w:type="dxa"/>
            <w:tcBorders>
              <w:top w:val="nil"/>
              <w:left w:val="nil"/>
              <w:bottom w:val="single" w:sz="4" w:space="0" w:color="auto"/>
              <w:right w:val="single" w:sz="4" w:space="0" w:color="auto"/>
            </w:tcBorders>
            <w:shd w:val="clear" w:color="auto" w:fill="auto"/>
            <w:noWrap/>
            <w:vAlign w:val="bottom"/>
            <w:hideMark/>
          </w:tcPr>
          <w:p w14:paraId="3FAF5CB9" w14:textId="77777777" w:rsidR="00FD0545" w:rsidRPr="00E13CE5" w:rsidRDefault="00FD0545" w:rsidP="00026782">
            <w:pPr>
              <w:rPr>
                <w:rFonts w:eastAsia="Calibri"/>
                <w:sz w:val="22"/>
                <w:szCs w:val="22"/>
              </w:rPr>
            </w:pPr>
            <w:r w:rsidRPr="00E13CE5">
              <w:rPr>
                <w:rFonts w:eastAsia="Calibri"/>
                <w:sz w:val="22"/>
                <w:szCs w:val="22"/>
              </w:rPr>
              <w:t>42</w:t>
            </w:r>
          </w:p>
        </w:tc>
      </w:tr>
      <w:tr w:rsidR="00FD0545" w:rsidRPr="00E13CE5" w14:paraId="75EC9119"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73F834E" w14:textId="77777777" w:rsidR="00FD0545" w:rsidRPr="00E13CE5" w:rsidRDefault="00FD0545" w:rsidP="00026782">
            <w:pPr>
              <w:rPr>
                <w:rFonts w:eastAsia="Calibri"/>
                <w:sz w:val="22"/>
                <w:szCs w:val="22"/>
              </w:rPr>
            </w:pPr>
            <w:r w:rsidRPr="00E13CE5">
              <w:rPr>
                <w:rFonts w:eastAsia="Calibri"/>
                <w:sz w:val="22"/>
                <w:szCs w:val="22"/>
              </w:rPr>
              <w:t>Részvétel Kari, illetve PTE ünnepségeken</w:t>
            </w:r>
          </w:p>
        </w:tc>
        <w:tc>
          <w:tcPr>
            <w:tcW w:w="989" w:type="dxa"/>
            <w:tcBorders>
              <w:top w:val="nil"/>
              <w:left w:val="nil"/>
              <w:bottom w:val="single" w:sz="4" w:space="0" w:color="auto"/>
              <w:right w:val="single" w:sz="4" w:space="0" w:color="auto"/>
            </w:tcBorders>
            <w:shd w:val="clear" w:color="auto" w:fill="auto"/>
            <w:noWrap/>
            <w:vAlign w:val="bottom"/>
            <w:hideMark/>
          </w:tcPr>
          <w:p w14:paraId="7A9D0C44" w14:textId="77777777" w:rsidR="00FD0545" w:rsidRPr="00E13CE5" w:rsidRDefault="00FD0545" w:rsidP="00026782">
            <w:pPr>
              <w:rPr>
                <w:rFonts w:eastAsia="Calibri"/>
                <w:sz w:val="22"/>
                <w:szCs w:val="22"/>
              </w:rPr>
            </w:pPr>
            <w:r w:rsidRPr="00E13CE5">
              <w:rPr>
                <w:rFonts w:eastAsia="Calibri"/>
                <w:sz w:val="22"/>
                <w:szCs w:val="22"/>
              </w:rPr>
              <w:t>14</w:t>
            </w:r>
          </w:p>
        </w:tc>
      </w:tr>
      <w:tr w:rsidR="00FD0545" w:rsidRPr="00E13CE5" w14:paraId="1C141140"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F876ACA" w14:textId="77777777" w:rsidR="00FD0545" w:rsidRPr="00E13CE5" w:rsidRDefault="00FD0545" w:rsidP="00026782">
            <w:pPr>
              <w:rPr>
                <w:rFonts w:eastAsia="Calibri"/>
                <w:sz w:val="22"/>
                <w:szCs w:val="22"/>
              </w:rPr>
            </w:pPr>
            <w:r w:rsidRPr="00E13CE5">
              <w:rPr>
                <w:rFonts w:eastAsia="Calibri"/>
                <w:sz w:val="22"/>
                <w:szCs w:val="22"/>
              </w:rPr>
              <w:t>Kari Tanács állandó bizottsági elnök</w:t>
            </w:r>
          </w:p>
        </w:tc>
        <w:tc>
          <w:tcPr>
            <w:tcW w:w="989" w:type="dxa"/>
            <w:tcBorders>
              <w:top w:val="nil"/>
              <w:left w:val="nil"/>
              <w:bottom w:val="single" w:sz="4" w:space="0" w:color="auto"/>
              <w:right w:val="single" w:sz="4" w:space="0" w:color="auto"/>
            </w:tcBorders>
            <w:shd w:val="clear" w:color="auto" w:fill="auto"/>
            <w:noWrap/>
            <w:vAlign w:val="bottom"/>
            <w:hideMark/>
          </w:tcPr>
          <w:p w14:paraId="591880DA" w14:textId="77777777" w:rsidR="00FD0545" w:rsidRPr="00E13CE5" w:rsidRDefault="00FD0545" w:rsidP="00026782">
            <w:pPr>
              <w:rPr>
                <w:rFonts w:eastAsia="Calibri"/>
                <w:sz w:val="22"/>
                <w:szCs w:val="22"/>
              </w:rPr>
            </w:pPr>
            <w:r w:rsidRPr="00E13CE5">
              <w:rPr>
                <w:rFonts w:eastAsia="Calibri"/>
                <w:sz w:val="22"/>
                <w:szCs w:val="22"/>
              </w:rPr>
              <w:t>42</w:t>
            </w:r>
          </w:p>
        </w:tc>
      </w:tr>
      <w:tr w:rsidR="00FD0545" w:rsidRPr="00E13CE5" w14:paraId="32826DD4"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8E686DC" w14:textId="77777777" w:rsidR="00FD0545" w:rsidRPr="00E13CE5" w:rsidRDefault="00FD0545" w:rsidP="00026782">
            <w:pPr>
              <w:rPr>
                <w:rFonts w:eastAsia="Calibri"/>
                <w:sz w:val="22"/>
                <w:szCs w:val="22"/>
              </w:rPr>
            </w:pPr>
            <w:r w:rsidRPr="00E13CE5">
              <w:rPr>
                <w:rFonts w:eastAsia="Calibri"/>
                <w:sz w:val="22"/>
                <w:szCs w:val="22"/>
              </w:rPr>
              <w:t>Kari Tanács állandó bizottsági tagság</w:t>
            </w:r>
          </w:p>
        </w:tc>
        <w:tc>
          <w:tcPr>
            <w:tcW w:w="989" w:type="dxa"/>
            <w:tcBorders>
              <w:top w:val="nil"/>
              <w:left w:val="nil"/>
              <w:bottom w:val="single" w:sz="4" w:space="0" w:color="auto"/>
              <w:right w:val="single" w:sz="4" w:space="0" w:color="auto"/>
            </w:tcBorders>
            <w:shd w:val="clear" w:color="auto" w:fill="auto"/>
            <w:noWrap/>
            <w:vAlign w:val="bottom"/>
            <w:hideMark/>
          </w:tcPr>
          <w:p w14:paraId="4ED0921E" w14:textId="77777777" w:rsidR="00FD0545" w:rsidRPr="00E13CE5" w:rsidRDefault="00FD0545" w:rsidP="00026782">
            <w:pPr>
              <w:rPr>
                <w:rFonts w:eastAsia="Calibri"/>
                <w:sz w:val="22"/>
                <w:szCs w:val="22"/>
              </w:rPr>
            </w:pPr>
            <w:r w:rsidRPr="00E13CE5">
              <w:rPr>
                <w:rFonts w:eastAsia="Calibri"/>
                <w:sz w:val="22"/>
                <w:szCs w:val="22"/>
              </w:rPr>
              <w:t>28</w:t>
            </w:r>
          </w:p>
        </w:tc>
      </w:tr>
      <w:tr w:rsidR="00FD0545" w:rsidRPr="00E13CE5" w14:paraId="55C22F4D"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0BC2B31" w14:textId="77777777" w:rsidR="00FD0545" w:rsidRPr="00E13CE5" w:rsidRDefault="00FD0545" w:rsidP="00026782">
            <w:pPr>
              <w:rPr>
                <w:rFonts w:eastAsia="Calibri"/>
                <w:sz w:val="22"/>
                <w:szCs w:val="22"/>
              </w:rPr>
            </w:pPr>
            <w:r w:rsidRPr="00E13CE5">
              <w:rPr>
                <w:rFonts w:eastAsia="Calibri"/>
                <w:sz w:val="22"/>
                <w:szCs w:val="22"/>
              </w:rPr>
              <w:t>Kari Tanács tagság</w:t>
            </w:r>
          </w:p>
        </w:tc>
        <w:tc>
          <w:tcPr>
            <w:tcW w:w="989" w:type="dxa"/>
            <w:tcBorders>
              <w:top w:val="nil"/>
              <w:left w:val="nil"/>
              <w:bottom w:val="single" w:sz="4" w:space="0" w:color="auto"/>
              <w:right w:val="single" w:sz="4" w:space="0" w:color="auto"/>
            </w:tcBorders>
            <w:shd w:val="clear" w:color="auto" w:fill="auto"/>
            <w:noWrap/>
            <w:vAlign w:val="bottom"/>
            <w:hideMark/>
          </w:tcPr>
          <w:p w14:paraId="5DD1D416" w14:textId="77777777" w:rsidR="00FD0545" w:rsidRPr="00E13CE5" w:rsidRDefault="00FD0545" w:rsidP="00026782">
            <w:pPr>
              <w:rPr>
                <w:rFonts w:eastAsia="Calibri"/>
                <w:sz w:val="22"/>
                <w:szCs w:val="22"/>
              </w:rPr>
            </w:pPr>
            <w:r w:rsidRPr="00E13CE5">
              <w:rPr>
                <w:rFonts w:eastAsia="Calibri"/>
                <w:sz w:val="22"/>
                <w:szCs w:val="22"/>
              </w:rPr>
              <w:t>28</w:t>
            </w:r>
          </w:p>
        </w:tc>
      </w:tr>
      <w:tr w:rsidR="00FD0545" w:rsidRPr="00E13CE5" w14:paraId="1AF85391"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59D789D" w14:textId="77777777" w:rsidR="00FD0545" w:rsidRPr="00E13CE5" w:rsidRDefault="00FD0545" w:rsidP="00026782">
            <w:pPr>
              <w:rPr>
                <w:rFonts w:eastAsia="Calibri"/>
                <w:sz w:val="22"/>
                <w:szCs w:val="22"/>
              </w:rPr>
            </w:pPr>
            <w:r w:rsidRPr="00E13CE5">
              <w:rPr>
                <w:rFonts w:eastAsia="Calibri"/>
                <w:sz w:val="22"/>
                <w:szCs w:val="22"/>
              </w:rPr>
              <w:t>Dékán</w:t>
            </w:r>
          </w:p>
        </w:tc>
        <w:tc>
          <w:tcPr>
            <w:tcW w:w="989" w:type="dxa"/>
            <w:tcBorders>
              <w:top w:val="nil"/>
              <w:left w:val="nil"/>
              <w:bottom w:val="single" w:sz="4" w:space="0" w:color="auto"/>
              <w:right w:val="single" w:sz="4" w:space="0" w:color="auto"/>
            </w:tcBorders>
            <w:shd w:val="clear" w:color="auto" w:fill="auto"/>
            <w:noWrap/>
            <w:vAlign w:val="bottom"/>
            <w:hideMark/>
          </w:tcPr>
          <w:p w14:paraId="5528D821" w14:textId="77777777" w:rsidR="00FD0545" w:rsidRPr="00E13CE5" w:rsidRDefault="00FD0545" w:rsidP="00026782">
            <w:pPr>
              <w:rPr>
                <w:rFonts w:eastAsia="Calibri"/>
                <w:sz w:val="22"/>
                <w:szCs w:val="22"/>
              </w:rPr>
            </w:pPr>
            <w:r w:rsidRPr="00E13CE5">
              <w:rPr>
                <w:rFonts w:eastAsia="Calibri"/>
                <w:sz w:val="22"/>
                <w:szCs w:val="22"/>
              </w:rPr>
              <w:t>504</w:t>
            </w:r>
          </w:p>
        </w:tc>
      </w:tr>
      <w:tr w:rsidR="00FD0545" w:rsidRPr="00E13CE5" w14:paraId="5E59F952"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3AA9287" w14:textId="77777777" w:rsidR="00FD0545" w:rsidRPr="00E13CE5" w:rsidRDefault="00FD0545" w:rsidP="00026782">
            <w:pPr>
              <w:rPr>
                <w:rFonts w:eastAsia="Calibri"/>
                <w:sz w:val="22"/>
                <w:szCs w:val="22"/>
              </w:rPr>
            </w:pPr>
            <w:r w:rsidRPr="00E13CE5">
              <w:rPr>
                <w:rFonts w:eastAsia="Calibri"/>
                <w:sz w:val="22"/>
                <w:szCs w:val="22"/>
              </w:rPr>
              <w:t>Dékánhelyettes</w:t>
            </w:r>
          </w:p>
        </w:tc>
        <w:tc>
          <w:tcPr>
            <w:tcW w:w="989" w:type="dxa"/>
            <w:tcBorders>
              <w:top w:val="nil"/>
              <w:left w:val="nil"/>
              <w:bottom w:val="single" w:sz="4" w:space="0" w:color="auto"/>
              <w:right w:val="single" w:sz="4" w:space="0" w:color="auto"/>
            </w:tcBorders>
            <w:shd w:val="clear" w:color="auto" w:fill="auto"/>
            <w:noWrap/>
            <w:vAlign w:val="bottom"/>
            <w:hideMark/>
          </w:tcPr>
          <w:p w14:paraId="01C42F5F" w14:textId="77777777" w:rsidR="00FD0545" w:rsidRPr="00E13CE5" w:rsidRDefault="00FD0545" w:rsidP="00026782">
            <w:pPr>
              <w:rPr>
                <w:rFonts w:eastAsia="Calibri"/>
                <w:sz w:val="22"/>
                <w:szCs w:val="22"/>
              </w:rPr>
            </w:pPr>
            <w:r w:rsidRPr="00E13CE5">
              <w:rPr>
                <w:rFonts w:eastAsia="Calibri"/>
                <w:sz w:val="22"/>
                <w:szCs w:val="22"/>
              </w:rPr>
              <w:t>294</w:t>
            </w:r>
          </w:p>
        </w:tc>
      </w:tr>
      <w:tr w:rsidR="00FD0545" w:rsidRPr="00E13CE5" w14:paraId="2CCA00AF"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CBEA645" w14:textId="77777777" w:rsidR="00FD0545" w:rsidRPr="00E13CE5" w:rsidRDefault="00FD0545" w:rsidP="00026782">
            <w:pPr>
              <w:rPr>
                <w:rFonts w:eastAsia="Calibri"/>
                <w:sz w:val="22"/>
                <w:szCs w:val="22"/>
              </w:rPr>
            </w:pPr>
            <w:r w:rsidRPr="00E13CE5">
              <w:rPr>
                <w:rFonts w:eastAsia="Calibri"/>
                <w:sz w:val="22"/>
                <w:szCs w:val="22"/>
              </w:rPr>
              <w:t>Szakfelelős</w:t>
            </w:r>
          </w:p>
        </w:tc>
        <w:tc>
          <w:tcPr>
            <w:tcW w:w="989" w:type="dxa"/>
            <w:tcBorders>
              <w:top w:val="nil"/>
              <w:left w:val="nil"/>
              <w:bottom w:val="single" w:sz="4" w:space="0" w:color="auto"/>
              <w:right w:val="single" w:sz="4" w:space="0" w:color="auto"/>
            </w:tcBorders>
            <w:shd w:val="clear" w:color="auto" w:fill="auto"/>
            <w:noWrap/>
            <w:vAlign w:val="bottom"/>
            <w:hideMark/>
          </w:tcPr>
          <w:p w14:paraId="78FD699F" w14:textId="77777777" w:rsidR="00FD0545" w:rsidRPr="00E13CE5" w:rsidRDefault="00FD0545" w:rsidP="00026782">
            <w:pPr>
              <w:rPr>
                <w:rFonts w:eastAsia="Calibri"/>
                <w:sz w:val="22"/>
                <w:szCs w:val="22"/>
              </w:rPr>
            </w:pPr>
            <w:r w:rsidRPr="00E13CE5">
              <w:rPr>
                <w:rFonts w:eastAsia="Calibri"/>
                <w:sz w:val="22"/>
                <w:szCs w:val="22"/>
              </w:rPr>
              <w:t>210</w:t>
            </w:r>
          </w:p>
        </w:tc>
      </w:tr>
      <w:tr w:rsidR="00FD0545" w:rsidRPr="00E13CE5" w14:paraId="78762916"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C89003B" w14:textId="77777777" w:rsidR="00FD0545" w:rsidRPr="00E13CE5" w:rsidRDefault="00FD0545" w:rsidP="00026782">
            <w:pPr>
              <w:rPr>
                <w:rFonts w:eastAsia="Calibri"/>
                <w:sz w:val="22"/>
                <w:szCs w:val="22"/>
              </w:rPr>
            </w:pPr>
            <w:r w:rsidRPr="00E13CE5">
              <w:rPr>
                <w:rFonts w:eastAsia="Calibri"/>
                <w:sz w:val="22"/>
                <w:szCs w:val="22"/>
              </w:rPr>
              <w:t>Intézetigazgató/Tanszékvezető</w:t>
            </w:r>
          </w:p>
        </w:tc>
        <w:tc>
          <w:tcPr>
            <w:tcW w:w="989" w:type="dxa"/>
            <w:tcBorders>
              <w:top w:val="nil"/>
              <w:left w:val="nil"/>
              <w:bottom w:val="single" w:sz="4" w:space="0" w:color="auto"/>
              <w:right w:val="single" w:sz="4" w:space="0" w:color="auto"/>
            </w:tcBorders>
            <w:shd w:val="clear" w:color="auto" w:fill="auto"/>
            <w:noWrap/>
            <w:vAlign w:val="bottom"/>
            <w:hideMark/>
          </w:tcPr>
          <w:p w14:paraId="0EDABC4A" w14:textId="77777777" w:rsidR="00FD0545" w:rsidRPr="00E13CE5" w:rsidRDefault="00FD0545" w:rsidP="00026782">
            <w:pPr>
              <w:rPr>
                <w:rFonts w:eastAsia="Calibri"/>
                <w:sz w:val="22"/>
                <w:szCs w:val="22"/>
              </w:rPr>
            </w:pPr>
            <w:r w:rsidRPr="00E13CE5">
              <w:rPr>
                <w:rFonts w:eastAsia="Calibri"/>
                <w:sz w:val="22"/>
                <w:szCs w:val="22"/>
              </w:rPr>
              <w:t>252</w:t>
            </w:r>
          </w:p>
        </w:tc>
      </w:tr>
      <w:tr w:rsidR="00FD0545" w:rsidRPr="00E13CE5" w14:paraId="684DDE16"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81338C3" w14:textId="77777777" w:rsidR="00FD0545" w:rsidRPr="00E13CE5" w:rsidRDefault="00FD0545" w:rsidP="00026782">
            <w:pPr>
              <w:rPr>
                <w:rFonts w:eastAsia="Calibri"/>
                <w:sz w:val="22"/>
                <w:szCs w:val="22"/>
              </w:rPr>
            </w:pPr>
            <w:r w:rsidRPr="00E13CE5">
              <w:rPr>
                <w:rFonts w:eastAsia="Calibri"/>
                <w:sz w:val="22"/>
                <w:szCs w:val="22"/>
              </w:rPr>
              <w:t>Intézetigazgató/Tanszékvezető helyettese</w:t>
            </w:r>
          </w:p>
        </w:tc>
        <w:tc>
          <w:tcPr>
            <w:tcW w:w="989" w:type="dxa"/>
            <w:tcBorders>
              <w:top w:val="nil"/>
              <w:left w:val="nil"/>
              <w:bottom w:val="single" w:sz="4" w:space="0" w:color="auto"/>
              <w:right w:val="single" w:sz="4" w:space="0" w:color="auto"/>
            </w:tcBorders>
            <w:shd w:val="clear" w:color="auto" w:fill="auto"/>
            <w:noWrap/>
            <w:vAlign w:val="bottom"/>
            <w:hideMark/>
          </w:tcPr>
          <w:p w14:paraId="44756FC6" w14:textId="77777777" w:rsidR="00FD0545" w:rsidRPr="00E13CE5" w:rsidRDefault="00FD0545" w:rsidP="00026782">
            <w:pPr>
              <w:rPr>
                <w:rFonts w:eastAsia="Calibri"/>
                <w:sz w:val="22"/>
                <w:szCs w:val="22"/>
              </w:rPr>
            </w:pPr>
            <w:r w:rsidRPr="00E13CE5">
              <w:rPr>
                <w:rFonts w:eastAsia="Calibri"/>
                <w:sz w:val="22"/>
                <w:szCs w:val="22"/>
              </w:rPr>
              <w:t>126</w:t>
            </w:r>
          </w:p>
        </w:tc>
      </w:tr>
      <w:tr w:rsidR="00FD0545" w:rsidRPr="00E13CE5" w14:paraId="01959DD9"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E4DE60F" w14:textId="77777777" w:rsidR="00FD0545" w:rsidRPr="00E13CE5" w:rsidRDefault="00FD0545" w:rsidP="00026782">
            <w:pPr>
              <w:rPr>
                <w:rFonts w:eastAsia="Calibri"/>
                <w:sz w:val="22"/>
                <w:szCs w:val="22"/>
              </w:rPr>
            </w:pPr>
            <w:r w:rsidRPr="00E13CE5">
              <w:rPr>
                <w:rFonts w:eastAsia="Calibri"/>
                <w:sz w:val="22"/>
                <w:szCs w:val="22"/>
              </w:rPr>
              <w:t>Doktori Iskola vezetője</w:t>
            </w:r>
          </w:p>
        </w:tc>
        <w:tc>
          <w:tcPr>
            <w:tcW w:w="989" w:type="dxa"/>
            <w:tcBorders>
              <w:top w:val="nil"/>
              <w:left w:val="nil"/>
              <w:bottom w:val="single" w:sz="4" w:space="0" w:color="auto"/>
              <w:right w:val="single" w:sz="4" w:space="0" w:color="auto"/>
            </w:tcBorders>
            <w:shd w:val="clear" w:color="auto" w:fill="auto"/>
            <w:noWrap/>
            <w:vAlign w:val="bottom"/>
            <w:hideMark/>
          </w:tcPr>
          <w:p w14:paraId="5D7F8EC9" w14:textId="77777777" w:rsidR="00FD0545" w:rsidRPr="00E13CE5" w:rsidRDefault="00FD0545" w:rsidP="00026782">
            <w:pPr>
              <w:rPr>
                <w:rFonts w:eastAsia="Calibri"/>
                <w:sz w:val="22"/>
                <w:szCs w:val="22"/>
              </w:rPr>
            </w:pPr>
            <w:r w:rsidRPr="00E13CE5">
              <w:rPr>
                <w:rFonts w:eastAsia="Calibri"/>
                <w:sz w:val="22"/>
                <w:szCs w:val="22"/>
              </w:rPr>
              <w:t>252</w:t>
            </w:r>
          </w:p>
        </w:tc>
      </w:tr>
      <w:tr w:rsidR="00FD0545" w:rsidRPr="00E13CE5" w14:paraId="58A799EA"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3D545BA" w14:textId="77777777" w:rsidR="00FD0545" w:rsidRPr="00E13CE5" w:rsidRDefault="00FD0545" w:rsidP="00026782">
            <w:pPr>
              <w:rPr>
                <w:rFonts w:eastAsia="Calibri"/>
                <w:sz w:val="22"/>
                <w:szCs w:val="22"/>
              </w:rPr>
            </w:pPr>
            <w:r w:rsidRPr="00E13CE5">
              <w:rPr>
                <w:rFonts w:eastAsia="Calibri"/>
                <w:sz w:val="22"/>
                <w:szCs w:val="22"/>
              </w:rPr>
              <w:t>Doktori program vezetője</w:t>
            </w:r>
          </w:p>
        </w:tc>
        <w:tc>
          <w:tcPr>
            <w:tcW w:w="989" w:type="dxa"/>
            <w:tcBorders>
              <w:top w:val="nil"/>
              <w:left w:val="nil"/>
              <w:bottom w:val="single" w:sz="4" w:space="0" w:color="auto"/>
              <w:right w:val="single" w:sz="4" w:space="0" w:color="auto"/>
            </w:tcBorders>
            <w:shd w:val="clear" w:color="auto" w:fill="auto"/>
            <w:noWrap/>
            <w:vAlign w:val="bottom"/>
            <w:hideMark/>
          </w:tcPr>
          <w:p w14:paraId="07E0DDBF" w14:textId="77777777" w:rsidR="00FD0545" w:rsidRPr="00E13CE5" w:rsidRDefault="00FD0545" w:rsidP="00026782">
            <w:pPr>
              <w:rPr>
                <w:rFonts w:eastAsia="Calibri"/>
                <w:sz w:val="22"/>
                <w:szCs w:val="22"/>
              </w:rPr>
            </w:pPr>
            <w:r w:rsidRPr="00E13CE5">
              <w:rPr>
                <w:rFonts w:eastAsia="Calibri"/>
                <w:sz w:val="22"/>
                <w:szCs w:val="22"/>
              </w:rPr>
              <w:t>210</w:t>
            </w:r>
          </w:p>
        </w:tc>
      </w:tr>
      <w:tr w:rsidR="00FD0545" w:rsidRPr="00E13CE5" w14:paraId="009EC9A6"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0C88252" w14:textId="77777777" w:rsidR="00FD0545" w:rsidRPr="00E13CE5" w:rsidRDefault="00FD0545" w:rsidP="00026782">
            <w:pPr>
              <w:rPr>
                <w:rFonts w:eastAsia="Calibri"/>
                <w:sz w:val="22"/>
                <w:szCs w:val="22"/>
              </w:rPr>
            </w:pPr>
            <w:r w:rsidRPr="00E13CE5">
              <w:rPr>
                <w:rFonts w:eastAsia="Calibri"/>
                <w:sz w:val="22"/>
                <w:szCs w:val="22"/>
              </w:rPr>
              <w:t>Szakgyógyszerész-képzés Grémiumvezető</w:t>
            </w:r>
          </w:p>
        </w:tc>
        <w:tc>
          <w:tcPr>
            <w:tcW w:w="989" w:type="dxa"/>
            <w:tcBorders>
              <w:top w:val="nil"/>
              <w:left w:val="nil"/>
              <w:bottom w:val="single" w:sz="4" w:space="0" w:color="auto"/>
              <w:right w:val="single" w:sz="4" w:space="0" w:color="auto"/>
            </w:tcBorders>
            <w:shd w:val="clear" w:color="auto" w:fill="auto"/>
            <w:noWrap/>
            <w:vAlign w:val="bottom"/>
            <w:hideMark/>
          </w:tcPr>
          <w:p w14:paraId="173C553D" w14:textId="77777777" w:rsidR="00FD0545" w:rsidRPr="00E13CE5" w:rsidRDefault="00FD0545" w:rsidP="00026782">
            <w:pPr>
              <w:rPr>
                <w:rFonts w:eastAsia="Calibri"/>
                <w:sz w:val="22"/>
                <w:szCs w:val="22"/>
              </w:rPr>
            </w:pPr>
            <w:r w:rsidRPr="00E13CE5">
              <w:rPr>
                <w:rFonts w:eastAsia="Calibri"/>
                <w:sz w:val="22"/>
                <w:szCs w:val="22"/>
              </w:rPr>
              <w:t>252</w:t>
            </w:r>
          </w:p>
        </w:tc>
      </w:tr>
      <w:tr w:rsidR="00FD0545" w:rsidRPr="00E13CE5" w14:paraId="188A5847"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6AA9987" w14:textId="77777777" w:rsidR="00FD0545" w:rsidRPr="00E13CE5" w:rsidRDefault="00FD0545" w:rsidP="00026782">
            <w:pPr>
              <w:rPr>
                <w:rFonts w:eastAsia="Calibri"/>
                <w:sz w:val="22"/>
                <w:szCs w:val="22"/>
              </w:rPr>
            </w:pPr>
            <w:r w:rsidRPr="00E13CE5">
              <w:rPr>
                <w:rFonts w:eastAsia="Calibri"/>
                <w:sz w:val="22"/>
                <w:szCs w:val="22"/>
              </w:rPr>
              <w:t>Kari TDK felelős</w:t>
            </w:r>
          </w:p>
        </w:tc>
        <w:tc>
          <w:tcPr>
            <w:tcW w:w="989" w:type="dxa"/>
            <w:tcBorders>
              <w:top w:val="nil"/>
              <w:left w:val="nil"/>
              <w:bottom w:val="single" w:sz="4" w:space="0" w:color="auto"/>
              <w:right w:val="single" w:sz="4" w:space="0" w:color="auto"/>
            </w:tcBorders>
            <w:shd w:val="clear" w:color="auto" w:fill="auto"/>
            <w:noWrap/>
            <w:vAlign w:val="bottom"/>
            <w:hideMark/>
          </w:tcPr>
          <w:p w14:paraId="39D0C109" w14:textId="77777777" w:rsidR="00FD0545" w:rsidRPr="00E13CE5" w:rsidRDefault="00FD0545" w:rsidP="00026782">
            <w:pPr>
              <w:rPr>
                <w:rFonts w:eastAsia="Calibri"/>
                <w:sz w:val="22"/>
                <w:szCs w:val="22"/>
              </w:rPr>
            </w:pPr>
            <w:r w:rsidRPr="00E13CE5">
              <w:rPr>
                <w:rFonts w:eastAsia="Calibri"/>
                <w:sz w:val="22"/>
                <w:szCs w:val="22"/>
              </w:rPr>
              <w:t>252</w:t>
            </w:r>
          </w:p>
        </w:tc>
      </w:tr>
      <w:tr w:rsidR="00FD0545" w:rsidRPr="00E13CE5" w14:paraId="1E08D240"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E6965C0" w14:textId="77777777" w:rsidR="00FD0545" w:rsidRPr="00E13CE5" w:rsidRDefault="00FD0545" w:rsidP="00026782">
            <w:pPr>
              <w:rPr>
                <w:rFonts w:eastAsia="Calibri"/>
                <w:sz w:val="22"/>
                <w:szCs w:val="22"/>
              </w:rPr>
            </w:pPr>
            <w:r w:rsidRPr="00E13CE5">
              <w:rPr>
                <w:rFonts w:eastAsia="Calibri"/>
                <w:sz w:val="22"/>
                <w:szCs w:val="22"/>
              </w:rPr>
              <w:t>Szakkollégium elnöke</w:t>
            </w:r>
          </w:p>
        </w:tc>
        <w:tc>
          <w:tcPr>
            <w:tcW w:w="989" w:type="dxa"/>
            <w:tcBorders>
              <w:top w:val="nil"/>
              <w:left w:val="nil"/>
              <w:bottom w:val="single" w:sz="4" w:space="0" w:color="auto"/>
              <w:right w:val="single" w:sz="4" w:space="0" w:color="auto"/>
            </w:tcBorders>
            <w:shd w:val="clear" w:color="auto" w:fill="auto"/>
            <w:noWrap/>
            <w:vAlign w:val="bottom"/>
            <w:hideMark/>
          </w:tcPr>
          <w:p w14:paraId="7C7134F0" w14:textId="77777777" w:rsidR="00FD0545" w:rsidRPr="00E13CE5" w:rsidRDefault="00FD0545" w:rsidP="00026782">
            <w:pPr>
              <w:rPr>
                <w:rFonts w:eastAsia="Calibri"/>
                <w:sz w:val="22"/>
                <w:szCs w:val="22"/>
              </w:rPr>
            </w:pPr>
            <w:r w:rsidRPr="00E13CE5">
              <w:rPr>
                <w:rFonts w:eastAsia="Calibri"/>
                <w:sz w:val="22"/>
                <w:szCs w:val="22"/>
              </w:rPr>
              <w:t>84</w:t>
            </w:r>
          </w:p>
        </w:tc>
      </w:tr>
      <w:tr w:rsidR="00FD0545" w:rsidRPr="00E13CE5" w14:paraId="3713D5B5"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376ACDA" w14:textId="77777777" w:rsidR="00FD0545" w:rsidRPr="00E13CE5" w:rsidRDefault="00FD0545" w:rsidP="00026782">
            <w:pPr>
              <w:rPr>
                <w:rFonts w:eastAsia="Calibri"/>
                <w:sz w:val="22"/>
                <w:szCs w:val="22"/>
              </w:rPr>
            </w:pPr>
            <w:r w:rsidRPr="00E13CE5">
              <w:rPr>
                <w:rFonts w:eastAsia="Calibri"/>
                <w:sz w:val="22"/>
                <w:szCs w:val="22"/>
              </w:rPr>
              <w:t>Szakkollégium tisztségviselője</w:t>
            </w:r>
          </w:p>
        </w:tc>
        <w:tc>
          <w:tcPr>
            <w:tcW w:w="989" w:type="dxa"/>
            <w:tcBorders>
              <w:top w:val="nil"/>
              <w:left w:val="nil"/>
              <w:bottom w:val="single" w:sz="4" w:space="0" w:color="auto"/>
              <w:right w:val="single" w:sz="4" w:space="0" w:color="auto"/>
            </w:tcBorders>
            <w:shd w:val="clear" w:color="auto" w:fill="auto"/>
            <w:noWrap/>
            <w:vAlign w:val="bottom"/>
            <w:hideMark/>
          </w:tcPr>
          <w:p w14:paraId="0AD20B9A" w14:textId="77777777" w:rsidR="00FD0545" w:rsidRPr="00E13CE5" w:rsidRDefault="00FD0545" w:rsidP="00026782">
            <w:pPr>
              <w:rPr>
                <w:rFonts w:eastAsia="Calibri"/>
                <w:sz w:val="22"/>
                <w:szCs w:val="22"/>
              </w:rPr>
            </w:pPr>
            <w:r w:rsidRPr="00E13CE5">
              <w:rPr>
                <w:rFonts w:eastAsia="Calibri"/>
                <w:sz w:val="22"/>
                <w:szCs w:val="22"/>
              </w:rPr>
              <w:t>42</w:t>
            </w:r>
          </w:p>
        </w:tc>
      </w:tr>
      <w:tr w:rsidR="00FD0545" w:rsidRPr="00E13CE5" w14:paraId="18686514"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EFA5487" w14:textId="77777777" w:rsidR="00FD0545" w:rsidRPr="00E13CE5" w:rsidRDefault="00FD0545" w:rsidP="00026782">
            <w:pPr>
              <w:rPr>
                <w:rFonts w:eastAsia="Calibri"/>
                <w:sz w:val="22"/>
                <w:szCs w:val="22"/>
              </w:rPr>
            </w:pPr>
            <w:r w:rsidRPr="00E13CE5">
              <w:rPr>
                <w:rFonts w:eastAsia="Calibri"/>
                <w:sz w:val="22"/>
                <w:szCs w:val="22"/>
              </w:rPr>
              <w:t xml:space="preserve">Állandó kari </w:t>
            </w:r>
            <w:proofErr w:type="gramStart"/>
            <w:r w:rsidRPr="00E13CE5">
              <w:rPr>
                <w:rFonts w:eastAsia="Calibri"/>
                <w:sz w:val="22"/>
                <w:szCs w:val="22"/>
              </w:rPr>
              <w:t>funkció</w:t>
            </w:r>
            <w:proofErr w:type="gramEnd"/>
            <w:r w:rsidRPr="00E13CE5">
              <w:rPr>
                <w:rFonts w:eastAsia="Calibri"/>
                <w:sz w:val="22"/>
                <w:szCs w:val="22"/>
              </w:rPr>
              <w:t xml:space="preserve"> teljesítése</w:t>
            </w:r>
          </w:p>
        </w:tc>
        <w:tc>
          <w:tcPr>
            <w:tcW w:w="989" w:type="dxa"/>
            <w:tcBorders>
              <w:top w:val="nil"/>
              <w:left w:val="nil"/>
              <w:bottom w:val="single" w:sz="4" w:space="0" w:color="auto"/>
              <w:right w:val="single" w:sz="4" w:space="0" w:color="auto"/>
            </w:tcBorders>
            <w:shd w:val="clear" w:color="auto" w:fill="auto"/>
            <w:noWrap/>
            <w:vAlign w:val="bottom"/>
            <w:hideMark/>
          </w:tcPr>
          <w:p w14:paraId="3489755E" w14:textId="77777777" w:rsidR="00FD0545" w:rsidRPr="00E13CE5" w:rsidRDefault="00FD0545" w:rsidP="00026782">
            <w:pPr>
              <w:rPr>
                <w:rFonts w:eastAsia="Calibri"/>
                <w:sz w:val="22"/>
                <w:szCs w:val="22"/>
              </w:rPr>
            </w:pPr>
            <w:r w:rsidRPr="00E13CE5">
              <w:rPr>
                <w:rFonts w:eastAsia="Calibri"/>
                <w:sz w:val="22"/>
                <w:szCs w:val="22"/>
              </w:rPr>
              <w:t>42</w:t>
            </w:r>
          </w:p>
        </w:tc>
      </w:tr>
      <w:tr w:rsidR="00FD0545" w:rsidRPr="00E13CE5" w14:paraId="589E4873"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7FA6024" w14:textId="77777777" w:rsidR="00FD0545" w:rsidRPr="00E13CE5" w:rsidRDefault="00FD0545" w:rsidP="00026782">
            <w:pPr>
              <w:rPr>
                <w:rFonts w:eastAsia="Calibri"/>
                <w:sz w:val="22"/>
                <w:szCs w:val="22"/>
              </w:rPr>
            </w:pPr>
            <w:r w:rsidRPr="00E13CE5">
              <w:rPr>
                <w:rFonts w:eastAsia="Calibri"/>
                <w:sz w:val="22"/>
                <w:szCs w:val="22"/>
              </w:rPr>
              <w:t>Eseti kari projektek/rendezvények koordinációja</w:t>
            </w:r>
          </w:p>
        </w:tc>
        <w:tc>
          <w:tcPr>
            <w:tcW w:w="989" w:type="dxa"/>
            <w:tcBorders>
              <w:top w:val="nil"/>
              <w:left w:val="nil"/>
              <w:bottom w:val="single" w:sz="4" w:space="0" w:color="auto"/>
              <w:right w:val="single" w:sz="4" w:space="0" w:color="auto"/>
            </w:tcBorders>
            <w:shd w:val="clear" w:color="auto" w:fill="auto"/>
            <w:noWrap/>
            <w:vAlign w:val="bottom"/>
            <w:hideMark/>
          </w:tcPr>
          <w:p w14:paraId="5B4747E7" w14:textId="77777777" w:rsidR="00FD0545" w:rsidRPr="00E13CE5" w:rsidRDefault="00FD0545" w:rsidP="00026782">
            <w:pPr>
              <w:rPr>
                <w:rFonts w:eastAsia="Calibri"/>
                <w:sz w:val="22"/>
                <w:szCs w:val="22"/>
              </w:rPr>
            </w:pPr>
            <w:r w:rsidRPr="00E13CE5">
              <w:rPr>
                <w:rFonts w:eastAsia="Calibri"/>
                <w:sz w:val="22"/>
                <w:szCs w:val="22"/>
              </w:rPr>
              <w:t>84</w:t>
            </w:r>
          </w:p>
        </w:tc>
      </w:tr>
      <w:tr w:rsidR="00FD0545" w:rsidRPr="00E13CE5" w14:paraId="4DF9E8CD"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B4E5452" w14:textId="77777777" w:rsidR="00FD0545" w:rsidRPr="00E13CE5" w:rsidRDefault="00FD0545" w:rsidP="00026782">
            <w:pPr>
              <w:rPr>
                <w:rFonts w:eastAsia="Calibri"/>
                <w:sz w:val="22"/>
                <w:szCs w:val="22"/>
              </w:rPr>
            </w:pPr>
            <w:r w:rsidRPr="00E13CE5">
              <w:rPr>
                <w:rFonts w:eastAsia="Calibri"/>
                <w:sz w:val="22"/>
                <w:szCs w:val="22"/>
              </w:rPr>
              <w:t>Egyéb intézeti/tanszéki szervezési-vezetési feladatok</w:t>
            </w:r>
          </w:p>
        </w:tc>
        <w:tc>
          <w:tcPr>
            <w:tcW w:w="989" w:type="dxa"/>
            <w:tcBorders>
              <w:top w:val="nil"/>
              <w:left w:val="nil"/>
              <w:bottom w:val="single" w:sz="4" w:space="0" w:color="auto"/>
              <w:right w:val="single" w:sz="4" w:space="0" w:color="auto"/>
            </w:tcBorders>
            <w:shd w:val="clear" w:color="auto" w:fill="auto"/>
            <w:noWrap/>
            <w:vAlign w:val="bottom"/>
            <w:hideMark/>
          </w:tcPr>
          <w:p w14:paraId="1705A0E3" w14:textId="77777777" w:rsidR="00FD0545" w:rsidRPr="00E13CE5" w:rsidRDefault="00FD0545" w:rsidP="00026782">
            <w:pPr>
              <w:rPr>
                <w:rFonts w:eastAsia="Calibri"/>
                <w:sz w:val="22"/>
                <w:szCs w:val="22"/>
              </w:rPr>
            </w:pPr>
            <w:r w:rsidRPr="00E13CE5">
              <w:rPr>
                <w:rFonts w:eastAsia="Calibri"/>
                <w:sz w:val="22"/>
                <w:szCs w:val="22"/>
              </w:rPr>
              <w:t>84 </w:t>
            </w:r>
          </w:p>
        </w:tc>
      </w:tr>
      <w:tr w:rsidR="00FD0545" w:rsidRPr="00E13CE5" w14:paraId="3A7838EE"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764CD21" w14:textId="77777777" w:rsidR="00FD0545" w:rsidRPr="00E13CE5" w:rsidRDefault="00FD0545" w:rsidP="00026782">
            <w:pPr>
              <w:rPr>
                <w:rFonts w:eastAsia="Calibri"/>
                <w:sz w:val="22"/>
                <w:szCs w:val="22"/>
              </w:rPr>
            </w:pPr>
            <w:r w:rsidRPr="00E13CE5">
              <w:rPr>
                <w:rFonts w:eastAsia="Calibri"/>
                <w:sz w:val="22"/>
                <w:szCs w:val="22"/>
              </w:rPr>
              <w:t>PTE projektekben való részvétel</w:t>
            </w:r>
          </w:p>
        </w:tc>
        <w:tc>
          <w:tcPr>
            <w:tcW w:w="989" w:type="dxa"/>
            <w:tcBorders>
              <w:top w:val="nil"/>
              <w:left w:val="nil"/>
              <w:bottom w:val="single" w:sz="4" w:space="0" w:color="auto"/>
              <w:right w:val="single" w:sz="4" w:space="0" w:color="auto"/>
            </w:tcBorders>
            <w:shd w:val="clear" w:color="auto" w:fill="auto"/>
            <w:noWrap/>
            <w:vAlign w:val="bottom"/>
            <w:hideMark/>
          </w:tcPr>
          <w:p w14:paraId="411E177F" w14:textId="77777777" w:rsidR="00FD0545" w:rsidRPr="00E13CE5" w:rsidRDefault="00FD0545" w:rsidP="00026782">
            <w:pPr>
              <w:rPr>
                <w:rFonts w:eastAsia="Calibri"/>
                <w:sz w:val="22"/>
                <w:szCs w:val="22"/>
              </w:rPr>
            </w:pPr>
            <w:r w:rsidRPr="00E13CE5">
              <w:rPr>
                <w:rFonts w:eastAsia="Calibri"/>
                <w:sz w:val="22"/>
                <w:szCs w:val="22"/>
              </w:rPr>
              <w:t> *</w:t>
            </w:r>
          </w:p>
        </w:tc>
      </w:tr>
      <w:tr w:rsidR="00FD0545" w:rsidRPr="00E13CE5" w14:paraId="321ED189"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12CDB7A" w14:textId="77777777" w:rsidR="00FD0545" w:rsidRPr="00E13CE5" w:rsidRDefault="00FD0545" w:rsidP="00026782">
            <w:pPr>
              <w:rPr>
                <w:rFonts w:eastAsia="Calibri"/>
                <w:sz w:val="22"/>
                <w:szCs w:val="22"/>
              </w:rPr>
            </w:pPr>
            <w:r w:rsidRPr="00E13CE5">
              <w:rPr>
                <w:rFonts w:eastAsia="Calibri"/>
                <w:sz w:val="22"/>
                <w:szCs w:val="22"/>
              </w:rPr>
              <w:t xml:space="preserve">PTE bizottsági munkában való </w:t>
            </w:r>
            <w:proofErr w:type="gramStart"/>
            <w:r w:rsidRPr="00E13CE5">
              <w:rPr>
                <w:rFonts w:eastAsia="Calibri"/>
                <w:sz w:val="22"/>
                <w:szCs w:val="22"/>
              </w:rPr>
              <w:t>aktív</w:t>
            </w:r>
            <w:proofErr w:type="gramEnd"/>
            <w:r w:rsidRPr="00E13CE5">
              <w:rPr>
                <w:rFonts w:eastAsia="Calibri"/>
                <w:sz w:val="22"/>
                <w:szCs w:val="22"/>
              </w:rPr>
              <w:t xml:space="preserve"> részvétel</w:t>
            </w:r>
          </w:p>
        </w:tc>
        <w:tc>
          <w:tcPr>
            <w:tcW w:w="989" w:type="dxa"/>
            <w:tcBorders>
              <w:top w:val="nil"/>
              <w:left w:val="nil"/>
              <w:bottom w:val="single" w:sz="4" w:space="0" w:color="auto"/>
              <w:right w:val="single" w:sz="4" w:space="0" w:color="auto"/>
            </w:tcBorders>
            <w:shd w:val="clear" w:color="auto" w:fill="auto"/>
            <w:noWrap/>
            <w:vAlign w:val="bottom"/>
            <w:hideMark/>
          </w:tcPr>
          <w:p w14:paraId="20ECA912" w14:textId="77777777" w:rsidR="00FD0545" w:rsidRPr="00E13CE5" w:rsidRDefault="00FD0545" w:rsidP="00026782">
            <w:pPr>
              <w:rPr>
                <w:rFonts w:eastAsia="Calibri"/>
                <w:sz w:val="22"/>
                <w:szCs w:val="22"/>
              </w:rPr>
            </w:pPr>
            <w:r w:rsidRPr="00E13CE5">
              <w:rPr>
                <w:rFonts w:eastAsia="Calibri"/>
                <w:sz w:val="22"/>
                <w:szCs w:val="22"/>
              </w:rPr>
              <w:t> *</w:t>
            </w:r>
          </w:p>
        </w:tc>
      </w:tr>
      <w:tr w:rsidR="00FD0545" w:rsidRPr="00E13CE5" w14:paraId="029D9453"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3593EDF" w14:textId="77777777" w:rsidR="00FD0545" w:rsidRPr="00E13CE5" w:rsidRDefault="00FD0545" w:rsidP="00026782">
            <w:pPr>
              <w:rPr>
                <w:rFonts w:eastAsia="Calibri"/>
                <w:sz w:val="22"/>
                <w:szCs w:val="22"/>
              </w:rPr>
            </w:pPr>
            <w:r w:rsidRPr="00E13CE5">
              <w:rPr>
                <w:rFonts w:eastAsia="Calibri"/>
                <w:sz w:val="22"/>
                <w:szCs w:val="22"/>
              </w:rPr>
              <w:t>Egyetemen kívüli szervezési-vezetési tevékenység</w:t>
            </w:r>
          </w:p>
        </w:tc>
        <w:tc>
          <w:tcPr>
            <w:tcW w:w="989" w:type="dxa"/>
            <w:tcBorders>
              <w:top w:val="nil"/>
              <w:left w:val="nil"/>
              <w:bottom w:val="single" w:sz="4" w:space="0" w:color="auto"/>
              <w:right w:val="single" w:sz="4" w:space="0" w:color="auto"/>
            </w:tcBorders>
            <w:shd w:val="clear" w:color="auto" w:fill="auto"/>
            <w:noWrap/>
            <w:vAlign w:val="bottom"/>
            <w:hideMark/>
          </w:tcPr>
          <w:p w14:paraId="71CDE380" w14:textId="77777777" w:rsidR="00FD0545" w:rsidRPr="00E13CE5" w:rsidRDefault="00FD0545" w:rsidP="00026782">
            <w:pPr>
              <w:rPr>
                <w:rFonts w:eastAsia="Calibri"/>
                <w:sz w:val="22"/>
                <w:szCs w:val="22"/>
              </w:rPr>
            </w:pPr>
            <w:r w:rsidRPr="00E13CE5">
              <w:rPr>
                <w:rFonts w:eastAsia="Calibri"/>
                <w:sz w:val="22"/>
                <w:szCs w:val="22"/>
              </w:rPr>
              <w:t>84</w:t>
            </w:r>
          </w:p>
        </w:tc>
      </w:tr>
      <w:tr w:rsidR="00FD0545" w:rsidRPr="00E13CE5" w14:paraId="012FEA0C" w14:textId="77777777" w:rsidTr="00026782">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24FDA23" w14:textId="77777777" w:rsidR="00FD0545" w:rsidRPr="00E13CE5" w:rsidRDefault="00FD0545" w:rsidP="00026782">
            <w:pPr>
              <w:rPr>
                <w:rFonts w:eastAsia="Calibri"/>
                <w:sz w:val="22"/>
                <w:szCs w:val="22"/>
              </w:rPr>
            </w:pPr>
            <w:r w:rsidRPr="00E13CE5">
              <w:rPr>
                <w:rFonts w:eastAsia="Calibri"/>
                <w:sz w:val="22"/>
                <w:szCs w:val="22"/>
              </w:rPr>
              <w:t xml:space="preserve">Egyéb,  </w:t>
            </w:r>
            <w:proofErr w:type="gramStart"/>
            <w:r w:rsidRPr="00E13CE5">
              <w:rPr>
                <w:rFonts w:eastAsia="Calibri"/>
                <w:sz w:val="22"/>
                <w:szCs w:val="22"/>
              </w:rPr>
              <w:t>kérjük</w:t>
            </w:r>
            <w:proofErr w:type="gramEnd"/>
            <w:r w:rsidRPr="00E13CE5">
              <w:rPr>
                <w:rFonts w:eastAsia="Calibri"/>
                <w:sz w:val="22"/>
                <w:szCs w:val="22"/>
              </w:rPr>
              <w:t xml:space="preserve"> </w:t>
            </w:r>
            <w:proofErr w:type="spellStart"/>
            <w:r w:rsidRPr="00E13CE5">
              <w:rPr>
                <w:rFonts w:eastAsia="Calibri"/>
                <w:sz w:val="22"/>
                <w:szCs w:val="22"/>
              </w:rPr>
              <w:t>nevesítse</w:t>
            </w:r>
            <w:proofErr w:type="spellEnd"/>
            <w:r w:rsidRPr="00E13CE5">
              <w:rPr>
                <w:rFonts w:eastAsia="Calibri"/>
                <w:sz w:val="22"/>
                <w:szCs w:val="22"/>
              </w:rPr>
              <w:t>:</w:t>
            </w:r>
          </w:p>
        </w:tc>
        <w:tc>
          <w:tcPr>
            <w:tcW w:w="989" w:type="dxa"/>
            <w:tcBorders>
              <w:top w:val="nil"/>
              <w:left w:val="nil"/>
              <w:bottom w:val="single" w:sz="4" w:space="0" w:color="auto"/>
              <w:right w:val="single" w:sz="4" w:space="0" w:color="auto"/>
            </w:tcBorders>
            <w:shd w:val="clear" w:color="auto" w:fill="auto"/>
            <w:noWrap/>
            <w:vAlign w:val="bottom"/>
            <w:hideMark/>
          </w:tcPr>
          <w:p w14:paraId="7C707470" w14:textId="77777777" w:rsidR="00FD0545" w:rsidRPr="00E13CE5" w:rsidRDefault="00FD0545" w:rsidP="00026782">
            <w:pPr>
              <w:rPr>
                <w:rFonts w:eastAsia="Calibri"/>
                <w:sz w:val="22"/>
                <w:szCs w:val="22"/>
              </w:rPr>
            </w:pPr>
            <w:r w:rsidRPr="00E13CE5">
              <w:rPr>
                <w:rFonts w:eastAsia="Calibri"/>
                <w:sz w:val="22"/>
                <w:szCs w:val="22"/>
              </w:rPr>
              <w:t> *</w:t>
            </w:r>
          </w:p>
        </w:tc>
      </w:tr>
    </w:tbl>
    <w:p w14:paraId="26327D7E" w14:textId="77777777" w:rsidR="00FD0545" w:rsidRPr="00E13CE5" w:rsidRDefault="00FD0545" w:rsidP="00FD0545">
      <w:pPr>
        <w:jc w:val="both"/>
        <w:rPr>
          <w:rFonts w:eastAsia="Calibri"/>
          <w:sz w:val="22"/>
          <w:szCs w:val="22"/>
        </w:rPr>
      </w:pPr>
    </w:p>
    <w:p w14:paraId="7A0507EA" w14:textId="77777777" w:rsidR="00FD0545" w:rsidRPr="00E13CE5" w:rsidRDefault="00FD0545" w:rsidP="00FD0545">
      <w:pPr>
        <w:jc w:val="both"/>
        <w:rPr>
          <w:rFonts w:eastAsia="Calibri"/>
          <w:sz w:val="22"/>
          <w:szCs w:val="22"/>
        </w:rPr>
      </w:pPr>
      <w:r w:rsidRPr="00E13CE5">
        <w:rPr>
          <w:rFonts w:eastAsia="Calibri"/>
          <w:sz w:val="22"/>
          <w:szCs w:val="22"/>
        </w:rPr>
        <w:t>*Értelmező megjegyzések:</w:t>
      </w:r>
    </w:p>
    <w:p w14:paraId="2E0D89BE" w14:textId="77777777" w:rsidR="00FD0545" w:rsidRPr="00E13CE5" w:rsidRDefault="00FD0545" w:rsidP="00F83E93">
      <w:pPr>
        <w:numPr>
          <w:ilvl w:val="0"/>
          <w:numId w:val="151"/>
        </w:numPr>
        <w:contextualSpacing/>
        <w:jc w:val="both"/>
        <w:rPr>
          <w:rFonts w:eastAsia="Calibri"/>
          <w:sz w:val="22"/>
          <w:szCs w:val="22"/>
        </w:rPr>
      </w:pPr>
      <w:r w:rsidRPr="00E13CE5">
        <w:rPr>
          <w:rFonts w:eastAsia="Calibri"/>
          <w:sz w:val="22"/>
          <w:szCs w:val="22"/>
        </w:rPr>
        <w:t xml:space="preserve">A teljesítményértékelő beszélgetésen a dékáni vezetés </w:t>
      </w:r>
      <w:proofErr w:type="spellStart"/>
      <w:r w:rsidRPr="00E13CE5">
        <w:rPr>
          <w:rFonts w:eastAsia="Calibri"/>
          <w:sz w:val="22"/>
          <w:szCs w:val="22"/>
        </w:rPr>
        <w:t>validálja</w:t>
      </w:r>
      <w:proofErr w:type="spellEnd"/>
      <w:r w:rsidRPr="00E13CE5">
        <w:rPr>
          <w:rFonts w:eastAsia="Calibri"/>
          <w:sz w:val="22"/>
          <w:szCs w:val="22"/>
        </w:rPr>
        <w:t xml:space="preserve"> a pontszámokat.</w:t>
      </w:r>
    </w:p>
    <w:p w14:paraId="586A0547" w14:textId="77777777" w:rsidR="00FD0545" w:rsidRPr="00E13CE5" w:rsidRDefault="00FD0545" w:rsidP="00F83E93">
      <w:pPr>
        <w:numPr>
          <w:ilvl w:val="0"/>
          <w:numId w:val="151"/>
        </w:numPr>
        <w:contextualSpacing/>
        <w:jc w:val="both"/>
        <w:rPr>
          <w:rFonts w:eastAsia="Calibri"/>
          <w:sz w:val="22"/>
          <w:szCs w:val="22"/>
        </w:rPr>
      </w:pPr>
      <w:r w:rsidRPr="00E13CE5">
        <w:rPr>
          <w:rFonts w:eastAsia="Calibri"/>
          <w:sz w:val="22"/>
          <w:szCs w:val="22"/>
        </w:rPr>
        <w:t>A Kari Tanács tagságok közül csak egy mező jelölhető meg. Vagy tag, vagy bizottsági tag, vagy elnök.</w:t>
      </w:r>
    </w:p>
    <w:p w14:paraId="76596B07" w14:textId="77777777" w:rsidR="00FD0545" w:rsidRPr="00E13CE5" w:rsidRDefault="00FD0545" w:rsidP="00F83E93">
      <w:pPr>
        <w:numPr>
          <w:ilvl w:val="0"/>
          <w:numId w:val="151"/>
        </w:numPr>
        <w:contextualSpacing/>
        <w:jc w:val="both"/>
        <w:rPr>
          <w:rFonts w:eastAsia="Calibri"/>
          <w:sz w:val="22"/>
          <w:szCs w:val="22"/>
        </w:rPr>
      </w:pPr>
      <w:r w:rsidRPr="00E13CE5">
        <w:rPr>
          <w:rFonts w:eastAsia="Calibri"/>
          <w:sz w:val="22"/>
          <w:szCs w:val="22"/>
        </w:rPr>
        <w:t xml:space="preserve">A </w:t>
      </w:r>
      <w:proofErr w:type="gramStart"/>
      <w:r w:rsidRPr="00E13CE5">
        <w:rPr>
          <w:rFonts w:eastAsia="Calibri"/>
          <w:sz w:val="22"/>
          <w:szCs w:val="22"/>
        </w:rPr>
        <w:t>funkciókhoz</w:t>
      </w:r>
      <w:proofErr w:type="gramEnd"/>
      <w:r w:rsidRPr="00E13CE5">
        <w:rPr>
          <w:rFonts w:eastAsia="Calibri"/>
          <w:sz w:val="22"/>
          <w:szCs w:val="22"/>
        </w:rPr>
        <w:t xml:space="preserve"> rendelt pontszámok a megjelölés után automatikusan képződnek.</w:t>
      </w:r>
    </w:p>
    <w:p w14:paraId="5F6BDD82" w14:textId="77777777" w:rsidR="00FD0545" w:rsidRPr="00E13CE5" w:rsidRDefault="00FD0545" w:rsidP="00F83E93">
      <w:pPr>
        <w:numPr>
          <w:ilvl w:val="0"/>
          <w:numId w:val="151"/>
        </w:numPr>
        <w:contextualSpacing/>
        <w:jc w:val="both"/>
        <w:rPr>
          <w:rFonts w:eastAsia="Calibri"/>
          <w:sz w:val="22"/>
          <w:szCs w:val="22"/>
        </w:rPr>
      </w:pPr>
      <w:r w:rsidRPr="00E13CE5">
        <w:rPr>
          <w:rFonts w:eastAsia="Calibri"/>
          <w:sz w:val="22"/>
          <w:szCs w:val="22"/>
        </w:rPr>
        <w:t xml:space="preserve">Az </w:t>
      </w:r>
      <w:proofErr w:type="gramStart"/>
      <w:r w:rsidRPr="00E13CE5">
        <w:rPr>
          <w:rFonts w:eastAsia="Calibri"/>
          <w:sz w:val="22"/>
          <w:szCs w:val="22"/>
        </w:rPr>
        <w:t>ad hoc</w:t>
      </w:r>
      <w:proofErr w:type="gramEnd"/>
      <w:r w:rsidRPr="00E13CE5">
        <w:rPr>
          <w:rFonts w:eastAsia="Calibri"/>
          <w:sz w:val="22"/>
          <w:szCs w:val="22"/>
        </w:rPr>
        <w:t xml:space="preserve"> jellegű intézmény menedzsment megbízások szöveges kiegészítésre szorulnak.</w:t>
      </w:r>
    </w:p>
    <w:p w14:paraId="481DA8B5" w14:textId="77777777" w:rsidR="00FD0545" w:rsidRPr="00E13CE5" w:rsidRDefault="00FD0545" w:rsidP="00F83E93">
      <w:pPr>
        <w:numPr>
          <w:ilvl w:val="0"/>
          <w:numId w:val="151"/>
        </w:numPr>
        <w:contextualSpacing/>
        <w:jc w:val="both"/>
        <w:rPr>
          <w:rFonts w:eastAsia="Calibri"/>
          <w:sz w:val="22"/>
          <w:szCs w:val="22"/>
        </w:rPr>
      </w:pPr>
      <w:r w:rsidRPr="00E13CE5">
        <w:rPr>
          <w:rFonts w:eastAsia="Calibri"/>
          <w:sz w:val="22"/>
          <w:szCs w:val="22"/>
        </w:rPr>
        <w:t>Ugyanazért a tevékenységért, vagy egy beosztásból eredő funkcióért többlet pontszám nem számolható el</w:t>
      </w:r>
    </w:p>
    <w:p w14:paraId="34DDF17C" w14:textId="77777777" w:rsidR="00FD0545" w:rsidRPr="00E13CE5" w:rsidRDefault="00FD0545" w:rsidP="00FD0545">
      <w:pPr>
        <w:spacing w:after="200" w:line="276" w:lineRule="auto"/>
        <w:ind w:left="720"/>
        <w:contextualSpacing/>
        <w:jc w:val="both"/>
        <w:rPr>
          <w:rFonts w:eastAsia="Calibri"/>
          <w:sz w:val="22"/>
          <w:szCs w:val="22"/>
        </w:rPr>
      </w:pPr>
    </w:p>
    <w:p w14:paraId="4185F1B2" w14:textId="77777777" w:rsidR="00FD0545" w:rsidRPr="00E13CE5" w:rsidRDefault="00FD0545" w:rsidP="00FD0545">
      <w:pPr>
        <w:spacing w:after="200" w:line="276" w:lineRule="auto"/>
        <w:contextualSpacing/>
        <w:jc w:val="center"/>
        <w:rPr>
          <w:rFonts w:eastAsia="Calibri"/>
          <w:b/>
          <w:sz w:val="22"/>
          <w:szCs w:val="22"/>
        </w:rPr>
      </w:pPr>
      <w:r w:rsidRPr="00E13CE5">
        <w:rPr>
          <w:rFonts w:eastAsia="Calibri"/>
          <w:b/>
          <w:sz w:val="22"/>
          <w:szCs w:val="22"/>
        </w:rPr>
        <w:lastRenderedPageBreak/>
        <w:t>Kutatási tevékenység mérése</w:t>
      </w:r>
    </w:p>
    <w:p w14:paraId="4A9616BA" w14:textId="77777777" w:rsidR="00FD0545" w:rsidRPr="00E13CE5" w:rsidRDefault="00FD0545" w:rsidP="00FD0545">
      <w:pPr>
        <w:jc w:val="both"/>
        <w:rPr>
          <w:rFonts w:eastAsia="Calibri"/>
          <w:sz w:val="22"/>
          <w:szCs w:val="22"/>
        </w:rPr>
      </w:pPr>
      <w:r w:rsidRPr="00E13CE5">
        <w:rPr>
          <w:rFonts w:eastAsia="Calibri"/>
          <w:b/>
          <w:sz w:val="22"/>
          <w:szCs w:val="22"/>
        </w:rPr>
        <w:t>8. §</w:t>
      </w:r>
      <w:r w:rsidRPr="00E13CE5">
        <w:rPr>
          <w:rFonts w:eastAsia="Calibri"/>
          <w:sz w:val="22"/>
          <w:szCs w:val="22"/>
        </w:rPr>
        <w:t xml:space="preserve"> (1) A kutatási tevékenység mérése egy jelenlegi állapotfelméréssel kezdődik (a teljesítményértékelő ívek első oldala), amely tartalmazza a publikációs </w:t>
      </w:r>
      <w:proofErr w:type="gramStart"/>
      <w:r w:rsidRPr="00E13CE5">
        <w:rPr>
          <w:rFonts w:eastAsia="Calibri"/>
          <w:sz w:val="22"/>
          <w:szCs w:val="22"/>
        </w:rPr>
        <w:t>aktivitásról</w:t>
      </w:r>
      <w:proofErr w:type="gramEnd"/>
      <w:r w:rsidRPr="00E13CE5">
        <w:rPr>
          <w:rFonts w:eastAsia="Calibri"/>
          <w:sz w:val="22"/>
          <w:szCs w:val="22"/>
        </w:rPr>
        <w:t xml:space="preserve"> szóló beszámolót az elmúlt öt évre vonatkozóan és összességében. A kitöltéshez szükséges adatok forrásai: MTMT, </w:t>
      </w:r>
      <w:proofErr w:type="spellStart"/>
      <w:r w:rsidRPr="00E13CE5">
        <w:rPr>
          <w:rFonts w:eastAsia="Calibri"/>
          <w:sz w:val="22"/>
          <w:szCs w:val="22"/>
        </w:rPr>
        <w:t>Reseachgate</w:t>
      </w:r>
      <w:proofErr w:type="spellEnd"/>
      <w:r w:rsidRPr="00E13CE5">
        <w:rPr>
          <w:rFonts w:eastAsia="Calibri"/>
          <w:sz w:val="22"/>
          <w:szCs w:val="22"/>
        </w:rPr>
        <w:t xml:space="preserve"> és ODT adatállományai.</w:t>
      </w:r>
    </w:p>
    <w:p w14:paraId="7AF2A7F9" w14:textId="77777777" w:rsidR="00FD0545" w:rsidRPr="00E13CE5" w:rsidRDefault="00FD0545" w:rsidP="00FD0545">
      <w:pPr>
        <w:jc w:val="both"/>
        <w:rPr>
          <w:rFonts w:eastAsia="Calibri"/>
          <w:sz w:val="22"/>
          <w:szCs w:val="22"/>
        </w:rPr>
      </w:pPr>
    </w:p>
    <w:p w14:paraId="4A22E375" w14:textId="77777777" w:rsidR="00FD0545" w:rsidRPr="00E13CE5" w:rsidRDefault="00FD0545" w:rsidP="00FD0545">
      <w:pPr>
        <w:jc w:val="both"/>
        <w:rPr>
          <w:rFonts w:eastAsia="Calibri"/>
          <w:sz w:val="22"/>
          <w:szCs w:val="22"/>
        </w:rPr>
      </w:pPr>
      <w:r w:rsidRPr="00E13CE5">
        <w:rPr>
          <w:rFonts w:eastAsia="Calibri"/>
          <w:sz w:val="22"/>
          <w:szCs w:val="22"/>
        </w:rPr>
        <w:t>(2) A kutatási teljesítményt négy tevékenységre osztva mérjük: publikációk, tudomány-szervezési tevékenység, tudományos közéleti tevékenység, tudományos fokozatszerzések.</w:t>
      </w:r>
    </w:p>
    <w:p w14:paraId="377CDDD7" w14:textId="77777777" w:rsidR="00FD0545" w:rsidRPr="00E13CE5" w:rsidRDefault="00FD0545" w:rsidP="00FD0545">
      <w:pPr>
        <w:jc w:val="both"/>
        <w:rPr>
          <w:rFonts w:eastAsia="Calibri"/>
          <w:sz w:val="22"/>
          <w:szCs w:val="22"/>
        </w:rPr>
      </w:pPr>
    </w:p>
    <w:p w14:paraId="4C574EE1" w14:textId="77777777" w:rsidR="00FD0545" w:rsidRPr="00E13CE5" w:rsidRDefault="00FD0545" w:rsidP="00FD0545">
      <w:pPr>
        <w:jc w:val="both"/>
        <w:rPr>
          <w:rFonts w:eastAsia="Calibri"/>
          <w:sz w:val="22"/>
          <w:szCs w:val="22"/>
        </w:rPr>
      </w:pPr>
      <w:r w:rsidRPr="00E13CE5">
        <w:rPr>
          <w:rFonts w:eastAsia="Calibri"/>
          <w:sz w:val="22"/>
          <w:szCs w:val="22"/>
        </w:rPr>
        <w:t xml:space="preserve">(3) A </w:t>
      </w:r>
      <w:r w:rsidRPr="00E13CE5">
        <w:rPr>
          <w:rFonts w:eastAsia="Calibri"/>
          <w:b/>
          <w:sz w:val="22"/>
          <w:szCs w:val="22"/>
        </w:rPr>
        <w:t>publikációk</w:t>
      </w:r>
      <w:r w:rsidRPr="00E13CE5">
        <w:rPr>
          <w:rFonts w:eastAsia="Calibri"/>
          <w:sz w:val="22"/>
          <w:szCs w:val="22"/>
        </w:rPr>
        <w:t xml:space="preserve"> értékelése:</w:t>
      </w:r>
    </w:p>
    <w:tbl>
      <w:tblPr>
        <w:tblW w:w="8642" w:type="dxa"/>
        <w:tblCellMar>
          <w:left w:w="70" w:type="dxa"/>
          <w:right w:w="70" w:type="dxa"/>
        </w:tblCellMar>
        <w:tblLook w:val="04A0" w:firstRow="1" w:lastRow="0" w:firstColumn="1" w:lastColumn="0" w:noHBand="0" w:noVBand="1"/>
      </w:tblPr>
      <w:tblGrid>
        <w:gridCol w:w="4390"/>
        <w:gridCol w:w="2126"/>
        <w:gridCol w:w="2126"/>
      </w:tblGrid>
      <w:tr w:rsidR="00FD0545" w:rsidRPr="00E13CE5" w14:paraId="4D66A1AE" w14:textId="77777777" w:rsidTr="00026782">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C79FC68" w14:textId="77777777" w:rsidR="00FD0545" w:rsidRPr="00E13CE5" w:rsidRDefault="00FD0545" w:rsidP="00026782">
            <w:pPr>
              <w:rPr>
                <w:rFonts w:eastAsia="Calibri"/>
                <w:b/>
                <w:sz w:val="22"/>
                <w:szCs w:val="22"/>
              </w:rPr>
            </w:pPr>
            <w:r w:rsidRPr="00E13CE5">
              <w:rPr>
                <w:rFonts w:eastAsia="Calibri"/>
                <w:b/>
                <w:sz w:val="22"/>
                <w:szCs w:val="22"/>
              </w:rPr>
              <w:t> </w:t>
            </w:r>
          </w:p>
        </w:tc>
        <w:tc>
          <w:tcPr>
            <w:tcW w:w="4252" w:type="dxa"/>
            <w:gridSpan w:val="2"/>
            <w:tcBorders>
              <w:top w:val="single" w:sz="4" w:space="0" w:color="auto"/>
              <w:left w:val="nil"/>
              <w:bottom w:val="single" w:sz="4" w:space="0" w:color="auto"/>
              <w:right w:val="single" w:sz="4" w:space="0" w:color="000000"/>
            </w:tcBorders>
            <w:shd w:val="clear" w:color="auto" w:fill="E7E6E6"/>
            <w:noWrap/>
            <w:vAlign w:val="bottom"/>
            <w:hideMark/>
          </w:tcPr>
          <w:p w14:paraId="7ED5067B" w14:textId="77777777" w:rsidR="00FD0545" w:rsidRPr="00E13CE5" w:rsidRDefault="00FD0545" w:rsidP="00026782">
            <w:pPr>
              <w:jc w:val="center"/>
              <w:rPr>
                <w:rFonts w:eastAsia="Calibri"/>
                <w:b/>
                <w:sz w:val="22"/>
                <w:szCs w:val="22"/>
              </w:rPr>
            </w:pPr>
            <w:r w:rsidRPr="00E13CE5">
              <w:rPr>
                <w:rFonts w:eastAsia="Calibri"/>
                <w:b/>
                <w:sz w:val="22"/>
                <w:szCs w:val="22"/>
              </w:rPr>
              <w:t>Publikációs pont</w:t>
            </w:r>
          </w:p>
        </w:tc>
      </w:tr>
      <w:tr w:rsidR="00FD0545" w:rsidRPr="00E13CE5" w14:paraId="1BA1A0A9"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E7E6E6"/>
            <w:noWrap/>
            <w:vAlign w:val="bottom"/>
            <w:hideMark/>
          </w:tcPr>
          <w:p w14:paraId="755579EF" w14:textId="77777777" w:rsidR="00FD0545" w:rsidRPr="00E13CE5" w:rsidRDefault="00FD0545" w:rsidP="00026782">
            <w:pPr>
              <w:rPr>
                <w:rFonts w:eastAsia="Calibri"/>
                <w:b/>
                <w:sz w:val="22"/>
                <w:szCs w:val="22"/>
              </w:rPr>
            </w:pPr>
            <w:r w:rsidRPr="00E13CE5">
              <w:rPr>
                <w:rFonts w:eastAsia="Calibri"/>
                <w:b/>
                <w:sz w:val="22"/>
                <w:szCs w:val="22"/>
              </w:rPr>
              <w:t> </w:t>
            </w:r>
          </w:p>
        </w:tc>
        <w:tc>
          <w:tcPr>
            <w:tcW w:w="2126" w:type="dxa"/>
            <w:tcBorders>
              <w:top w:val="single" w:sz="4" w:space="0" w:color="auto"/>
              <w:left w:val="nil"/>
              <w:bottom w:val="single" w:sz="4" w:space="0" w:color="auto"/>
              <w:right w:val="single" w:sz="4" w:space="0" w:color="000000"/>
            </w:tcBorders>
            <w:shd w:val="clear" w:color="auto" w:fill="E7E6E6"/>
            <w:noWrap/>
            <w:vAlign w:val="center"/>
            <w:hideMark/>
          </w:tcPr>
          <w:p w14:paraId="6B33AAFA" w14:textId="77777777" w:rsidR="00FD0545" w:rsidRPr="00E13CE5" w:rsidRDefault="00FD0545" w:rsidP="00026782">
            <w:pPr>
              <w:jc w:val="center"/>
              <w:rPr>
                <w:rFonts w:eastAsia="Calibri"/>
                <w:b/>
                <w:sz w:val="22"/>
                <w:szCs w:val="22"/>
              </w:rPr>
            </w:pPr>
            <w:r w:rsidRPr="00E13CE5">
              <w:rPr>
                <w:rFonts w:eastAsia="Calibri"/>
                <w:b/>
                <w:sz w:val="22"/>
                <w:szCs w:val="22"/>
              </w:rPr>
              <w:t>Magyar nyelven</w:t>
            </w:r>
          </w:p>
        </w:tc>
        <w:tc>
          <w:tcPr>
            <w:tcW w:w="2126" w:type="dxa"/>
            <w:tcBorders>
              <w:top w:val="nil"/>
              <w:left w:val="nil"/>
              <w:bottom w:val="single" w:sz="4" w:space="0" w:color="auto"/>
              <w:right w:val="single" w:sz="4" w:space="0" w:color="auto"/>
            </w:tcBorders>
            <w:shd w:val="clear" w:color="auto" w:fill="E7E6E6"/>
            <w:noWrap/>
            <w:vAlign w:val="center"/>
            <w:hideMark/>
          </w:tcPr>
          <w:p w14:paraId="38331B0D" w14:textId="77777777" w:rsidR="00FD0545" w:rsidRPr="00E13CE5" w:rsidRDefault="00FD0545" w:rsidP="00026782">
            <w:pPr>
              <w:jc w:val="center"/>
              <w:rPr>
                <w:rFonts w:eastAsia="Calibri"/>
                <w:b/>
                <w:sz w:val="22"/>
                <w:szCs w:val="22"/>
              </w:rPr>
            </w:pPr>
            <w:r w:rsidRPr="00E13CE5">
              <w:rPr>
                <w:rFonts w:eastAsia="Calibri"/>
                <w:b/>
                <w:sz w:val="22"/>
                <w:szCs w:val="22"/>
              </w:rPr>
              <w:t>Idegen nyelven</w:t>
            </w:r>
          </w:p>
        </w:tc>
      </w:tr>
      <w:tr w:rsidR="00FD0545" w:rsidRPr="00E13CE5" w14:paraId="3194745B"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29D2C31" w14:textId="77777777" w:rsidR="00FD0545" w:rsidRPr="00E13CE5" w:rsidRDefault="00FD0545" w:rsidP="00026782">
            <w:pPr>
              <w:rPr>
                <w:rFonts w:eastAsia="Calibri"/>
                <w:sz w:val="22"/>
                <w:szCs w:val="22"/>
              </w:rPr>
            </w:pPr>
            <w:r w:rsidRPr="00E13CE5">
              <w:rPr>
                <w:rFonts w:eastAsia="Calibri"/>
                <w:sz w:val="22"/>
                <w:szCs w:val="22"/>
              </w:rPr>
              <w:t>Q1</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B52181" w14:textId="77777777" w:rsidR="00FD0545" w:rsidRPr="00E13CE5" w:rsidRDefault="00FD0545" w:rsidP="00026782">
            <w:pPr>
              <w:jc w:val="center"/>
              <w:rPr>
                <w:rFonts w:eastAsia="Calibri"/>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79D31333" w14:textId="77777777" w:rsidR="00FD0545" w:rsidRPr="00E13CE5" w:rsidRDefault="00FD0545" w:rsidP="00026782">
            <w:pPr>
              <w:jc w:val="center"/>
              <w:rPr>
                <w:rFonts w:eastAsia="Calibri"/>
                <w:sz w:val="22"/>
                <w:szCs w:val="22"/>
              </w:rPr>
            </w:pPr>
            <w:r w:rsidRPr="00E13CE5">
              <w:rPr>
                <w:rFonts w:eastAsia="Calibri"/>
                <w:sz w:val="22"/>
                <w:szCs w:val="22"/>
              </w:rPr>
              <w:t>168,00</w:t>
            </w:r>
          </w:p>
        </w:tc>
      </w:tr>
      <w:tr w:rsidR="00FD0545" w:rsidRPr="00E13CE5" w14:paraId="1C305291"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74095F6" w14:textId="77777777" w:rsidR="00FD0545" w:rsidRPr="00E13CE5" w:rsidRDefault="00FD0545" w:rsidP="00026782">
            <w:pPr>
              <w:rPr>
                <w:rFonts w:eastAsia="Calibri"/>
                <w:sz w:val="22"/>
                <w:szCs w:val="22"/>
              </w:rPr>
            </w:pPr>
            <w:r w:rsidRPr="00E13CE5">
              <w:rPr>
                <w:rFonts w:eastAsia="Calibri"/>
                <w:sz w:val="22"/>
                <w:szCs w:val="22"/>
              </w:rPr>
              <w:t>ebből első tized (D1)</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73C5BC1B" w14:textId="77777777" w:rsidR="00FD0545" w:rsidRPr="00E13CE5" w:rsidRDefault="00FD0545" w:rsidP="00026782">
            <w:pPr>
              <w:jc w:val="center"/>
              <w:rPr>
                <w:rFonts w:eastAsia="Calibri"/>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03CE4B6D" w14:textId="77777777" w:rsidR="00FD0545" w:rsidRPr="00E13CE5" w:rsidRDefault="00FD0545" w:rsidP="00026782">
            <w:pPr>
              <w:jc w:val="center"/>
              <w:rPr>
                <w:rFonts w:eastAsia="Calibri"/>
                <w:sz w:val="22"/>
                <w:szCs w:val="22"/>
              </w:rPr>
            </w:pPr>
            <w:r w:rsidRPr="00E13CE5">
              <w:rPr>
                <w:rFonts w:eastAsia="Calibri"/>
                <w:sz w:val="22"/>
                <w:szCs w:val="22"/>
              </w:rPr>
              <w:t>210,00</w:t>
            </w:r>
          </w:p>
        </w:tc>
      </w:tr>
      <w:tr w:rsidR="00FD0545" w:rsidRPr="00E13CE5" w14:paraId="049492DF"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DC4079" w14:textId="77777777" w:rsidR="00FD0545" w:rsidRPr="00E13CE5" w:rsidRDefault="00FD0545" w:rsidP="00026782">
            <w:pPr>
              <w:rPr>
                <w:rFonts w:eastAsia="Calibri"/>
                <w:sz w:val="22"/>
                <w:szCs w:val="22"/>
              </w:rPr>
            </w:pPr>
            <w:r w:rsidRPr="00E13CE5">
              <w:rPr>
                <w:rFonts w:eastAsia="Calibri"/>
                <w:sz w:val="22"/>
                <w:szCs w:val="22"/>
              </w:rPr>
              <w:t>Q2</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10A2137D" w14:textId="77777777" w:rsidR="00FD0545" w:rsidRPr="00E13CE5" w:rsidRDefault="00FD0545" w:rsidP="00026782">
            <w:pPr>
              <w:jc w:val="center"/>
              <w:rPr>
                <w:rFonts w:eastAsia="Calibri"/>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34D2585C" w14:textId="77777777" w:rsidR="00FD0545" w:rsidRPr="00E13CE5" w:rsidRDefault="00FD0545" w:rsidP="00026782">
            <w:pPr>
              <w:jc w:val="center"/>
              <w:rPr>
                <w:rFonts w:eastAsia="Calibri"/>
                <w:sz w:val="22"/>
                <w:szCs w:val="22"/>
              </w:rPr>
            </w:pPr>
            <w:r w:rsidRPr="00E13CE5">
              <w:rPr>
                <w:rFonts w:eastAsia="Calibri"/>
                <w:sz w:val="22"/>
                <w:szCs w:val="22"/>
              </w:rPr>
              <w:t>84,00</w:t>
            </w:r>
          </w:p>
        </w:tc>
      </w:tr>
      <w:tr w:rsidR="00FD0545" w:rsidRPr="00E13CE5" w14:paraId="13A0CC13"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2D3397F" w14:textId="77777777" w:rsidR="00FD0545" w:rsidRPr="00E13CE5" w:rsidRDefault="00FD0545" w:rsidP="00026782">
            <w:pPr>
              <w:rPr>
                <w:rFonts w:eastAsia="Calibri"/>
                <w:sz w:val="22"/>
                <w:szCs w:val="22"/>
              </w:rPr>
            </w:pPr>
            <w:r w:rsidRPr="00E13CE5">
              <w:rPr>
                <w:rFonts w:eastAsia="Calibri"/>
                <w:sz w:val="22"/>
                <w:szCs w:val="22"/>
              </w:rPr>
              <w:t>Q3</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C5197BA" w14:textId="77777777" w:rsidR="00FD0545" w:rsidRPr="00E13CE5" w:rsidRDefault="00FD0545" w:rsidP="00026782">
            <w:pPr>
              <w:jc w:val="center"/>
              <w:rPr>
                <w:rFonts w:eastAsia="Calibri"/>
                <w:sz w:val="22"/>
                <w:szCs w:val="22"/>
              </w:rPr>
            </w:pPr>
            <w:r w:rsidRPr="00E13CE5">
              <w:rPr>
                <w:rFonts w:eastAsia="Calibri"/>
                <w:sz w:val="22"/>
                <w:szCs w:val="22"/>
              </w:rPr>
              <w:t>42,00</w:t>
            </w:r>
          </w:p>
        </w:tc>
        <w:tc>
          <w:tcPr>
            <w:tcW w:w="2126" w:type="dxa"/>
            <w:tcBorders>
              <w:top w:val="nil"/>
              <w:left w:val="nil"/>
              <w:bottom w:val="single" w:sz="4" w:space="0" w:color="auto"/>
              <w:right w:val="single" w:sz="4" w:space="0" w:color="auto"/>
            </w:tcBorders>
            <w:shd w:val="clear" w:color="auto" w:fill="auto"/>
            <w:noWrap/>
            <w:vAlign w:val="center"/>
            <w:hideMark/>
          </w:tcPr>
          <w:p w14:paraId="31368533" w14:textId="77777777" w:rsidR="00FD0545" w:rsidRPr="00E13CE5" w:rsidRDefault="00FD0545" w:rsidP="00026782">
            <w:pPr>
              <w:jc w:val="center"/>
              <w:rPr>
                <w:rFonts w:eastAsia="Calibri"/>
                <w:sz w:val="22"/>
                <w:szCs w:val="22"/>
              </w:rPr>
            </w:pPr>
            <w:r w:rsidRPr="00E13CE5">
              <w:rPr>
                <w:rFonts w:eastAsia="Calibri"/>
                <w:sz w:val="22"/>
                <w:szCs w:val="22"/>
              </w:rPr>
              <w:t>75,60</w:t>
            </w:r>
          </w:p>
        </w:tc>
      </w:tr>
      <w:tr w:rsidR="00FD0545" w:rsidRPr="00E13CE5" w14:paraId="21276835"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AC1A083" w14:textId="77777777" w:rsidR="00FD0545" w:rsidRPr="00E13CE5" w:rsidRDefault="00FD0545" w:rsidP="00026782">
            <w:pPr>
              <w:rPr>
                <w:rFonts w:eastAsia="Calibri"/>
                <w:sz w:val="22"/>
                <w:szCs w:val="22"/>
              </w:rPr>
            </w:pPr>
            <w:r w:rsidRPr="00E13CE5">
              <w:rPr>
                <w:rFonts w:eastAsia="Calibri"/>
                <w:sz w:val="22"/>
                <w:szCs w:val="22"/>
              </w:rPr>
              <w:t>Q4</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1137907E" w14:textId="77777777" w:rsidR="00FD0545" w:rsidRPr="00E13CE5" w:rsidRDefault="00FD0545" w:rsidP="00026782">
            <w:pPr>
              <w:jc w:val="center"/>
              <w:rPr>
                <w:rFonts w:eastAsia="Calibri"/>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1BAEEF84" w14:textId="77777777" w:rsidR="00FD0545" w:rsidRPr="00E13CE5" w:rsidRDefault="00FD0545" w:rsidP="00026782">
            <w:pPr>
              <w:jc w:val="center"/>
              <w:rPr>
                <w:rFonts w:eastAsia="Calibri"/>
                <w:sz w:val="22"/>
                <w:szCs w:val="22"/>
              </w:rPr>
            </w:pPr>
            <w:r w:rsidRPr="00E13CE5">
              <w:rPr>
                <w:rFonts w:eastAsia="Calibri"/>
                <w:sz w:val="22"/>
                <w:szCs w:val="22"/>
              </w:rPr>
              <w:t>68,04</w:t>
            </w:r>
          </w:p>
        </w:tc>
      </w:tr>
      <w:tr w:rsidR="00FD0545" w:rsidRPr="00E13CE5" w14:paraId="3EDDDF4F"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FD57724" w14:textId="77777777" w:rsidR="00FD0545" w:rsidRPr="00E13CE5" w:rsidRDefault="00FD0545" w:rsidP="00026782">
            <w:pPr>
              <w:rPr>
                <w:rFonts w:eastAsia="Calibri"/>
                <w:sz w:val="22"/>
                <w:szCs w:val="22"/>
              </w:rPr>
            </w:pPr>
            <w:r w:rsidRPr="00E13CE5">
              <w:rPr>
                <w:rFonts w:eastAsia="Calibri"/>
                <w:sz w:val="22"/>
                <w:szCs w:val="22"/>
              </w:rPr>
              <w:t xml:space="preserve">Idézhető </w:t>
            </w:r>
            <w:proofErr w:type="gramStart"/>
            <w:r w:rsidRPr="00E13CE5">
              <w:rPr>
                <w:rFonts w:eastAsia="Calibri"/>
                <w:sz w:val="22"/>
                <w:szCs w:val="22"/>
              </w:rPr>
              <w:t>absztrakt</w:t>
            </w:r>
            <w:proofErr w:type="gramEnd"/>
            <w:r w:rsidRPr="00E13CE5">
              <w:rPr>
                <w:rFonts w:eastAsia="Calibri"/>
                <w:sz w:val="22"/>
                <w:szCs w:val="22"/>
              </w:rPr>
              <w:t xml:space="preserve"> (db)</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3B48A1A1" w14:textId="77777777" w:rsidR="00FD0545" w:rsidRPr="00E13CE5" w:rsidRDefault="00FD0545" w:rsidP="00026782">
            <w:pPr>
              <w:jc w:val="center"/>
              <w:rPr>
                <w:rFonts w:eastAsia="Calibri"/>
                <w:sz w:val="22"/>
                <w:szCs w:val="22"/>
              </w:rPr>
            </w:pPr>
            <w:r w:rsidRPr="00E13CE5">
              <w:rPr>
                <w:rFonts w:eastAsia="Calibri"/>
                <w:sz w:val="22"/>
                <w:szCs w:val="22"/>
              </w:rPr>
              <w:t>35,00</w:t>
            </w:r>
          </w:p>
        </w:tc>
        <w:tc>
          <w:tcPr>
            <w:tcW w:w="2126" w:type="dxa"/>
            <w:tcBorders>
              <w:top w:val="nil"/>
              <w:left w:val="nil"/>
              <w:bottom w:val="single" w:sz="4" w:space="0" w:color="auto"/>
              <w:right w:val="single" w:sz="4" w:space="0" w:color="auto"/>
            </w:tcBorders>
            <w:shd w:val="clear" w:color="auto" w:fill="auto"/>
            <w:noWrap/>
            <w:vAlign w:val="center"/>
            <w:hideMark/>
          </w:tcPr>
          <w:p w14:paraId="6C6D7993" w14:textId="77777777" w:rsidR="00FD0545" w:rsidRPr="00E13CE5" w:rsidRDefault="00FD0545" w:rsidP="00026782">
            <w:pPr>
              <w:jc w:val="center"/>
              <w:rPr>
                <w:rFonts w:eastAsia="Calibri"/>
                <w:sz w:val="22"/>
                <w:szCs w:val="22"/>
              </w:rPr>
            </w:pPr>
            <w:r w:rsidRPr="00E13CE5">
              <w:rPr>
                <w:rFonts w:eastAsia="Calibri"/>
                <w:sz w:val="22"/>
                <w:szCs w:val="22"/>
              </w:rPr>
              <w:t>63,00</w:t>
            </w:r>
          </w:p>
        </w:tc>
      </w:tr>
      <w:tr w:rsidR="00FD0545" w:rsidRPr="00E13CE5" w14:paraId="0D68F4F8"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0CCAA8C" w14:textId="77777777" w:rsidR="00FD0545" w:rsidRPr="00E13CE5" w:rsidRDefault="00FD0545" w:rsidP="00026782">
            <w:pPr>
              <w:rPr>
                <w:rFonts w:eastAsia="Calibri"/>
                <w:sz w:val="22"/>
                <w:szCs w:val="22"/>
              </w:rPr>
            </w:pPr>
            <w:r w:rsidRPr="00E13CE5">
              <w:rPr>
                <w:rFonts w:eastAsia="Calibri"/>
                <w:sz w:val="22"/>
                <w:szCs w:val="22"/>
              </w:rPr>
              <w:t>Könyv, könyvrészlet (oldal)</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26B79653" w14:textId="77777777" w:rsidR="00FD0545" w:rsidRPr="00E13CE5" w:rsidRDefault="00FD0545" w:rsidP="00026782">
            <w:pPr>
              <w:jc w:val="center"/>
              <w:rPr>
                <w:rFonts w:eastAsia="Calibri"/>
                <w:sz w:val="22"/>
                <w:szCs w:val="22"/>
              </w:rPr>
            </w:pPr>
            <w:r w:rsidRPr="00E13CE5">
              <w:rPr>
                <w:rFonts w:eastAsia="Calibri"/>
                <w:sz w:val="22"/>
                <w:szCs w:val="22"/>
              </w:rPr>
              <w:t>0,30</w:t>
            </w:r>
          </w:p>
        </w:tc>
        <w:tc>
          <w:tcPr>
            <w:tcW w:w="2126" w:type="dxa"/>
            <w:tcBorders>
              <w:top w:val="nil"/>
              <w:left w:val="nil"/>
              <w:bottom w:val="single" w:sz="4" w:space="0" w:color="auto"/>
              <w:right w:val="single" w:sz="4" w:space="0" w:color="auto"/>
            </w:tcBorders>
            <w:shd w:val="clear" w:color="auto" w:fill="auto"/>
            <w:noWrap/>
            <w:vAlign w:val="center"/>
            <w:hideMark/>
          </w:tcPr>
          <w:p w14:paraId="6C0EC358" w14:textId="77777777" w:rsidR="00FD0545" w:rsidRPr="00E13CE5" w:rsidRDefault="00FD0545" w:rsidP="00026782">
            <w:pPr>
              <w:jc w:val="center"/>
              <w:rPr>
                <w:rFonts w:eastAsia="Calibri"/>
                <w:sz w:val="22"/>
                <w:szCs w:val="22"/>
              </w:rPr>
            </w:pPr>
            <w:r w:rsidRPr="00E13CE5">
              <w:rPr>
                <w:rFonts w:eastAsia="Calibri"/>
                <w:sz w:val="22"/>
                <w:szCs w:val="22"/>
              </w:rPr>
              <w:t>0,54</w:t>
            </w:r>
          </w:p>
        </w:tc>
      </w:tr>
      <w:tr w:rsidR="00FD0545" w:rsidRPr="00E13CE5" w14:paraId="25C96F08"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E8A7416" w14:textId="77777777" w:rsidR="00FD0545" w:rsidRPr="00E13CE5" w:rsidRDefault="00FD0545" w:rsidP="00026782">
            <w:pPr>
              <w:rPr>
                <w:rFonts w:eastAsia="Calibri"/>
                <w:sz w:val="22"/>
                <w:szCs w:val="22"/>
              </w:rPr>
            </w:pPr>
            <w:r w:rsidRPr="00E13CE5">
              <w:rPr>
                <w:rFonts w:eastAsia="Calibri"/>
                <w:sz w:val="22"/>
                <w:szCs w:val="22"/>
              </w:rPr>
              <w:t>Egyetemi jegyzet (oldal)</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09426FD" w14:textId="77777777" w:rsidR="00FD0545" w:rsidRPr="00E13CE5" w:rsidRDefault="00FD0545" w:rsidP="00026782">
            <w:pPr>
              <w:jc w:val="center"/>
              <w:rPr>
                <w:rFonts w:eastAsia="Calibri"/>
                <w:sz w:val="22"/>
                <w:szCs w:val="22"/>
              </w:rPr>
            </w:pPr>
            <w:r w:rsidRPr="00E13CE5">
              <w:rPr>
                <w:rFonts w:eastAsia="Calibri"/>
                <w:sz w:val="22"/>
                <w:szCs w:val="22"/>
              </w:rPr>
              <w:t>0,30</w:t>
            </w:r>
          </w:p>
        </w:tc>
        <w:tc>
          <w:tcPr>
            <w:tcW w:w="2126" w:type="dxa"/>
            <w:tcBorders>
              <w:top w:val="nil"/>
              <w:left w:val="nil"/>
              <w:bottom w:val="single" w:sz="4" w:space="0" w:color="auto"/>
              <w:right w:val="single" w:sz="4" w:space="0" w:color="auto"/>
            </w:tcBorders>
            <w:shd w:val="clear" w:color="auto" w:fill="auto"/>
            <w:noWrap/>
            <w:vAlign w:val="center"/>
            <w:hideMark/>
          </w:tcPr>
          <w:p w14:paraId="7EA89E2F" w14:textId="77777777" w:rsidR="00FD0545" w:rsidRPr="00E13CE5" w:rsidRDefault="00FD0545" w:rsidP="00026782">
            <w:pPr>
              <w:jc w:val="center"/>
              <w:rPr>
                <w:rFonts w:eastAsia="Calibri"/>
                <w:sz w:val="22"/>
                <w:szCs w:val="22"/>
              </w:rPr>
            </w:pPr>
            <w:r w:rsidRPr="00E13CE5">
              <w:rPr>
                <w:rFonts w:eastAsia="Calibri"/>
                <w:sz w:val="22"/>
                <w:szCs w:val="22"/>
              </w:rPr>
              <w:t>0,54</w:t>
            </w:r>
          </w:p>
        </w:tc>
      </w:tr>
      <w:tr w:rsidR="00FD0545" w:rsidRPr="00E13CE5" w14:paraId="37306DCC"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3BB5466C" w14:textId="77777777" w:rsidR="00FD0545" w:rsidRPr="00E13CE5" w:rsidRDefault="00FD0545" w:rsidP="00026782">
            <w:pPr>
              <w:rPr>
                <w:rFonts w:eastAsia="Calibri"/>
                <w:sz w:val="22"/>
                <w:szCs w:val="22"/>
              </w:rPr>
            </w:pPr>
            <w:proofErr w:type="gramStart"/>
            <w:r w:rsidRPr="00E13CE5">
              <w:rPr>
                <w:rFonts w:eastAsia="Calibri"/>
                <w:sz w:val="22"/>
                <w:szCs w:val="22"/>
              </w:rPr>
              <w:t>Könyv szerkesztés</w:t>
            </w:r>
            <w:proofErr w:type="gramEnd"/>
            <w:r w:rsidRPr="00E13CE5">
              <w:rPr>
                <w:rFonts w:eastAsia="Calibri"/>
                <w:sz w:val="22"/>
                <w:szCs w:val="22"/>
              </w:rPr>
              <w:t xml:space="preserve"> (db)</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345B5FC6" w14:textId="77777777" w:rsidR="00FD0545" w:rsidRPr="00E13CE5" w:rsidRDefault="00FD0545" w:rsidP="00026782">
            <w:pPr>
              <w:jc w:val="center"/>
              <w:rPr>
                <w:rFonts w:eastAsia="Calibri"/>
                <w:sz w:val="22"/>
                <w:szCs w:val="22"/>
              </w:rPr>
            </w:pPr>
            <w:r w:rsidRPr="00E13CE5">
              <w:rPr>
                <w:rFonts w:eastAsia="Calibri"/>
                <w:sz w:val="22"/>
                <w:szCs w:val="22"/>
              </w:rPr>
              <w:t>84,00</w:t>
            </w:r>
          </w:p>
        </w:tc>
        <w:tc>
          <w:tcPr>
            <w:tcW w:w="2126" w:type="dxa"/>
            <w:tcBorders>
              <w:top w:val="nil"/>
              <w:left w:val="nil"/>
              <w:bottom w:val="single" w:sz="4" w:space="0" w:color="auto"/>
              <w:right w:val="single" w:sz="4" w:space="0" w:color="auto"/>
            </w:tcBorders>
            <w:shd w:val="clear" w:color="auto" w:fill="auto"/>
            <w:noWrap/>
            <w:vAlign w:val="center"/>
            <w:hideMark/>
          </w:tcPr>
          <w:p w14:paraId="3075EDCC" w14:textId="77777777" w:rsidR="00FD0545" w:rsidRPr="00E13CE5" w:rsidRDefault="00FD0545" w:rsidP="00026782">
            <w:pPr>
              <w:jc w:val="center"/>
              <w:rPr>
                <w:rFonts w:eastAsia="Calibri"/>
                <w:sz w:val="22"/>
                <w:szCs w:val="22"/>
              </w:rPr>
            </w:pPr>
            <w:r w:rsidRPr="00E13CE5">
              <w:rPr>
                <w:rFonts w:eastAsia="Calibri"/>
                <w:sz w:val="22"/>
                <w:szCs w:val="22"/>
              </w:rPr>
              <w:t>151,20</w:t>
            </w:r>
          </w:p>
        </w:tc>
      </w:tr>
      <w:tr w:rsidR="00FD0545" w:rsidRPr="00E13CE5" w14:paraId="142AA911"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7F0F7E9" w14:textId="77777777" w:rsidR="00FD0545" w:rsidRPr="00E13CE5" w:rsidRDefault="00FD0545" w:rsidP="00026782">
            <w:pPr>
              <w:rPr>
                <w:rFonts w:eastAsia="Calibri"/>
                <w:sz w:val="22"/>
                <w:szCs w:val="22"/>
              </w:rPr>
            </w:pPr>
            <w:r w:rsidRPr="00E13CE5">
              <w:rPr>
                <w:rFonts w:eastAsia="Calibri"/>
                <w:sz w:val="22"/>
                <w:szCs w:val="22"/>
              </w:rPr>
              <w:t>Meghívott plenáris előadás</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2638673" w14:textId="77777777" w:rsidR="00FD0545" w:rsidRPr="00E13CE5" w:rsidRDefault="00FD0545" w:rsidP="00026782">
            <w:pPr>
              <w:jc w:val="center"/>
              <w:rPr>
                <w:rFonts w:eastAsia="Calibri"/>
                <w:sz w:val="22"/>
                <w:szCs w:val="22"/>
              </w:rPr>
            </w:pPr>
            <w:r w:rsidRPr="00E13CE5">
              <w:rPr>
                <w:rFonts w:eastAsia="Calibri"/>
                <w:sz w:val="22"/>
                <w:szCs w:val="22"/>
              </w:rPr>
              <w:t>63,00</w:t>
            </w:r>
          </w:p>
        </w:tc>
        <w:tc>
          <w:tcPr>
            <w:tcW w:w="2126" w:type="dxa"/>
            <w:tcBorders>
              <w:top w:val="nil"/>
              <w:left w:val="nil"/>
              <w:bottom w:val="single" w:sz="4" w:space="0" w:color="auto"/>
              <w:right w:val="single" w:sz="4" w:space="0" w:color="auto"/>
            </w:tcBorders>
            <w:shd w:val="clear" w:color="auto" w:fill="auto"/>
            <w:noWrap/>
            <w:vAlign w:val="center"/>
            <w:hideMark/>
          </w:tcPr>
          <w:p w14:paraId="4F29DDB1" w14:textId="77777777" w:rsidR="00FD0545" w:rsidRPr="00E13CE5" w:rsidRDefault="00FD0545" w:rsidP="00026782">
            <w:pPr>
              <w:jc w:val="center"/>
              <w:rPr>
                <w:rFonts w:eastAsia="Calibri"/>
                <w:sz w:val="22"/>
                <w:szCs w:val="22"/>
              </w:rPr>
            </w:pPr>
            <w:r w:rsidRPr="00E13CE5">
              <w:rPr>
                <w:rFonts w:eastAsia="Calibri"/>
                <w:sz w:val="22"/>
                <w:szCs w:val="22"/>
              </w:rPr>
              <w:t>113,40</w:t>
            </w:r>
          </w:p>
        </w:tc>
      </w:tr>
      <w:tr w:rsidR="00FD0545" w:rsidRPr="00E13CE5" w14:paraId="511509B8" w14:textId="77777777" w:rsidTr="00026782">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3A4BBE1" w14:textId="77777777" w:rsidR="00FD0545" w:rsidRPr="00E13CE5" w:rsidRDefault="00FD0545" w:rsidP="00026782">
            <w:pPr>
              <w:rPr>
                <w:rFonts w:eastAsia="Calibri"/>
                <w:sz w:val="22"/>
                <w:szCs w:val="22"/>
              </w:rPr>
            </w:pPr>
            <w:proofErr w:type="gramStart"/>
            <w:r w:rsidRPr="00E13CE5">
              <w:rPr>
                <w:rFonts w:eastAsia="Calibri"/>
                <w:sz w:val="22"/>
                <w:szCs w:val="22"/>
              </w:rPr>
              <w:t>Konferencia</w:t>
            </w:r>
            <w:proofErr w:type="gramEnd"/>
            <w:r w:rsidRPr="00E13CE5">
              <w:rPr>
                <w:rFonts w:eastAsia="Calibri"/>
                <w:sz w:val="22"/>
                <w:szCs w:val="22"/>
              </w:rPr>
              <w:t xml:space="preserve"> előadás (nem idézhető)</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21C88440" w14:textId="77777777" w:rsidR="00FD0545" w:rsidRPr="00E13CE5" w:rsidRDefault="00FD0545" w:rsidP="00026782">
            <w:pPr>
              <w:jc w:val="center"/>
              <w:rPr>
                <w:rFonts w:eastAsia="Calibri"/>
                <w:sz w:val="22"/>
                <w:szCs w:val="22"/>
              </w:rPr>
            </w:pPr>
            <w:r w:rsidRPr="00E13CE5">
              <w:rPr>
                <w:rFonts w:eastAsia="Calibri"/>
                <w:sz w:val="22"/>
                <w:szCs w:val="22"/>
              </w:rPr>
              <w:t>28,00</w:t>
            </w:r>
          </w:p>
        </w:tc>
        <w:tc>
          <w:tcPr>
            <w:tcW w:w="2126" w:type="dxa"/>
            <w:tcBorders>
              <w:top w:val="nil"/>
              <w:left w:val="nil"/>
              <w:bottom w:val="single" w:sz="4" w:space="0" w:color="auto"/>
              <w:right w:val="single" w:sz="4" w:space="0" w:color="auto"/>
            </w:tcBorders>
            <w:shd w:val="clear" w:color="auto" w:fill="auto"/>
            <w:noWrap/>
            <w:vAlign w:val="center"/>
            <w:hideMark/>
          </w:tcPr>
          <w:p w14:paraId="2486591A" w14:textId="77777777" w:rsidR="00FD0545" w:rsidRPr="00E13CE5" w:rsidRDefault="00FD0545" w:rsidP="00026782">
            <w:pPr>
              <w:jc w:val="center"/>
              <w:rPr>
                <w:rFonts w:eastAsia="Calibri"/>
                <w:sz w:val="22"/>
                <w:szCs w:val="22"/>
              </w:rPr>
            </w:pPr>
            <w:r w:rsidRPr="00E13CE5">
              <w:rPr>
                <w:rFonts w:eastAsia="Calibri"/>
                <w:sz w:val="22"/>
                <w:szCs w:val="22"/>
              </w:rPr>
              <w:t>50,40</w:t>
            </w:r>
          </w:p>
        </w:tc>
      </w:tr>
    </w:tbl>
    <w:p w14:paraId="2F22B86D" w14:textId="77777777" w:rsidR="00FD0545" w:rsidRPr="00E13CE5" w:rsidRDefault="00FD0545" w:rsidP="00FD0545">
      <w:pPr>
        <w:spacing w:before="240"/>
        <w:jc w:val="both"/>
        <w:rPr>
          <w:rFonts w:eastAsia="Calibri"/>
          <w:sz w:val="22"/>
          <w:szCs w:val="22"/>
        </w:rPr>
      </w:pPr>
      <w:r w:rsidRPr="00E13CE5">
        <w:rPr>
          <w:rFonts w:eastAsia="Calibri"/>
          <w:sz w:val="22"/>
          <w:szCs w:val="22"/>
        </w:rPr>
        <w:t>Magyarázat:</w:t>
      </w:r>
    </w:p>
    <w:p w14:paraId="620A0C9B" w14:textId="77777777" w:rsidR="00FD0545" w:rsidRPr="00E13CE5" w:rsidRDefault="00FD0545" w:rsidP="00F83E93">
      <w:pPr>
        <w:numPr>
          <w:ilvl w:val="0"/>
          <w:numId w:val="152"/>
        </w:numPr>
        <w:contextualSpacing/>
        <w:jc w:val="both"/>
        <w:rPr>
          <w:rFonts w:eastAsia="Calibri"/>
          <w:sz w:val="22"/>
          <w:szCs w:val="22"/>
        </w:rPr>
      </w:pPr>
      <w:r w:rsidRPr="00E13CE5">
        <w:rPr>
          <w:rFonts w:eastAsia="Calibri"/>
          <w:sz w:val="22"/>
          <w:szCs w:val="22"/>
        </w:rPr>
        <w:t>Egyes mezők a magyar nyelvű publikációs lehetőségek esetében nem értelmezhetők.</w:t>
      </w:r>
    </w:p>
    <w:p w14:paraId="36927C70" w14:textId="77777777" w:rsidR="00FD0545" w:rsidRPr="00E13CE5" w:rsidRDefault="00FD0545" w:rsidP="00F83E93">
      <w:pPr>
        <w:numPr>
          <w:ilvl w:val="0"/>
          <w:numId w:val="152"/>
        </w:numPr>
        <w:contextualSpacing/>
        <w:jc w:val="both"/>
        <w:rPr>
          <w:rFonts w:eastAsia="Calibri"/>
          <w:sz w:val="22"/>
          <w:szCs w:val="22"/>
        </w:rPr>
      </w:pPr>
      <w:r w:rsidRPr="00E13CE5">
        <w:rPr>
          <w:rFonts w:eastAsia="Calibri"/>
          <w:sz w:val="22"/>
          <w:szCs w:val="22"/>
        </w:rPr>
        <w:t xml:space="preserve">Egy magyar nyelvű Q3 publikáció az </w:t>
      </w:r>
      <w:proofErr w:type="gramStart"/>
      <w:r w:rsidRPr="00E13CE5">
        <w:rPr>
          <w:rFonts w:eastAsia="Calibri"/>
          <w:sz w:val="22"/>
          <w:szCs w:val="22"/>
        </w:rPr>
        <w:t>etalonnal</w:t>
      </w:r>
      <w:proofErr w:type="gramEnd"/>
      <w:r w:rsidRPr="00E13CE5">
        <w:rPr>
          <w:rFonts w:eastAsia="Calibri"/>
          <w:sz w:val="22"/>
          <w:szCs w:val="22"/>
        </w:rPr>
        <w:t xml:space="preserve"> egyenértékű.</w:t>
      </w:r>
    </w:p>
    <w:p w14:paraId="2CBC9E45" w14:textId="77777777" w:rsidR="00FD0545" w:rsidRPr="00E13CE5" w:rsidRDefault="00FD0545" w:rsidP="00F83E93">
      <w:pPr>
        <w:numPr>
          <w:ilvl w:val="0"/>
          <w:numId w:val="152"/>
        </w:numPr>
        <w:contextualSpacing/>
        <w:jc w:val="both"/>
        <w:rPr>
          <w:rFonts w:eastAsia="Calibri"/>
          <w:sz w:val="22"/>
          <w:szCs w:val="22"/>
        </w:rPr>
      </w:pPr>
      <w:r w:rsidRPr="00E13CE5">
        <w:rPr>
          <w:rFonts w:eastAsia="Calibri"/>
          <w:sz w:val="22"/>
          <w:szCs w:val="22"/>
        </w:rPr>
        <w:t>A többi publikáció pontszám értéke ehhez viszonyul.</w:t>
      </w:r>
    </w:p>
    <w:p w14:paraId="5B107EC7" w14:textId="77777777" w:rsidR="00FD0545" w:rsidRPr="00E13CE5" w:rsidRDefault="00FD0545" w:rsidP="00F83E93">
      <w:pPr>
        <w:numPr>
          <w:ilvl w:val="0"/>
          <w:numId w:val="152"/>
        </w:numPr>
        <w:contextualSpacing/>
        <w:jc w:val="both"/>
        <w:rPr>
          <w:rFonts w:eastAsia="Calibri"/>
          <w:sz w:val="22"/>
          <w:szCs w:val="22"/>
        </w:rPr>
      </w:pPr>
      <w:r w:rsidRPr="00E13CE5">
        <w:rPr>
          <w:rFonts w:eastAsia="Calibri"/>
          <w:sz w:val="22"/>
          <w:szCs w:val="22"/>
        </w:rPr>
        <w:t xml:space="preserve">Az idegen nyelvű publikáció a magyar nyelvű publikáció pontértékének 1,8-szerese </w:t>
      </w:r>
    </w:p>
    <w:p w14:paraId="22DC7D99" w14:textId="77777777" w:rsidR="00FD0545" w:rsidRPr="00E13CE5" w:rsidRDefault="00FD0545" w:rsidP="00F83E93">
      <w:pPr>
        <w:numPr>
          <w:ilvl w:val="0"/>
          <w:numId w:val="152"/>
        </w:numPr>
        <w:contextualSpacing/>
        <w:jc w:val="both"/>
        <w:rPr>
          <w:rFonts w:eastAsia="Calibri"/>
          <w:sz w:val="22"/>
          <w:szCs w:val="22"/>
        </w:rPr>
      </w:pPr>
      <w:r w:rsidRPr="00E13CE5">
        <w:rPr>
          <w:rFonts w:eastAsia="Calibri"/>
          <w:sz w:val="22"/>
          <w:szCs w:val="22"/>
        </w:rPr>
        <w:t xml:space="preserve">Az idegen nyelvű publikációk pontszámai az </w:t>
      </w:r>
      <w:proofErr w:type="gramStart"/>
      <w:r w:rsidRPr="00E13CE5">
        <w:rPr>
          <w:rFonts w:eastAsia="Calibri"/>
          <w:sz w:val="22"/>
          <w:szCs w:val="22"/>
        </w:rPr>
        <w:t>etalon</w:t>
      </w:r>
      <w:proofErr w:type="gramEnd"/>
      <w:r w:rsidRPr="00E13CE5">
        <w:rPr>
          <w:rFonts w:eastAsia="Calibri"/>
          <w:sz w:val="22"/>
          <w:szCs w:val="22"/>
        </w:rPr>
        <w:t xml:space="preserve"> megfelelő arányaival keletkeznek</w:t>
      </w:r>
    </w:p>
    <w:p w14:paraId="7FCB203C" w14:textId="77777777" w:rsidR="00FD0545" w:rsidRPr="00E13CE5" w:rsidRDefault="00FD0545" w:rsidP="00FD0545">
      <w:pPr>
        <w:rPr>
          <w:rFonts w:eastAsia="Calibri"/>
          <w:sz w:val="22"/>
          <w:szCs w:val="22"/>
        </w:rPr>
      </w:pPr>
    </w:p>
    <w:p w14:paraId="2EA08CD8" w14:textId="77777777" w:rsidR="00FD0545" w:rsidRPr="00E13CE5" w:rsidRDefault="00FD0545" w:rsidP="00FD0545">
      <w:pPr>
        <w:jc w:val="both"/>
        <w:rPr>
          <w:rFonts w:eastAsia="Calibri"/>
          <w:sz w:val="22"/>
          <w:szCs w:val="22"/>
        </w:rPr>
      </w:pPr>
      <w:r w:rsidRPr="00E13CE5">
        <w:rPr>
          <w:rFonts w:eastAsia="Calibri"/>
          <w:sz w:val="22"/>
          <w:szCs w:val="22"/>
        </w:rPr>
        <w:t xml:space="preserve">(4) A </w:t>
      </w:r>
      <w:r w:rsidRPr="00E13CE5">
        <w:rPr>
          <w:rFonts w:eastAsia="Calibri"/>
          <w:b/>
          <w:sz w:val="22"/>
          <w:szCs w:val="22"/>
        </w:rPr>
        <w:t>tudomány-szervezési tevékenység</w:t>
      </w:r>
      <w:r w:rsidRPr="00E13CE5">
        <w:rPr>
          <w:rFonts w:eastAsia="Calibri"/>
          <w:sz w:val="22"/>
          <w:szCs w:val="22"/>
        </w:rPr>
        <w:t xml:space="preserve"> értékelése:</w:t>
      </w:r>
    </w:p>
    <w:p w14:paraId="6047F570" w14:textId="77777777" w:rsidR="00FD0545" w:rsidRPr="00E13CE5" w:rsidRDefault="00FD0545" w:rsidP="00FD0545">
      <w:pPr>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0"/>
      </w:tblGrid>
      <w:tr w:rsidR="00FD0545" w:rsidRPr="00C376DE" w14:paraId="29BF459B" w14:textId="77777777" w:rsidTr="00026782">
        <w:trPr>
          <w:trHeight w:val="300"/>
        </w:trPr>
        <w:tc>
          <w:tcPr>
            <w:tcW w:w="7792" w:type="dxa"/>
            <w:shd w:val="clear" w:color="auto" w:fill="E7E6E6"/>
            <w:noWrap/>
          </w:tcPr>
          <w:p w14:paraId="439FA1A7" w14:textId="77777777" w:rsidR="00FD0545" w:rsidRPr="00C376DE" w:rsidRDefault="00FD0545" w:rsidP="00026782">
            <w:pPr>
              <w:jc w:val="both"/>
              <w:rPr>
                <w:rFonts w:eastAsia="Calibri"/>
                <w:b/>
                <w:sz w:val="22"/>
                <w:szCs w:val="22"/>
              </w:rPr>
            </w:pPr>
            <w:r w:rsidRPr="00C376DE">
              <w:rPr>
                <w:rFonts w:eastAsia="Calibri"/>
                <w:b/>
                <w:sz w:val="22"/>
                <w:szCs w:val="22"/>
              </w:rPr>
              <w:t>Tevékenység megnevezése</w:t>
            </w:r>
          </w:p>
        </w:tc>
        <w:tc>
          <w:tcPr>
            <w:tcW w:w="1270" w:type="dxa"/>
            <w:shd w:val="clear" w:color="auto" w:fill="E7E6E6"/>
          </w:tcPr>
          <w:p w14:paraId="5E0966F2" w14:textId="77777777" w:rsidR="00FD0545" w:rsidRPr="00C376DE" w:rsidRDefault="00FD0545" w:rsidP="00026782">
            <w:pPr>
              <w:jc w:val="both"/>
              <w:rPr>
                <w:rFonts w:eastAsia="Calibri"/>
                <w:b/>
                <w:sz w:val="22"/>
                <w:szCs w:val="22"/>
              </w:rPr>
            </w:pPr>
            <w:r w:rsidRPr="00C376DE">
              <w:rPr>
                <w:rFonts w:eastAsia="Calibri"/>
                <w:b/>
                <w:sz w:val="22"/>
                <w:szCs w:val="22"/>
              </w:rPr>
              <w:t>Max. pont</w:t>
            </w:r>
          </w:p>
        </w:tc>
      </w:tr>
      <w:tr w:rsidR="00FD0545" w:rsidRPr="00C376DE" w14:paraId="0F02F454" w14:textId="77777777" w:rsidTr="00026782">
        <w:trPr>
          <w:trHeight w:val="300"/>
        </w:trPr>
        <w:tc>
          <w:tcPr>
            <w:tcW w:w="7792" w:type="dxa"/>
            <w:shd w:val="clear" w:color="auto" w:fill="auto"/>
            <w:noWrap/>
            <w:hideMark/>
          </w:tcPr>
          <w:p w14:paraId="29DE102B" w14:textId="77777777" w:rsidR="00FD0545" w:rsidRPr="00C376DE" w:rsidRDefault="00FD0545" w:rsidP="00026782">
            <w:pPr>
              <w:jc w:val="both"/>
              <w:rPr>
                <w:rFonts w:eastAsia="Calibri"/>
                <w:sz w:val="22"/>
                <w:szCs w:val="22"/>
              </w:rPr>
            </w:pPr>
            <w:r w:rsidRPr="00C376DE">
              <w:rPr>
                <w:rFonts w:eastAsia="Calibri"/>
                <w:sz w:val="22"/>
                <w:szCs w:val="22"/>
              </w:rPr>
              <w:t xml:space="preserve">Nemzetközi kutatás projekt irányítója, </w:t>
            </w:r>
            <w:proofErr w:type="spellStart"/>
            <w:r w:rsidRPr="00C376DE">
              <w:rPr>
                <w:rFonts w:eastAsia="Calibri"/>
                <w:sz w:val="22"/>
                <w:szCs w:val="22"/>
              </w:rPr>
              <w:t>főkordinátora</w:t>
            </w:r>
            <w:proofErr w:type="spellEnd"/>
            <w:r w:rsidRPr="00C376DE">
              <w:rPr>
                <w:rFonts w:eastAsia="Calibri"/>
                <w:sz w:val="22"/>
                <w:szCs w:val="22"/>
              </w:rPr>
              <w:t xml:space="preserve"> (beleértve EU projektek)</w:t>
            </w:r>
          </w:p>
        </w:tc>
        <w:tc>
          <w:tcPr>
            <w:tcW w:w="1270" w:type="dxa"/>
            <w:shd w:val="clear" w:color="auto" w:fill="auto"/>
          </w:tcPr>
          <w:p w14:paraId="471F18B0"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79471374" w14:textId="77777777" w:rsidTr="00026782">
        <w:trPr>
          <w:trHeight w:val="300"/>
        </w:trPr>
        <w:tc>
          <w:tcPr>
            <w:tcW w:w="7792" w:type="dxa"/>
            <w:shd w:val="clear" w:color="auto" w:fill="auto"/>
            <w:noWrap/>
            <w:hideMark/>
          </w:tcPr>
          <w:p w14:paraId="7F63EC90" w14:textId="77777777" w:rsidR="00FD0545" w:rsidRPr="00C376DE" w:rsidRDefault="00FD0545" w:rsidP="00026782">
            <w:pPr>
              <w:jc w:val="both"/>
              <w:rPr>
                <w:rFonts w:eastAsia="Calibri"/>
                <w:sz w:val="22"/>
                <w:szCs w:val="22"/>
              </w:rPr>
            </w:pPr>
            <w:r w:rsidRPr="00C376DE">
              <w:rPr>
                <w:rFonts w:eastAsia="Calibri"/>
                <w:sz w:val="22"/>
                <w:szCs w:val="22"/>
              </w:rPr>
              <w:t>Nemzetközi kutatás projekt hazai irányítója (beleértve EU projektek)</w:t>
            </w:r>
          </w:p>
        </w:tc>
        <w:tc>
          <w:tcPr>
            <w:tcW w:w="1270" w:type="dxa"/>
            <w:shd w:val="clear" w:color="auto" w:fill="auto"/>
          </w:tcPr>
          <w:p w14:paraId="37775D67"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1404E9E1" w14:textId="77777777" w:rsidTr="00026782">
        <w:trPr>
          <w:trHeight w:val="300"/>
        </w:trPr>
        <w:tc>
          <w:tcPr>
            <w:tcW w:w="7792" w:type="dxa"/>
            <w:shd w:val="clear" w:color="auto" w:fill="auto"/>
            <w:noWrap/>
            <w:hideMark/>
          </w:tcPr>
          <w:p w14:paraId="36C23D95" w14:textId="77777777" w:rsidR="00FD0545" w:rsidRPr="00C376DE" w:rsidRDefault="00FD0545" w:rsidP="00026782">
            <w:pPr>
              <w:jc w:val="both"/>
              <w:rPr>
                <w:rFonts w:eastAsia="Calibri"/>
                <w:sz w:val="22"/>
                <w:szCs w:val="22"/>
              </w:rPr>
            </w:pPr>
            <w:r w:rsidRPr="00C376DE">
              <w:rPr>
                <w:rFonts w:eastAsia="Calibri"/>
                <w:sz w:val="22"/>
                <w:szCs w:val="22"/>
              </w:rPr>
              <w:t>Hazai nem egyetemi/belső kutatási projekt irányítója (pl. NKFI, korábbi OTKA)</w:t>
            </w:r>
          </w:p>
        </w:tc>
        <w:tc>
          <w:tcPr>
            <w:tcW w:w="1270" w:type="dxa"/>
            <w:shd w:val="clear" w:color="auto" w:fill="auto"/>
          </w:tcPr>
          <w:p w14:paraId="54C13B18"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157121E7" w14:textId="77777777" w:rsidTr="00026782">
        <w:trPr>
          <w:trHeight w:val="300"/>
        </w:trPr>
        <w:tc>
          <w:tcPr>
            <w:tcW w:w="7792" w:type="dxa"/>
            <w:shd w:val="clear" w:color="auto" w:fill="auto"/>
            <w:noWrap/>
            <w:hideMark/>
          </w:tcPr>
          <w:p w14:paraId="1B8D0E45" w14:textId="77777777" w:rsidR="00FD0545" w:rsidRPr="00C376DE" w:rsidRDefault="00FD0545" w:rsidP="00026782">
            <w:pPr>
              <w:jc w:val="both"/>
              <w:rPr>
                <w:rFonts w:eastAsia="Calibri"/>
                <w:sz w:val="22"/>
                <w:szCs w:val="22"/>
              </w:rPr>
            </w:pPr>
            <w:r w:rsidRPr="00C376DE">
              <w:rPr>
                <w:rFonts w:eastAsia="Calibri"/>
                <w:sz w:val="22"/>
                <w:szCs w:val="22"/>
              </w:rPr>
              <w:t>PTE (egyetemi/belső) kutatási projekt irányítója</w:t>
            </w:r>
          </w:p>
        </w:tc>
        <w:tc>
          <w:tcPr>
            <w:tcW w:w="1270" w:type="dxa"/>
            <w:shd w:val="clear" w:color="auto" w:fill="auto"/>
          </w:tcPr>
          <w:p w14:paraId="0D692305"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18DB905C" w14:textId="77777777" w:rsidTr="00026782">
        <w:trPr>
          <w:trHeight w:val="300"/>
        </w:trPr>
        <w:tc>
          <w:tcPr>
            <w:tcW w:w="7792" w:type="dxa"/>
            <w:shd w:val="clear" w:color="auto" w:fill="auto"/>
            <w:noWrap/>
            <w:hideMark/>
          </w:tcPr>
          <w:p w14:paraId="302E5F67" w14:textId="77777777" w:rsidR="00FD0545" w:rsidRPr="00C376DE" w:rsidRDefault="00FD0545" w:rsidP="00026782">
            <w:pPr>
              <w:jc w:val="both"/>
              <w:rPr>
                <w:rFonts w:eastAsia="Calibri"/>
                <w:sz w:val="22"/>
                <w:szCs w:val="22"/>
              </w:rPr>
            </w:pPr>
            <w:r w:rsidRPr="00C376DE">
              <w:rPr>
                <w:rFonts w:eastAsia="Calibri"/>
                <w:sz w:val="22"/>
                <w:szCs w:val="22"/>
              </w:rPr>
              <w:t xml:space="preserve">Nemzetközi, hazai kutatási projekt </w:t>
            </w:r>
            <w:proofErr w:type="gramStart"/>
            <w:r w:rsidRPr="00C376DE">
              <w:rPr>
                <w:rFonts w:eastAsia="Calibri"/>
                <w:sz w:val="22"/>
                <w:szCs w:val="22"/>
              </w:rPr>
              <w:t>aktív</w:t>
            </w:r>
            <w:proofErr w:type="gramEnd"/>
            <w:r w:rsidRPr="00C376DE">
              <w:rPr>
                <w:rFonts w:eastAsia="Calibri"/>
                <w:sz w:val="22"/>
                <w:szCs w:val="22"/>
              </w:rPr>
              <w:t xml:space="preserve"> résztvevője (programvezető javaslata alapján)</w:t>
            </w:r>
          </w:p>
        </w:tc>
        <w:tc>
          <w:tcPr>
            <w:tcW w:w="1270" w:type="dxa"/>
            <w:shd w:val="clear" w:color="auto" w:fill="auto"/>
          </w:tcPr>
          <w:p w14:paraId="7E0ECD01"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1A200846" w14:textId="77777777" w:rsidTr="00026782">
        <w:trPr>
          <w:trHeight w:val="300"/>
        </w:trPr>
        <w:tc>
          <w:tcPr>
            <w:tcW w:w="7792" w:type="dxa"/>
            <w:shd w:val="clear" w:color="auto" w:fill="auto"/>
            <w:noWrap/>
            <w:hideMark/>
          </w:tcPr>
          <w:p w14:paraId="3A3DC99A" w14:textId="77777777" w:rsidR="00FD0545" w:rsidRPr="00C376DE" w:rsidRDefault="00FD0545" w:rsidP="00026782">
            <w:pPr>
              <w:jc w:val="both"/>
              <w:rPr>
                <w:rFonts w:eastAsia="Calibri"/>
                <w:sz w:val="22"/>
                <w:szCs w:val="22"/>
              </w:rPr>
            </w:pPr>
            <w:r w:rsidRPr="00C376DE">
              <w:rPr>
                <w:rFonts w:eastAsia="Calibri"/>
                <w:sz w:val="22"/>
                <w:szCs w:val="22"/>
              </w:rPr>
              <w:t xml:space="preserve">Nemzetközi pályázat (pl. </w:t>
            </w:r>
            <w:proofErr w:type="spellStart"/>
            <w:r w:rsidRPr="00C376DE">
              <w:rPr>
                <w:rFonts w:eastAsia="Calibri"/>
                <w:sz w:val="22"/>
                <w:szCs w:val="22"/>
              </w:rPr>
              <w:t>Fulbright</w:t>
            </w:r>
            <w:proofErr w:type="spellEnd"/>
            <w:r w:rsidRPr="00C376DE">
              <w:rPr>
                <w:rFonts w:eastAsia="Calibri"/>
                <w:sz w:val="22"/>
                <w:szCs w:val="22"/>
              </w:rPr>
              <w:t>) bírálója</w:t>
            </w:r>
          </w:p>
        </w:tc>
        <w:tc>
          <w:tcPr>
            <w:tcW w:w="1270" w:type="dxa"/>
            <w:shd w:val="clear" w:color="auto" w:fill="auto"/>
          </w:tcPr>
          <w:p w14:paraId="6F6BEAEA"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521277F1" w14:textId="77777777" w:rsidTr="00026782">
        <w:trPr>
          <w:trHeight w:val="300"/>
        </w:trPr>
        <w:tc>
          <w:tcPr>
            <w:tcW w:w="7792" w:type="dxa"/>
            <w:shd w:val="clear" w:color="auto" w:fill="auto"/>
            <w:noWrap/>
            <w:hideMark/>
          </w:tcPr>
          <w:p w14:paraId="59EA233F" w14:textId="77777777" w:rsidR="00FD0545" w:rsidRPr="00C376DE" w:rsidRDefault="00FD0545" w:rsidP="00026782">
            <w:pPr>
              <w:jc w:val="both"/>
              <w:rPr>
                <w:rFonts w:eastAsia="Calibri"/>
                <w:sz w:val="22"/>
                <w:szCs w:val="22"/>
              </w:rPr>
            </w:pPr>
            <w:r w:rsidRPr="00C376DE">
              <w:rPr>
                <w:rFonts w:eastAsia="Calibri"/>
                <w:sz w:val="22"/>
                <w:szCs w:val="22"/>
              </w:rPr>
              <w:t>Hazai pályázat bírálója (pl. NKFI-OTKA, Bólyai)</w:t>
            </w:r>
          </w:p>
        </w:tc>
        <w:tc>
          <w:tcPr>
            <w:tcW w:w="1270" w:type="dxa"/>
            <w:shd w:val="clear" w:color="auto" w:fill="auto"/>
          </w:tcPr>
          <w:p w14:paraId="0656FC1C"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622F74DF" w14:textId="77777777" w:rsidTr="00026782">
        <w:trPr>
          <w:trHeight w:val="300"/>
        </w:trPr>
        <w:tc>
          <w:tcPr>
            <w:tcW w:w="7792" w:type="dxa"/>
            <w:shd w:val="clear" w:color="auto" w:fill="auto"/>
            <w:noWrap/>
            <w:hideMark/>
          </w:tcPr>
          <w:p w14:paraId="2990341D" w14:textId="77777777" w:rsidR="00FD0545" w:rsidRPr="00C376DE" w:rsidRDefault="00FD0545" w:rsidP="00026782">
            <w:pPr>
              <w:jc w:val="both"/>
              <w:rPr>
                <w:rFonts w:eastAsia="Calibri"/>
                <w:sz w:val="22"/>
                <w:szCs w:val="22"/>
              </w:rPr>
            </w:pPr>
            <w:r w:rsidRPr="00C376DE">
              <w:rPr>
                <w:rFonts w:eastAsia="Calibri"/>
                <w:sz w:val="22"/>
                <w:szCs w:val="22"/>
              </w:rPr>
              <w:t xml:space="preserve">Rangos nemzetközi </w:t>
            </w:r>
            <w:proofErr w:type="gramStart"/>
            <w:r w:rsidRPr="00C376DE">
              <w:rPr>
                <w:rFonts w:eastAsia="Calibri"/>
                <w:sz w:val="22"/>
                <w:szCs w:val="22"/>
              </w:rPr>
              <w:t>konferencia</w:t>
            </w:r>
            <w:proofErr w:type="gramEnd"/>
            <w:r w:rsidRPr="00C376DE">
              <w:rPr>
                <w:rFonts w:eastAsia="Calibri"/>
                <w:sz w:val="22"/>
                <w:szCs w:val="22"/>
              </w:rPr>
              <w:t xml:space="preserve"> </w:t>
            </w:r>
            <w:proofErr w:type="spellStart"/>
            <w:r w:rsidRPr="00C376DE">
              <w:rPr>
                <w:rFonts w:eastAsia="Calibri"/>
                <w:sz w:val="22"/>
                <w:szCs w:val="22"/>
              </w:rPr>
              <w:t>főszervezője</w:t>
            </w:r>
            <w:proofErr w:type="spellEnd"/>
          </w:p>
        </w:tc>
        <w:tc>
          <w:tcPr>
            <w:tcW w:w="1270" w:type="dxa"/>
            <w:shd w:val="clear" w:color="auto" w:fill="auto"/>
          </w:tcPr>
          <w:p w14:paraId="1C2C1507"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62040E6E" w14:textId="77777777" w:rsidTr="00026782">
        <w:trPr>
          <w:trHeight w:val="300"/>
        </w:trPr>
        <w:tc>
          <w:tcPr>
            <w:tcW w:w="7792" w:type="dxa"/>
            <w:shd w:val="clear" w:color="auto" w:fill="auto"/>
            <w:noWrap/>
            <w:hideMark/>
          </w:tcPr>
          <w:p w14:paraId="51A38C37" w14:textId="77777777" w:rsidR="00FD0545" w:rsidRPr="00C376DE" w:rsidRDefault="00FD0545" w:rsidP="00026782">
            <w:pPr>
              <w:jc w:val="both"/>
              <w:rPr>
                <w:rFonts w:eastAsia="Calibri"/>
                <w:sz w:val="22"/>
                <w:szCs w:val="22"/>
              </w:rPr>
            </w:pPr>
            <w:r w:rsidRPr="00C376DE">
              <w:rPr>
                <w:rFonts w:eastAsia="Calibri"/>
                <w:sz w:val="22"/>
                <w:szCs w:val="22"/>
              </w:rPr>
              <w:t xml:space="preserve">Rangos hazai </w:t>
            </w:r>
            <w:proofErr w:type="gramStart"/>
            <w:r w:rsidRPr="00C376DE">
              <w:rPr>
                <w:rFonts w:eastAsia="Calibri"/>
                <w:sz w:val="22"/>
                <w:szCs w:val="22"/>
              </w:rPr>
              <w:t>konferencia</w:t>
            </w:r>
            <w:proofErr w:type="gramEnd"/>
            <w:r w:rsidRPr="00C376DE">
              <w:rPr>
                <w:rFonts w:eastAsia="Calibri"/>
                <w:sz w:val="22"/>
                <w:szCs w:val="22"/>
              </w:rPr>
              <w:t xml:space="preserve"> </w:t>
            </w:r>
            <w:proofErr w:type="spellStart"/>
            <w:r w:rsidRPr="00C376DE">
              <w:rPr>
                <w:rFonts w:eastAsia="Calibri"/>
                <w:sz w:val="22"/>
                <w:szCs w:val="22"/>
              </w:rPr>
              <w:t>főszervezője</w:t>
            </w:r>
            <w:proofErr w:type="spellEnd"/>
          </w:p>
        </w:tc>
        <w:tc>
          <w:tcPr>
            <w:tcW w:w="1270" w:type="dxa"/>
            <w:shd w:val="clear" w:color="auto" w:fill="auto"/>
          </w:tcPr>
          <w:p w14:paraId="0A4707D4"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0D5B7AAB" w14:textId="77777777" w:rsidTr="00026782">
        <w:trPr>
          <w:trHeight w:val="300"/>
        </w:trPr>
        <w:tc>
          <w:tcPr>
            <w:tcW w:w="7792" w:type="dxa"/>
            <w:shd w:val="clear" w:color="auto" w:fill="auto"/>
            <w:noWrap/>
            <w:hideMark/>
          </w:tcPr>
          <w:p w14:paraId="50AA7790" w14:textId="77777777" w:rsidR="00FD0545" w:rsidRPr="00C376DE" w:rsidRDefault="00FD0545" w:rsidP="00026782">
            <w:pPr>
              <w:jc w:val="both"/>
              <w:rPr>
                <w:rFonts w:eastAsia="Calibri"/>
                <w:sz w:val="22"/>
                <w:szCs w:val="22"/>
              </w:rPr>
            </w:pPr>
            <w:r w:rsidRPr="00C376DE">
              <w:rPr>
                <w:rFonts w:eastAsia="Calibri"/>
                <w:sz w:val="22"/>
                <w:szCs w:val="22"/>
              </w:rPr>
              <w:t xml:space="preserve">Nemzetközi </w:t>
            </w:r>
            <w:proofErr w:type="spellStart"/>
            <w:r w:rsidRPr="00C376DE">
              <w:rPr>
                <w:rFonts w:eastAsia="Calibri"/>
                <w:sz w:val="22"/>
                <w:szCs w:val="22"/>
              </w:rPr>
              <w:t>workshop</w:t>
            </w:r>
            <w:proofErr w:type="spellEnd"/>
            <w:r w:rsidRPr="00C376DE">
              <w:rPr>
                <w:rFonts w:eastAsia="Calibri"/>
                <w:sz w:val="22"/>
                <w:szCs w:val="22"/>
              </w:rPr>
              <w:t xml:space="preserve"> </w:t>
            </w:r>
            <w:proofErr w:type="spellStart"/>
            <w:r w:rsidRPr="00C376DE">
              <w:rPr>
                <w:rFonts w:eastAsia="Calibri"/>
                <w:sz w:val="22"/>
                <w:szCs w:val="22"/>
              </w:rPr>
              <w:t>főszervezője</w:t>
            </w:r>
            <w:proofErr w:type="spellEnd"/>
          </w:p>
        </w:tc>
        <w:tc>
          <w:tcPr>
            <w:tcW w:w="1270" w:type="dxa"/>
            <w:shd w:val="clear" w:color="auto" w:fill="auto"/>
          </w:tcPr>
          <w:p w14:paraId="36B9B4D7"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6B595619" w14:textId="77777777" w:rsidTr="00026782">
        <w:trPr>
          <w:trHeight w:val="300"/>
        </w:trPr>
        <w:tc>
          <w:tcPr>
            <w:tcW w:w="7792" w:type="dxa"/>
            <w:shd w:val="clear" w:color="auto" w:fill="auto"/>
            <w:noWrap/>
            <w:hideMark/>
          </w:tcPr>
          <w:p w14:paraId="097DAE71" w14:textId="77777777" w:rsidR="00FD0545" w:rsidRPr="00C376DE" w:rsidRDefault="00FD0545" w:rsidP="00026782">
            <w:pPr>
              <w:jc w:val="both"/>
              <w:rPr>
                <w:rFonts w:eastAsia="Calibri"/>
                <w:sz w:val="22"/>
                <w:szCs w:val="22"/>
              </w:rPr>
            </w:pPr>
            <w:proofErr w:type="gramStart"/>
            <w:r w:rsidRPr="00C376DE">
              <w:rPr>
                <w:rFonts w:eastAsia="Calibri"/>
                <w:sz w:val="22"/>
                <w:szCs w:val="22"/>
              </w:rPr>
              <w:t>Konferencia</w:t>
            </w:r>
            <w:proofErr w:type="gramEnd"/>
            <w:r w:rsidRPr="00C376DE">
              <w:rPr>
                <w:rFonts w:eastAsia="Calibri"/>
                <w:sz w:val="22"/>
                <w:szCs w:val="22"/>
              </w:rPr>
              <w:t>-szervezés, tevékeny részvétel (levezető elnök, elnökségitag, plenáriselnök, szekciólevezető)</w:t>
            </w:r>
          </w:p>
        </w:tc>
        <w:tc>
          <w:tcPr>
            <w:tcW w:w="1270" w:type="dxa"/>
            <w:shd w:val="clear" w:color="auto" w:fill="auto"/>
          </w:tcPr>
          <w:p w14:paraId="3599E0FF" w14:textId="77777777" w:rsidR="00FD0545" w:rsidRPr="00C376DE" w:rsidRDefault="00FD0545" w:rsidP="00026782">
            <w:pPr>
              <w:jc w:val="both"/>
              <w:rPr>
                <w:rFonts w:eastAsia="Calibri"/>
                <w:sz w:val="22"/>
                <w:szCs w:val="22"/>
              </w:rPr>
            </w:pPr>
            <w:r w:rsidRPr="00C376DE">
              <w:rPr>
                <w:rFonts w:eastAsia="Calibri"/>
                <w:sz w:val="22"/>
                <w:szCs w:val="22"/>
              </w:rPr>
              <w:t>*</w:t>
            </w:r>
          </w:p>
        </w:tc>
      </w:tr>
      <w:tr w:rsidR="00FD0545" w:rsidRPr="00C376DE" w14:paraId="3271365A" w14:textId="77777777" w:rsidTr="00026782">
        <w:trPr>
          <w:trHeight w:val="300"/>
        </w:trPr>
        <w:tc>
          <w:tcPr>
            <w:tcW w:w="7792" w:type="dxa"/>
            <w:shd w:val="clear" w:color="auto" w:fill="auto"/>
            <w:noWrap/>
            <w:hideMark/>
          </w:tcPr>
          <w:p w14:paraId="5D48F783" w14:textId="77777777" w:rsidR="00FD0545" w:rsidRPr="00C376DE" w:rsidRDefault="00FD0545" w:rsidP="00026782">
            <w:pPr>
              <w:jc w:val="both"/>
              <w:rPr>
                <w:rFonts w:eastAsia="Calibri"/>
                <w:sz w:val="22"/>
                <w:szCs w:val="22"/>
              </w:rPr>
            </w:pPr>
            <w:r w:rsidRPr="00C376DE">
              <w:rPr>
                <w:rFonts w:eastAsia="Calibri"/>
                <w:sz w:val="22"/>
                <w:szCs w:val="22"/>
              </w:rPr>
              <w:t>PhD témavezetés</w:t>
            </w:r>
          </w:p>
        </w:tc>
        <w:tc>
          <w:tcPr>
            <w:tcW w:w="1270" w:type="dxa"/>
            <w:shd w:val="clear" w:color="auto" w:fill="auto"/>
          </w:tcPr>
          <w:p w14:paraId="534C554C" w14:textId="77777777" w:rsidR="00FD0545" w:rsidRPr="00C376DE" w:rsidRDefault="00FD0545" w:rsidP="00026782">
            <w:pPr>
              <w:jc w:val="both"/>
              <w:rPr>
                <w:rFonts w:eastAsia="Calibri"/>
                <w:sz w:val="22"/>
                <w:szCs w:val="22"/>
              </w:rPr>
            </w:pPr>
            <w:r w:rsidRPr="00C376DE">
              <w:rPr>
                <w:rFonts w:eastAsia="Calibri"/>
                <w:sz w:val="22"/>
                <w:szCs w:val="22"/>
              </w:rPr>
              <w:t>42</w:t>
            </w:r>
          </w:p>
        </w:tc>
      </w:tr>
      <w:tr w:rsidR="00FD0545" w:rsidRPr="00C376DE" w14:paraId="4B0D9C87" w14:textId="77777777" w:rsidTr="00026782">
        <w:trPr>
          <w:trHeight w:val="300"/>
        </w:trPr>
        <w:tc>
          <w:tcPr>
            <w:tcW w:w="7792" w:type="dxa"/>
            <w:shd w:val="clear" w:color="auto" w:fill="auto"/>
            <w:noWrap/>
            <w:hideMark/>
          </w:tcPr>
          <w:p w14:paraId="3C3EEA32" w14:textId="77777777" w:rsidR="00FD0545" w:rsidRPr="00C376DE" w:rsidRDefault="00FD0545" w:rsidP="00026782">
            <w:pPr>
              <w:jc w:val="both"/>
              <w:rPr>
                <w:rFonts w:eastAsia="Calibri"/>
                <w:sz w:val="22"/>
                <w:szCs w:val="22"/>
              </w:rPr>
            </w:pPr>
            <w:r w:rsidRPr="00C376DE">
              <w:rPr>
                <w:rFonts w:eastAsia="Calibri"/>
                <w:sz w:val="22"/>
                <w:szCs w:val="22"/>
              </w:rPr>
              <w:t xml:space="preserve">Adott évben végzett, </w:t>
            </w:r>
            <w:proofErr w:type="gramStart"/>
            <w:r w:rsidRPr="00C376DE">
              <w:rPr>
                <w:rFonts w:eastAsia="Calibri"/>
                <w:sz w:val="22"/>
                <w:szCs w:val="22"/>
              </w:rPr>
              <w:t>disszertációját</w:t>
            </w:r>
            <w:proofErr w:type="gramEnd"/>
            <w:r w:rsidRPr="00C376DE">
              <w:rPr>
                <w:rFonts w:eastAsia="Calibri"/>
                <w:sz w:val="22"/>
                <w:szCs w:val="22"/>
              </w:rPr>
              <w:t xml:space="preserve"> sikeresen megvédő doktorandusz (PhD) hallgató témavezetéséért</w:t>
            </w:r>
          </w:p>
        </w:tc>
        <w:tc>
          <w:tcPr>
            <w:tcW w:w="1270" w:type="dxa"/>
            <w:shd w:val="clear" w:color="auto" w:fill="auto"/>
          </w:tcPr>
          <w:p w14:paraId="54AB4F4A" w14:textId="77777777" w:rsidR="00FD0545" w:rsidRPr="00C376DE" w:rsidRDefault="00FD0545" w:rsidP="00026782">
            <w:pPr>
              <w:jc w:val="both"/>
              <w:rPr>
                <w:rFonts w:eastAsia="Calibri"/>
                <w:sz w:val="22"/>
                <w:szCs w:val="22"/>
              </w:rPr>
            </w:pPr>
            <w:r w:rsidRPr="00C376DE">
              <w:rPr>
                <w:rFonts w:eastAsia="Calibri"/>
                <w:sz w:val="22"/>
                <w:szCs w:val="22"/>
              </w:rPr>
              <w:t>42</w:t>
            </w:r>
          </w:p>
        </w:tc>
      </w:tr>
      <w:tr w:rsidR="00FD0545" w:rsidRPr="00C376DE" w14:paraId="5636E2BF" w14:textId="77777777" w:rsidTr="00026782">
        <w:trPr>
          <w:trHeight w:val="300"/>
        </w:trPr>
        <w:tc>
          <w:tcPr>
            <w:tcW w:w="7792" w:type="dxa"/>
            <w:shd w:val="clear" w:color="auto" w:fill="auto"/>
            <w:noWrap/>
            <w:hideMark/>
          </w:tcPr>
          <w:p w14:paraId="643ACE4B" w14:textId="77777777" w:rsidR="00FD0545" w:rsidRPr="00C376DE" w:rsidRDefault="00FD0545" w:rsidP="00026782">
            <w:pPr>
              <w:jc w:val="both"/>
              <w:rPr>
                <w:rFonts w:eastAsia="Calibri"/>
                <w:sz w:val="22"/>
                <w:szCs w:val="22"/>
              </w:rPr>
            </w:pPr>
            <w:r w:rsidRPr="00C376DE">
              <w:rPr>
                <w:rFonts w:eastAsia="Calibri"/>
                <w:sz w:val="22"/>
                <w:szCs w:val="22"/>
              </w:rPr>
              <w:lastRenderedPageBreak/>
              <w:t xml:space="preserve">Aktív TDK témavezető (hallgató nevét </w:t>
            </w:r>
            <w:proofErr w:type="gramStart"/>
            <w:r w:rsidRPr="00C376DE">
              <w:rPr>
                <w:rFonts w:eastAsia="Calibri"/>
                <w:sz w:val="22"/>
                <w:szCs w:val="22"/>
              </w:rPr>
              <w:t>kérjük</w:t>
            </w:r>
            <w:proofErr w:type="gramEnd"/>
            <w:r w:rsidRPr="00C376DE">
              <w:rPr>
                <w:rFonts w:eastAsia="Calibri"/>
                <w:sz w:val="22"/>
                <w:szCs w:val="22"/>
              </w:rPr>
              <w:t xml:space="preserve"> tüntesse fel)</w:t>
            </w:r>
          </w:p>
        </w:tc>
        <w:tc>
          <w:tcPr>
            <w:tcW w:w="1270" w:type="dxa"/>
            <w:shd w:val="clear" w:color="auto" w:fill="auto"/>
          </w:tcPr>
          <w:p w14:paraId="3F08F8A0" w14:textId="77777777" w:rsidR="00FD0545" w:rsidRPr="00C376DE" w:rsidRDefault="00FD0545" w:rsidP="00026782">
            <w:pPr>
              <w:jc w:val="both"/>
              <w:rPr>
                <w:rFonts w:eastAsia="Calibri"/>
                <w:sz w:val="22"/>
                <w:szCs w:val="22"/>
              </w:rPr>
            </w:pPr>
            <w:r w:rsidRPr="00C376DE">
              <w:rPr>
                <w:rFonts w:eastAsia="Calibri"/>
                <w:sz w:val="22"/>
                <w:szCs w:val="22"/>
              </w:rPr>
              <w:t>28</w:t>
            </w:r>
          </w:p>
        </w:tc>
      </w:tr>
      <w:tr w:rsidR="00FD0545" w:rsidRPr="00C376DE" w14:paraId="6883467B" w14:textId="77777777" w:rsidTr="00026782">
        <w:trPr>
          <w:trHeight w:val="300"/>
        </w:trPr>
        <w:tc>
          <w:tcPr>
            <w:tcW w:w="7792" w:type="dxa"/>
            <w:shd w:val="clear" w:color="auto" w:fill="auto"/>
            <w:noWrap/>
            <w:hideMark/>
          </w:tcPr>
          <w:p w14:paraId="12A5A450" w14:textId="77777777" w:rsidR="00FD0545" w:rsidRPr="00C376DE" w:rsidRDefault="00FD0545" w:rsidP="00026782">
            <w:pPr>
              <w:jc w:val="both"/>
              <w:rPr>
                <w:rFonts w:eastAsia="Calibri"/>
                <w:sz w:val="22"/>
                <w:szCs w:val="22"/>
              </w:rPr>
            </w:pPr>
            <w:r w:rsidRPr="00C376DE">
              <w:rPr>
                <w:rFonts w:eastAsia="Calibri"/>
                <w:sz w:val="22"/>
                <w:szCs w:val="22"/>
              </w:rPr>
              <w:t xml:space="preserve">Adott évben OTDK-n I-III. helyezést, vagy különdíjat elért hallgató </w:t>
            </w:r>
            <w:proofErr w:type="spellStart"/>
            <w:r w:rsidRPr="00C376DE">
              <w:rPr>
                <w:rFonts w:eastAsia="Calibri"/>
                <w:sz w:val="22"/>
                <w:szCs w:val="22"/>
              </w:rPr>
              <w:t>tutorálása</w:t>
            </w:r>
            <w:proofErr w:type="spellEnd"/>
          </w:p>
        </w:tc>
        <w:tc>
          <w:tcPr>
            <w:tcW w:w="1270" w:type="dxa"/>
            <w:shd w:val="clear" w:color="auto" w:fill="auto"/>
          </w:tcPr>
          <w:p w14:paraId="779D4C41" w14:textId="77777777" w:rsidR="00FD0545" w:rsidRPr="00C376DE" w:rsidRDefault="00FD0545" w:rsidP="00026782">
            <w:pPr>
              <w:jc w:val="both"/>
              <w:rPr>
                <w:rFonts w:eastAsia="Calibri"/>
                <w:sz w:val="22"/>
                <w:szCs w:val="22"/>
              </w:rPr>
            </w:pPr>
            <w:r w:rsidRPr="00C376DE">
              <w:rPr>
                <w:rFonts w:eastAsia="Calibri"/>
                <w:sz w:val="22"/>
                <w:szCs w:val="22"/>
              </w:rPr>
              <w:t>42</w:t>
            </w:r>
          </w:p>
        </w:tc>
      </w:tr>
      <w:tr w:rsidR="00FD0545" w:rsidRPr="00C376DE" w14:paraId="6D89DA42" w14:textId="77777777" w:rsidTr="00026782">
        <w:trPr>
          <w:trHeight w:val="300"/>
        </w:trPr>
        <w:tc>
          <w:tcPr>
            <w:tcW w:w="7792" w:type="dxa"/>
            <w:shd w:val="clear" w:color="auto" w:fill="auto"/>
            <w:noWrap/>
            <w:hideMark/>
          </w:tcPr>
          <w:p w14:paraId="0F33DA0B" w14:textId="77777777" w:rsidR="00FD0545" w:rsidRPr="00C376DE" w:rsidRDefault="00FD0545" w:rsidP="00026782">
            <w:pPr>
              <w:jc w:val="both"/>
              <w:rPr>
                <w:rFonts w:eastAsia="Calibri"/>
                <w:sz w:val="22"/>
                <w:szCs w:val="22"/>
              </w:rPr>
            </w:pPr>
            <w:r w:rsidRPr="00C376DE">
              <w:rPr>
                <w:rFonts w:eastAsia="Calibri"/>
                <w:sz w:val="22"/>
                <w:szCs w:val="22"/>
              </w:rPr>
              <w:t xml:space="preserve">Adott évben OTDK-n </w:t>
            </w:r>
            <w:proofErr w:type="gramStart"/>
            <w:r w:rsidRPr="00C376DE">
              <w:rPr>
                <w:rFonts w:eastAsia="Calibri"/>
                <w:sz w:val="22"/>
                <w:szCs w:val="22"/>
              </w:rPr>
              <w:t>szereplő hallgató</w:t>
            </w:r>
            <w:proofErr w:type="gramEnd"/>
            <w:r w:rsidRPr="00C376DE">
              <w:rPr>
                <w:rFonts w:eastAsia="Calibri"/>
                <w:sz w:val="22"/>
                <w:szCs w:val="22"/>
              </w:rPr>
              <w:t xml:space="preserve"> </w:t>
            </w:r>
            <w:proofErr w:type="spellStart"/>
            <w:r w:rsidRPr="00C376DE">
              <w:rPr>
                <w:rFonts w:eastAsia="Calibri"/>
                <w:sz w:val="22"/>
                <w:szCs w:val="22"/>
              </w:rPr>
              <w:t>tutorálása</w:t>
            </w:r>
            <w:proofErr w:type="spellEnd"/>
          </w:p>
        </w:tc>
        <w:tc>
          <w:tcPr>
            <w:tcW w:w="1270" w:type="dxa"/>
            <w:shd w:val="clear" w:color="auto" w:fill="auto"/>
          </w:tcPr>
          <w:p w14:paraId="5340870D" w14:textId="77777777" w:rsidR="00FD0545" w:rsidRPr="00C376DE" w:rsidRDefault="00FD0545" w:rsidP="00026782">
            <w:pPr>
              <w:jc w:val="both"/>
              <w:rPr>
                <w:rFonts w:eastAsia="Calibri"/>
                <w:sz w:val="22"/>
                <w:szCs w:val="22"/>
              </w:rPr>
            </w:pPr>
            <w:r w:rsidRPr="00C376DE">
              <w:rPr>
                <w:rFonts w:eastAsia="Calibri"/>
                <w:sz w:val="22"/>
                <w:szCs w:val="22"/>
              </w:rPr>
              <w:t>28</w:t>
            </w:r>
          </w:p>
        </w:tc>
      </w:tr>
      <w:tr w:rsidR="00FD0545" w:rsidRPr="00C376DE" w14:paraId="0CB7F875" w14:textId="77777777" w:rsidTr="00026782">
        <w:trPr>
          <w:trHeight w:val="300"/>
        </w:trPr>
        <w:tc>
          <w:tcPr>
            <w:tcW w:w="7792" w:type="dxa"/>
            <w:shd w:val="clear" w:color="auto" w:fill="auto"/>
            <w:noWrap/>
            <w:hideMark/>
          </w:tcPr>
          <w:p w14:paraId="5C86FC54" w14:textId="77777777" w:rsidR="00FD0545" w:rsidRPr="00C376DE" w:rsidRDefault="00FD0545" w:rsidP="00026782">
            <w:pPr>
              <w:jc w:val="both"/>
              <w:rPr>
                <w:rFonts w:eastAsia="Calibri"/>
                <w:sz w:val="22"/>
                <w:szCs w:val="22"/>
              </w:rPr>
            </w:pPr>
            <w:r w:rsidRPr="00C376DE">
              <w:rPr>
                <w:rFonts w:eastAsia="Calibri"/>
                <w:sz w:val="22"/>
                <w:szCs w:val="22"/>
              </w:rPr>
              <w:t xml:space="preserve">Adott évben a kari TDK-n I-III. helyezést, vagy különdíjat elért dolgozat </w:t>
            </w:r>
            <w:proofErr w:type="spellStart"/>
            <w:r w:rsidRPr="00C376DE">
              <w:rPr>
                <w:rFonts w:eastAsia="Calibri"/>
                <w:sz w:val="22"/>
                <w:szCs w:val="22"/>
              </w:rPr>
              <w:t>tutorálása</w:t>
            </w:r>
            <w:proofErr w:type="spellEnd"/>
          </w:p>
        </w:tc>
        <w:tc>
          <w:tcPr>
            <w:tcW w:w="1270" w:type="dxa"/>
            <w:shd w:val="clear" w:color="auto" w:fill="auto"/>
          </w:tcPr>
          <w:p w14:paraId="418B0126" w14:textId="77777777" w:rsidR="00FD0545" w:rsidRPr="00C376DE" w:rsidRDefault="00FD0545" w:rsidP="00026782">
            <w:pPr>
              <w:jc w:val="both"/>
              <w:rPr>
                <w:rFonts w:eastAsia="Calibri"/>
                <w:sz w:val="22"/>
                <w:szCs w:val="22"/>
              </w:rPr>
            </w:pPr>
            <w:r w:rsidRPr="00C376DE">
              <w:rPr>
                <w:rFonts w:eastAsia="Calibri"/>
                <w:sz w:val="22"/>
                <w:szCs w:val="22"/>
              </w:rPr>
              <w:t>42</w:t>
            </w:r>
          </w:p>
        </w:tc>
      </w:tr>
      <w:tr w:rsidR="00FD0545" w:rsidRPr="00C376DE" w14:paraId="776AC99A" w14:textId="77777777" w:rsidTr="00026782">
        <w:trPr>
          <w:trHeight w:val="300"/>
        </w:trPr>
        <w:tc>
          <w:tcPr>
            <w:tcW w:w="7792" w:type="dxa"/>
            <w:shd w:val="clear" w:color="auto" w:fill="auto"/>
            <w:noWrap/>
            <w:hideMark/>
          </w:tcPr>
          <w:p w14:paraId="08C35854" w14:textId="77777777" w:rsidR="00FD0545" w:rsidRPr="00C376DE" w:rsidRDefault="00FD0545" w:rsidP="00026782">
            <w:pPr>
              <w:jc w:val="both"/>
              <w:rPr>
                <w:rFonts w:eastAsia="Calibri"/>
                <w:sz w:val="22"/>
                <w:szCs w:val="22"/>
              </w:rPr>
            </w:pPr>
            <w:r w:rsidRPr="00C376DE">
              <w:rPr>
                <w:rFonts w:eastAsia="Calibri"/>
                <w:sz w:val="22"/>
                <w:szCs w:val="22"/>
              </w:rPr>
              <w:t xml:space="preserve">Adott évben a kari TDK-n </w:t>
            </w:r>
            <w:proofErr w:type="gramStart"/>
            <w:r w:rsidRPr="00C376DE">
              <w:rPr>
                <w:rFonts w:eastAsia="Calibri"/>
                <w:sz w:val="22"/>
                <w:szCs w:val="22"/>
              </w:rPr>
              <w:t>szereplő hallgató</w:t>
            </w:r>
            <w:proofErr w:type="gramEnd"/>
            <w:r w:rsidRPr="00C376DE">
              <w:rPr>
                <w:rFonts w:eastAsia="Calibri"/>
                <w:sz w:val="22"/>
                <w:szCs w:val="22"/>
              </w:rPr>
              <w:t xml:space="preserve"> </w:t>
            </w:r>
            <w:proofErr w:type="spellStart"/>
            <w:r w:rsidRPr="00C376DE">
              <w:rPr>
                <w:rFonts w:eastAsia="Calibri"/>
                <w:sz w:val="22"/>
                <w:szCs w:val="22"/>
              </w:rPr>
              <w:t>tutorálása</w:t>
            </w:r>
            <w:proofErr w:type="spellEnd"/>
          </w:p>
        </w:tc>
        <w:tc>
          <w:tcPr>
            <w:tcW w:w="1270" w:type="dxa"/>
            <w:shd w:val="clear" w:color="auto" w:fill="auto"/>
          </w:tcPr>
          <w:p w14:paraId="49204E5B" w14:textId="77777777" w:rsidR="00FD0545" w:rsidRPr="00C376DE" w:rsidRDefault="00FD0545" w:rsidP="00026782">
            <w:pPr>
              <w:jc w:val="both"/>
              <w:rPr>
                <w:rFonts w:eastAsia="Calibri"/>
                <w:sz w:val="22"/>
                <w:szCs w:val="22"/>
              </w:rPr>
            </w:pPr>
            <w:r w:rsidRPr="00C376DE">
              <w:rPr>
                <w:rFonts w:eastAsia="Calibri"/>
                <w:sz w:val="22"/>
                <w:szCs w:val="22"/>
              </w:rPr>
              <w:t>28</w:t>
            </w:r>
          </w:p>
        </w:tc>
      </w:tr>
      <w:tr w:rsidR="00FD0545" w:rsidRPr="00C376DE" w14:paraId="22A7F0B1" w14:textId="77777777" w:rsidTr="00026782">
        <w:trPr>
          <w:trHeight w:val="300"/>
        </w:trPr>
        <w:tc>
          <w:tcPr>
            <w:tcW w:w="7792" w:type="dxa"/>
            <w:shd w:val="clear" w:color="auto" w:fill="auto"/>
            <w:noWrap/>
            <w:hideMark/>
          </w:tcPr>
          <w:p w14:paraId="56C52343" w14:textId="77777777" w:rsidR="00FD0545" w:rsidRPr="00C376DE" w:rsidRDefault="00FD0545" w:rsidP="00026782">
            <w:pPr>
              <w:jc w:val="both"/>
              <w:rPr>
                <w:rFonts w:eastAsia="Calibri"/>
                <w:sz w:val="22"/>
                <w:szCs w:val="22"/>
              </w:rPr>
            </w:pPr>
            <w:r w:rsidRPr="00C376DE">
              <w:rPr>
                <w:rFonts w:eastAsia="Calibri"/>
                <w:sz w:val="22"/>
                <w:szCs w:val="22"/>
              </w:rPr>
              <w:t>egyéb:</w:t>
            </w:r>
          </w:p>
        </w:tc>
        <w:tc>
          <w:tcPr>
            <w:tcW w:w="1270" w:type="dxa"/>
            <w:shd w:val="clear" w:color="auto" w:fill="auto"/>
          </w:tcPr>
          <w:p w14:paraId="63E6A72A" w14:textId="77777777" w:rsidR="00FD0545" w:rsidRPr="00C376DE" w:rsidRDefault="00FD0545" w:rsidP="00026782">
            <w:pPr>
              <w:jc w:val="both"/>
              <w:rPr>
                <w:rFonts w:eastAsia="Calibri"/>
                <w:sz w:val="22"/>
                <w:szCs w:val="22"/>
              </w:rPr>
            </w:pPr>
            <w:r w:rsidRPr="00C376DE">
              <w:rPr>
                <w:rFonts w:eastAsia="Calibri"/>
                <w:sz w:val="22"/>
                <w:szCs w:val="22"/>
              </w:rPr>
              <w:t>*</w:t>
            </w:r>
          </w:p>
        </w:tc>
      </w:tr>
    </w:tbl>
    <w:p w14:paraId="1FC98880" w14:textId="77777777" w:rsidR="00FD0545" w:rsidRPr="00E13CE5" w:rsidRDefault="00FD0545" w:rsidP="00FD0545">
      <w:pPr>
        <w:jc w:val="both"/>
        <w:rPr>
          <w:rFonts w:eastAsia="Calibri"/>
          <w:sz w:val="22"/>
          <w:szCs w:val="22"/>
        </w:rPr>
      </w:pPr>
    </w:p>
    <w:p w14:paraId="118653F2" w14:textId="77777777" w:rsidR="00FD0545" w:rsidRPr="00E13CE5" w:rsidRDefault="00FD0545" w:rsidP="00FD0545">
      <w:pPr>
        <w:jc w:val="both"/>
        <w:rPr>
          <w:rFonts w:eastAsia="Calibri"/>
          <w:sz w:val="22"/>
          <w:szCs w:val="22"/>
        </w:rPr>
      </w:pPr>
      <w:r w:rsidRPr="00E13CE5">
        <w:rPr>
          <w:rFonts w:eastAsia="Calibri"/>
          <w:sz w:val="22"/>
          <w:szCs w:val="22"/>
        </w:rPr>
        <w:t>Magyarázat:</w:t>
      </w:r>
    </w:p>
    <w:p w14:paraId="694F1C4A" w14:textId="77777777" w:rsidR="00FD0545" w:rsidRPr="00E13CE5" w:rsidRDefault="00FD0545" w:rsidP="00FD0545">
      <w:pPr>
        <w:jc w:val="both"/>
        <w:rPr>
          <w:rFonts w:eastAsia="Calibri"/>
          <w:sz w:val="22"/>
          <w:szCs w:val="22"/>
        </w:rPr>
      </w:pPr>
      <w:r w:rsidRPr="00E13CE5">
        <w:rPr>
          <w:rFonts w:eastAsia="Calibri"/>
          <w:sz w:val="22"/>
          <w:szCs w:val="22"/>
        </w:rPr>
        <w:t xml:space="preserve">*A tudomány-szervezési tevékenységek egyik köre felülről nem </w:t>
      </w:r>
      <w:proofErr w:type="gramStart"/>
      <w:r w:rsidRPr="00E13CE5">
        <w:rPr>
          <w:rFonts w:eastAsia="Calibri"/>
          <w:sz w:val="22"/>
          <w:szCs w:val="22"/>
        </w:rPr>
        <w:t>limitált</w:t>
      </w:r>
      <w:proofErr w:type="gramEnd"/>
      <w:r w:rsidRPr="00E13CE5">
        <w:rPr>
          <w:rFonts w:eastAsia="Calibri"/>
          <w:sz w:val="22"/>
          <w:szCs w:val="22"/>
        </w:rPr>
        <w:t xml:space="preserve"> pontszám értékkel bír.  Ezen tevékenységek felmerülése esetén a valós pontszám a </w:t>
      </w:r>
      <w:proofErr w:type="spellStart"/>
      <w:r w:rsidRPr="00E13CE5">
        <w:rPr>
          <w:rFonts w:eastAsia="Calibri"/>
          <w:sz w:val="22"/>
          <w:szCs w:val="22"/>
        </w:rPr>
        <w:t>validálás</w:t>
      </w:r>
      <w:proofErr w:type="spellEnd"/>
      <w:r w:rsidRPr="00E13CE5">
        <w:rPr>
          <w:rFonts w:eastAsia="Calibri"/>
          <w:sz w:val="22"/>
          <w:szCs w:val="22"/>
        </w:rPr>
        <w:t xml:space="preserve"> után alakul ki.</w:t>
      </w:r>
    </w:p>
    <w:p w14:paraId="1AFD37A0" w14:textId="77777777" w:rsidR="00FD0545" w:rsidRPr="00E13CE5" w:rsidRDefault="00FD0545" w:rsidP="00FD0545">
      <w:pPr>
        <w:jc w:val="both"/>
        <w:rPr>
          <w:rFonts w:eastAsia="Calibri"/>
          <w:sz w:val="22"/>
          <w:szCs w:val="22"/>
        </w:rPr>
      </w:pPr>
      <w:r w:rsidRPr="00E13CE5">
        <w:rPr>
          <w:rFonts w:eastAsia="Calibri"/>
          <w:sz w:val="22"/>
          <w:szCs w:val="22"/>
        </w:rPr>
        <w:t xml:space="preserve">A táblázat alján szereplő ide sorolható tevékenységek </w:t>
      </w:r>
      <w:proofErr w:type="gramStart"/>
      <w:r w:rsidRPr="00E13CE5">
        <w:rPr>
          <w:rFonts w:eastAsia="Calibri"/>
          <w:sz w:val="22"/>
          <w:szCs w:val="22"/>
        </w:rPr>
        <w:t>limitált</w:t>
      </w:r>
      <w:proofErr w:type="gramEnd"/>
      <w:r w:rsidRPr="00E13CE5">
        <w:rPr>
          <w:rFonts w:eastAsia="Calibri"/>
          <w:sz w:val="22"/>
          <w:szCs w:val="22"/>
        </w:rPr>
        <w:t xml:space="preserve"> pontértékűek, értelemszerűen az alapérték megfelelő arányai alapján képződtek.</w:t>
      </w:r>
    </w:p>
    <w:p w14:paraId="7F4BA873" w14:textId="77777777" w:rsidR="00FD0545" w:rsidRPr="00E13CE5" w:rsidRDefault="00FD0545" w:rsidP="00FD0545">
      <w:pPr>
        <w:jc w:val="both"/>
        <w:rPr>
          <w:rFonts w:eastAsia="Calibri"/>
          <w:sz w:val="22"/>
          <w:szCs w:val="22"/>
        </w:rPr>
      </w:pPr>
    </w:p>
    <w:p w14:paraId="148A2DE1" w14:textId="77777777" w:rsidR="00FD0545" w:rsidRPr="00E13CE5" w:rsidRDefault="00FD0545" w:rsidP="00FD0545">
      <w:pPr>
        <w:rPr>
          <w:rFonts w:eastAsia="Calibri"/>
          <w:sz w:val="22"/>
          <w:szCs w:val="22"/>
        </w:rPr>
      </w:pPr>
      <w:r w:rsidRPr="00E13CE5">
        <w:rPr>
          <w:rFonts w:eastAsia="Calibri"/>
          <w:sz w:val="22"/>
          <w:szCs w:val="22"/>
        </w:rPr>
        <w:t xml:space="preserve">(5) A </w:t>
      </w:r>
      <w:r w:rsidRPr="00E13CE5">
        <w:rPr>
          <w:rFonts w:eastAsia="Calibri"/>
          <w:b/>
          <w:sz w:val="22"/>
          <w:szCs w:val="22"/>
        </w:rPr>
        <w:t>tudományos közéleti tevékenység</w:t>
      </w:r>
      <w:r w:rsidRPr="00E13CE5">
        <w:rPr>
          <w:rFonts w:eastAsia="Calibri"/>
          <w:sz w:val="22"/>
          <w:szCs w:val="22"/>
        </w:rPr>
        <w:t xml:space="preserve"> értékelése:</w:t>
      </w:r>
    </w:p>
    <w:p w14:paraId="140ECC02" w14:textId="77777777" w:rsidR="00FD0545" w:rsidRPr="00E13CE5" w:rsidRDefault="00FD0545" w:rsidP="00FD0545">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29"/>
      </w:tblGrid>
      <w:tr w:rsidR="00FD0545" w:rsidRPr="00C376DE" w14:paraId="68179DC3" w14:textId="77777777" w:rsidTr="00026782">
        <w:trPr>
          <w:trHeight w:val="356"/>
        </w:trPr>
        <w:tc>
          <w:tcPr>
            <w:tcW w:w="7933" w:type="dxa"/>
            <w:shd w:val="clear" w:color="auto" w:fill="E7E6E6"/>
          </w:tcPr>
          <w:p w14:paraId="16B53635" w14:textId="77777777" w:rsidR="00FD0545" w:rsidRPr="00C376DE" w:rsidRDefault="00FD0545" w:rsidP="00026782">
            <w:pPr>
              <w:jc w:val="both"/>
              <w:rPr>
                <w:rFonts w:eastAsia="Calibri"/>
                <w:b/>
                <w:sz w:val="22"/>
                <w:szCs w:val="22"/>
              </w:rPr>
            </w:pPr>
            <w:r w:rsidRPr="00C376DE">
              <w:rPr>
                <w:rFonts w:eastAsia="Calibri"/>
                <w:b/>
                <w:sz w:val="22"/>
                <w:szCs w:val="22"/>
              </w:rPr>
              <w:t>Tevékenység</w:t>
            </w:r>
          </w:p>
        </w:tc>
        <w:tc>
          <w:tcPr>
            <w:tcW w:w="1129" w:type="dxa"/>
            <w:shd w:val="clear" w:color="auto" w:fill="E7E6E6"/>
            <w:vAlign w:val="center"/>
          </w:tcPr>
          <w:p w14:paraId="40ED3BB0" w14:textId="77777777" w:rsidR="00FD0545" w:rsidRPr="00C376DE" w:rsidRDefault="00FD0545" w:rsidP="00026782">
            <w:pPr>
              <w:jc w:val="center"/>
              <w:rPr>
                <w:rFonts w:eastAsia="Calibri"/>
                <w:b/>
                <w:sz w:val="22"/>
                <w:szCs w:val="22"/>
              </w:rPr>
            </w:pPr>
            <w:r w:rsidRPr="00C376DE">
              <w:rPr>
                <w:rFonts w:eastAsia="Calibri"/>
                <w:b/>
                <w:sz w:val="22"/>
                <w:szCs w:val="22"/>
              </w:rPr>
              <w:t>Max. pont</w:t>
            </w:r>
          </w:p>
        </w:tc>
      </w:tr>
      <w:tr w:rsidR="00FD0545" w:rsidRPr="00C376DE" w14:paraId="65B1F1D4" w14:textId="77777777" w:rsidTr="00026782">
        <w:trPr>
          <w:trHeight w:val="600"/>
        </w:trPr>
        <w:tc>
          <w:tcPr>
            <w:tcW w:w="7933" w:type="dxa"/>
            <w:shd w:val="clear" w:color="auto" w:fill="auto"/>
            <w:hideMark/>
          </w:tcPr>
          <w:p w14:paraId="6D0C1EF9" w14:textId="77777777" w:rsidR="00FD0545" w:rsidRPr="00C376DE" w:rsidRDefault="00FD0545" w:rsidP="00026782">
            <w:pPr>
              <w:jc w:val="both"/>
              <w:rPr>
                <w:rFonts w:eastAsia="Calibri"/>
                <w:sz w:val="22"/>
                <w:szCs w:val="22"/>
              </w:rPr>
            </w:pPr>
            <w:r w:rsidRPr="00C376DE">
              <w:rPr>
                <w:rFonts w:eastAsia="Calibri"/>
                <w:sz w:val="22"/>
                <w:szCs w:val="22"/>
              </w:rPr>
              <w:t>Akadémiai szakbizottság, országos tudományos szervezet, társulatelnök, elnök-helyettes</w:t>
            </w:r>
          </w:p>
        </w:tc>
        <w:tc>
          <w:tcPr>
            <w:tcW w:w="1129" w:type="dxa"/>
            <w:shd w:val="clear" w:color="auto" w:fill="auto"/>
            <w:vAlign w:val="center"/>
          </w:tcPr>
          <w:p w14:paraId="050D2E32" w14:textId="77777777" w:rsidR="00FD0545" w:rsidRPr="00C376DE" w:rsidRDefault="00FD0545" w:rsidP="00026782">
            <w:pPr>
              <w:jc w:val="center"/>
              <w:rPr>
                <w:rFonts w:eastAsia="Calibri"/>
                <w:sz w:val="22"/>
                <w:szCs w:val="22"/>
              </w:rPr>
            </w:pPr>
            <w:r w:rsidRPr="00C376DE">
              <w:rPr>
                <w:rFonts w:eastAsia="Calibri"/>
                <w:sz w:val="22"/>
                <w:szCs w:val="22"/>
              </w:rPr>
              <w:t>84</w:t>
            </w:r>
          </w:p>
        </w:tc>
      </w:tr>
      <w:tr w:rsidR="00FD0545" w:rsidRPr="00C376DE" w14:paraId="2C557D75" w14:textId="77777777" w:rsidTr="00026782">
        <w:trPr>
          <w:trHeight w:val="300"/>
        </w:trPr>
        <w:tc>
          <w:tcPr>
            <w:tcW w:w="7933" w:type="dxa"/>
            <w:shd w:val="clear" w:color="auto" w:fill="auto"/>
            <w:hideMark/>
          </w:tcPr>
          <w:p w14:paraId="76973EA9" w14:textId="77777777" w:rsidR="00FD0545" w:rsidRPr="00C376DE" w:rsidRDefault="00FD0545" w:rsidP="00026782">
            <w:pPr>
              <w:jc w:val="both"/>
              <w:rPr>
                <w:rFonts w:eastAsia="Calibri"/>
                <w:sz w:val="22"/>
                <w:szCs w:val="22"/>
              </w:rPr>
            </w:pPr>
            <w:r w:rsidRPr="00C376DE">
              <w:rPr>
                <w:rFonts w:eastAsia="Calibri"/>
                <w:sz w:val="22"/>
                <w:szCs w:val="22"/>
              </w:rPr>
              <w:t>Országos tudományos szervezet adott kollégiumi bizottságában zsűritagság (NKFI-OTKA)</w:t>
            </w:r>
          </w:p>
        </w:tc>
        <w:tc>
          <w:tcPr>
            <w:tcW w:w="1129" w:type="dxa"/>
            <w:shd w:val="clear" w:color="auto" w:fill="auto"/>
            <w:vAlign w:val="center"/>
          </w:tcPr>
          <w:p w14:paraId="234BC1C6" w14:textId="77777777" w:rsidR="00FD0545" w:rsidRPr="00C376DE" w:rsidRDefault="00FD0545" w:rsidP="00026782">
            <w:pPr>
              <w:jc w:val="center"/>
              <w:rPr>
                <w:rFonts w:eastAsia="Calibri"/>
                <w:sz w:val="22"/>
                <w:szCs w:val="22"/>
              </w:rPr>
            </w:pPr>
            <w:r w:rsidRPr="00C376DE">
              <w:rPr>
                <w:rFonts w:eastAsia="Calibri"/>
                <w:sz w:val="22"/>
                <w:szCs w:val="22"/>
              </w:rPr>
              <w:t>42</w:t>
            </w:r>
          </w:p>
        </w:tc>
      </w:tr>
      <w:tr w:rsidR="00FD0545" w:rsidRPr="00C376DE" w14:paraId="14EE4C79" w14:textId="77777777" w:rsidTr="00026782">
        <w:trPr>
          <w:trHeight w:val="300"/>
        </w:trPr>
        <w:tc>
          <w:tcPr>
            <w:tcW w:w="7933" w:type="dxa"/>
            <w:shd w:val="clear" w:color="auto" w:fill="auto"/>
            <w:hideMark/>
          </w:tcPr>
          <w:p w14:paraId="66BAB1A4" w14:textId="77777777" w:rsidR="00FD0545" w:rsidRPr="00C376DE" w:rsidRDefault="00FD0545" w:rsidP="00026782">
            <w:pPr>
              <w:jc w:val="both"/>
              <w:rPr>
                <w:rFonts w:eastAsia="Calibri"/>
                <w:sz w:val="22"/>
                <w:szCs w:val="22"/>
              </w:rPr>
            </w:pPr>
            <w:r w:rsidRPr="00C376DE">
              <w:rPr>
                <w:rFonts w:eastAsia="Calibri"/>
                <w:sz w:val="22"/>
                <w:szCs w:val="22"/>
              </w:rPr>
              <w:t>Akadémiai szakbizottsági, országos tudományos szervezet, társulat elnökségi/vezetőségi tag</w:t>
            </w:r>
          </w:p>
        </w:tc>
        <w:tc>
          <w:tcPr>
            <w:tcW w:w="1129" w:type="dxa"/>
            <w:shd w:val="clear" w:color="auto" w:fill="auto"/>
            <w:vAlign w:val="center"/>
          </w:tcPr>
          <w:p w14:paraId="233DCD00" w14:textId="77777777" w:rsidR="00FD0545" w:rsidRPr="00C376DE" w:rsidRDefault="00FD0545" w:rsidP="00026782">
            <w:pPr>
              <w:jc w:val="center"/>
              <w:rPr>
                <w:rFonts w:eastAsia="Calibri"/>
                <w:sz w:val="22"/>
                <w:szCs w:val="22"/>
              </w:rPr>
            </w:pPr>
            <w:r w:rsidRPr="00C376DE">
              <w:rPr>
                <w:rFonts w:eastAsia="Calibri"/>
                <w:sz w:val="22"/>
                <w:szCs w:val="22"/>
              </w:rPr>
              <w:t>42</w:t>
            </w:r>
          </w:p>
        </w:tc>
      </w:tr>
      <w:tr w:rsidR="00FD0545" w:rsidRPr="00C376DE" w14:paraId="326B3091" w14:textId="77777777" w:rsidTr="00026782">
        <w:trPr>
          <w:trHeight w:val="300"/>
        </w:trPr>
        <w:tc>
          <w:tcPr>
            <w:tcW w:w="7933" w:type="dxa"/>
            <w:shd w:val="clear" w:color="auto" w:fill="auto"/>
            <w:hideMark/>
          </w:tcPr>
          <w:p w14:paraId="14F87EC6" w14:textId="77777777" w:rsidR="00FD0545" w:rsidRPr="00C376DE" w:rsidRDefault="00FD0545" w:rsidP="00026782">
            <w:pPr>
              <w:jc w:val="both"/>
              <w:rPr>
                <w:rFonts w:eastAsia="Calibri"/>
                <w:sz w:val="22"/>
                <w:szCs w:val="22"/>
              </w:rPr>
            </w:pPr>
            <w:r w:rsidRPr="00C376DE">
              <w:rPr>
                <w:rFonts w:eastAsia="Calibri"/>
                <w:sz w:val="22"/>
                <w:szCs w:val="22"/>
              </w:rPr>
              <w:t>Idegennyelvű szaklap szerkesztő bizottsági tag</w:t>
            </w:r>
          </w:p>
        </w:tc>
        <w:tc>
          <w:tcPr>
            <w:tcW w:w="1129" w:type="dxa"/>
            <w:shd w:val="clear" w:color="auto" w:fill="auto"/>
            <w:vAlign w:val="center"/>
          </w:tcPr>
          <w:p w14:paraId="1C2429FB" w14:textId="77777777" w:rsidR="00FD0545" w:rsidRPr="00C376DE" w:rsidRDefault="00FD0545" w:rsidP="00026782">
            <w:pPr>
              <w:jc w:val="center"/>
              <w:rPr>
                <w:rFonts w:eastAsia="Calibri"/>
                <w:sz w:val="22"/>
                <w:szCs w:val="22"/>
              </w:rPr>
            </w:pPr>
            <w:r w:rsidRPr="00C376DE">
              <w:rPr>
                <w:rFonts w:eastAsia="Calibri"/>
                <w:sz w:val="22"/>
                <w:szCs w:val="22"/>
              </w:rPr>
              <w:t>126</w:t>
            </w:r>
          </w:p>
        </w:tc>
      </w:tr>
      <w:tr w:rsidR="00FD0545" w:rsidRPr="00C376DE" w14:paraId="5A37021D" w14:textId="77777777" w:rsidTr="00026782">
        <w:trPr>
          <w:trHeight w:val="300"/>
        </w:trPr>
        <w:tc>
          <w:tcPr>
            <w:tcW w:w="7933" w:type="dxa"/>
            <w:shd w:val="clear" w:color="auto" w:fill="auto"/>
            <w:hideMark/>
          </w:tcPr>
          <w:p w14:paraId="5532EEDC" w14:textId="77777777" w:rsidR="00FD0545" w:rsidRPr="00C376DE" w:rsidRDefault="00FD0545" w:rsidP="00026782">
            <w:pPr>
              <w:jc w:val="both"/>
              <w:rPr>
                <w:rFonts w:eastAsia="Calibri"/>
                <w:sz w:val="22"/>
                <w:szCs w:val="22"/>
              </w:rPr>
            </w:pPr>
            <w:r w:rsidRPr="00C376DE">
              <w:rPr>
                <w:rFonts w:eastAsia="Calibri"/>
                <w:sz w:val="22"/>
                <w:szCs w:val="22"/>
              </w:rPr>
              <w:t>Magyarnyelvű szaklap szerkesztő bizottsági tag</w:t>
            </w:r>
          </w:p>
        </w:tc>
        <w:tc>
          <w:tcPr>
            <w:tcW w:w="1129" w:type="dxa"/>
            <w:shd w:val="clear" w:color="auto" w:fill="auto"/>
            <w:vAlign w:val="center"/>
          </w:tcPr>
          <w:p w14:paraId="1E025301" w14:textId="77777777" w:rsidR="00FD0545" w:rsidRPr="00C376DE" w:rsidRDefault="00FD0545" w:rsidP="00026782">
            <w:pPr>
              <w:jc w:val="center"/>
              <w:rPr>
                <w:rFonts w:eastAsia="Calibri"/>
                <w:sz w:val="22"/>
                <w:szCs w:val="22"/>
              </w:rPr>
            </w:pPr>
            <w:r w:rsidRPr="00C376DE">
              <w:rPr>
                <w:rFonts w:eastAsia="Calibri"/>
                <w:sz w:val="22"/>
                <w:szCs w:val="22"/>
              </w:rPr>
              <w:t>112</w:t>
            </w:r>
          </w:p>
        </w:tc>
      </w:tr>
      <w:tr w:rsidR="00FD0545" w:rsidRPr="00C376DE" w14:paraId="0F2E8B40" w14:textId="77777777" w:rsidTr="00026782">
        <w:trPr>
          <w:trHeight w:val="300"/>
        </w:trPr>
        <w:tc>
          <w:tcPr>
            <w:tcW w:w="7933" w:type="dxa"/>
            <w:shd w:val="clear" w:color="auto" w:fill="auto"/>
            <w:hideMark/>
          </w:tcPr>
          <w:p w14:paraId="0B58E795" w14:textId="77777777" w:rsidR="00FD0545" w:rsidRPr="00C376DE" w:rsidRDefault="00FD0545" w:rsidP="00026782">
            <w:pPr>
              <w:jc w:val="both"/>
              <w:rPr>
                <w:rFonts w:eastAsia="Calibri"/>
                <w:sz w:val="22"/>
                <w:szCs w:val="22"/>
              </w:rPr>
            </w:pPr>
            <w:r w:rsidRPr="00C376DE">
              <w:rPr>
                <w:rFonts w:eastAsia="Calibri"/>
                <w:sz w:val="22"/>
                <w:szCs w:val="22"/>
              </w:rPr>
              <w:t>Idegennyelvű könyv, jegyzetlektorálás</w:t>
            </w:r>
          </w:p>
        </w:tc>
        <w:tc>
          <w:tcPr>
            <w:tcW w:w="1129" w:type="dxa"/>
            <w:shd w:val="clear" w:color="auto" w:fill="auto"/>
            <w:vAlign w:val="center"/>
          </w:tcPr>
          <w:p w14:paraId="6CB8F8D2" w14:textId="77777777" w:rsidR="00FD0545" w:rsidRPr="00C376DE" w:rsidRDefault="00FD0545" w:rsidP="00026782">
            <w:pPr>
              <w:jc w:val="center"/>
              <w:rPr>
                <w:rFonts w:eastAsia="Calibri"/>
                <w:sz w:val="22"/>
                <w:szCs w:val="22"/>
              </w:rPr>
            </w:pPr>
            <w:r w:rsidRPr="00C376DE">
              <w:rPr>
                <w:rFonts w:eastAsia="Calibri"/>
                <w:sz w:val="22"/>
                <w:szCs w:val="22"/>
              </w:rPr>
              <w:t>112</w:t>
            </w:r>
          </w:p>
        </w:tc>
      </w:tr>
      <w:tr w:rsidR="00FD0545" w:rsidRPr="00C376DE" w14:paraId="0A3AF9C3" w14:textId="77777777" w:rsidTr="00026782">
        <w:trPr>
          <w:trHeight w:val="300"/>
        </w:trPr>
        <w:tc>
          <w:tcPr>
            <w:tcW w:w="7933" w:type="dxa"/>
            <w:shd w:val="clear" w:color="auto" w:fill="auto"/>
            <w:hideMark/>
          </w:tcPr>
          <w:p w14:paraId="07A0CC94" w14:textId="77777777" w:rsidR="00FD0545" w:rsidRPr="00C376DE" w:rsidRDefault="00FD0545" w:rsidP="00026782">
            <w:pPr>
              <w:jc w:val="both"/>
              <w:rPr>
                <w:rFonts w:eastAsia="Calibri"/>
                <w:sz w:val="22"/>
                <w:szCs w:val="22"/>
              </w:rPr>
            </w:pPr>
            <w:r w:rsidRPr="00C376DE">
              <w:rPr>
                <w:rFonts w:eastAsia="Calibri"/>
                <w:sz w:val="22"/>
                <w:szCs w:val="22"/>
              </w:rPr>
              <w:t>Magyarnyelvű könyv, jegyzetlektorálás</w:t>
            </w:r>
          </w:p>
        </w:tc>
        <w:tc>
          <w:tcPr>
            <w:tcW w:w="1129" w:type="dxa"/>
            <w:shd w:val="clear" w:color="auto" w:fill="auto"/>
            <w:vAlign w:val="center"/>
          </w:tcPr>
          <w:p w14:paraId="3ED4F154" w14:textId="77777777" w:rsidR="00FD0545" w:rsidRPr="00C376DE" w:rsidRDefault="00FD0545" w:rsidP="00026782">
            <w:pPr>
              <w:jc w:val="center"/>
              <w:rPr>
                <w:rFonts w:eastAsia="Calibri"/>
                <w:sz w:val="22"/>
                <w:szCs w:val="22"/>
              </w:rPr>
            </w:pPr>
            <w:r w:rsidRPr="00C376DE">
              <w:rPr>
                <w:rFonts w:eastAsia="Calibri"/>
                <w:sz w:val="22"/>
                <w:szCs w:val="22"/>
              </w:rPr>
              <w:t>84</w:t>
            </w:r>
          </w:p>
        </w:tc>
      </w:tr>
      <w:tr w:rsidR="00FD0545" w:rsidRPr="00C376DE" w14:paraId="16F53CA6" w14:textId="77777777" w:rsidTr="00026782">
        <w:trPr>
          <w:trHeight w:val="300"/>
        </w:trPr>
        <w:tc>
          <w:tcPr>
            <w:tcW w:w="7933" w:type="dxa"/>
            <w:shd w:val="clear" w:color="auto" w:fill="auto"/>
            <w:hideMark/>
          </w:tcPr>
          <w:p w14:paraId="138C63F1" w14:textId="77777777" w:rsidR="00FD0545" w:rsidRPr="00C376DE" w:rsidRDefault="00FD0545" w:rsidP="00026782">
            <w:pPr>
              <w:jc w:val="both"/>
              <w:rPr>
                <w:rFonts w:eastAsia="Calibri"/>
                <w:sz w:val="22"/>
                <w:szCs w:val="22"/>
              </w:rPr>
            </w:pPr>
            <w:proofErr w:type="spellStart"/>
            <w:r w:rsidRPr="00C376DE">
              <w:rPr>
                <w:rFonts w:eastAsia="Calibri"/>
                <w:sz w:val="22"/>
                <w:szCs w:val="22"/>
              </w:rPr>
              <w:t>Reviewer</w:t>
            </w:r>
            <w:proofErr w:type="spellEnd"/>
            <w:r w:rsidRPr="00C376DE">
              <w:rPr>
                <w:rFonts w:eastAsia="Calibri"/>
                <w:sz w:val="22"/>
                <w:szCs w:val="22"/>
              </w:rPr>
              <w:t>/bírálói tevékenység (hazai és nemzetközi folyóirat)</w:t>
            </w:r>
          </w:p>
        </w:tc>
        <w:tc>
          <w:tcPr>
            <w:tcW w:w="1129" w:type="dxa"/>
            <w:shd w:val="clear" w:color="auto" w:fill="auto"/>
            <w:vAlign w:val="center"/>
          </w:tcPr>
          <w:p w14:paraId="0BE2CD93" w14:textId="77777777" w:rsidR="00FD0545" w:rsidRPr="00C376DE" w:rsidRDefault="00FD0545" w:rsidP="00026782">
            <w:pPr>
              <w:jc w:val="center"/>
              <w:rPr>
                <w:rFonts w:eastAsia="Calibri"/>
                <w:sz w:val="22"/>
                <w:szCs w:val="22"/>
              </w:rPr>
            </w:pPr>
            <w:r w:rsidRPr="00C376DE">
              <w:rPr>
                <w:rFonts w:eastAsia="Calibri"/>
                <w:sz w:val="22"/>
                <w:szCs w:val="22"/>
              </w:rPr>
              <w:t>42</w:t>
            </w:r>
          </w:p>
        </w:tc>
      </w:tr>
      <w:tr w:rsidR="00FD0545" w:rsidRPr="00C376DE" w14:paraId="29D2AEB8" w14:textId="77777777" w:rsidTr="00026782">
        <w:trPr>
          <w:trHeight w:val="300"/>
        </w:trPr>
        <w:tc>
          <w:tcPr>
            <w:tcW w:w="7933" w:type="dxa"/>
            <w:shd w:val="clear" w:color="auto" w:fill="auto"/>
            <w:hideMark/>
          </w:tcPr>
          <w:p w14:paraId="59246147" w14:textId="77777777" w:rsidR="00FD0545" w:rsidRPr="00C376DE" w:rsidRDefault="00FD0545" w:rsidP="00026782">
            <w:pPr>
              <w:jc w:val="both"/>
              <w:rPr>
                <w:rFonts w:eastAsia="Calibri"/>
                <w:sz w:val="22"/>
                <w:szCs w:val="22"/>
              </w:rPr>
            </w:pPr>
            <w:r w:rsidRPr="00C376DE">
              <w:rPr>
                <w:rFonts w:eastAsia="Calibri"/>
                <w:sz w:val="22"/>
                <w:szCs w:val="22"/>
              </w:rPr>
              <w:t>PhD bírálat</w:t>
            </w:r>
          </w:p>
        </w:tc>
        <w:tc>
          <w:tcPr>
            <w:tcW w:w="1129" w:type="dxa"/>
            <w:shd w:val="clear" w:color="auto" w:fill="auto"/>
            <w:vAlign w:val="center"/>
          </w:tcPr>
          <w:p w14:paraId="63B4CABD" w14:textId="77777777" w:rsidR="00FD0545" w:rsidRPr="00C376DE" w:rsidRDefault="00FD0545" w:rsidP="00026782">
            <w:pPr>
              <w:jc w:val="center"/>
              <w:rPr>
                <w:rFonts w:eastAsia="Calibri"/>
                <w:sz w:val="22"/>
                <w:szCs w:val="22"/>
              </w:rPr>
            </w:pPr>
            <w:r w:rsidRPr="00C376DE">
              <w:rPr>
                <w:rFonts w:eastAsia="Calibri"/>
                <w:sz w:val="22"/>
                <w:szCs w:val="22"/>
              </w:rPr>
              <w:t>42</w:t>
            </w:r>
          </w:p>
        </w:tc>
      </w:tr>
      <w:tr w:rsidR="00FD0545" w:rsidRPr="00C376DE" w14:paraId="244CBB4B" w14:textId="77777777" w:rsidTr="00026782">
        <w:trPr>
          <w:trHeight w:val="300"/>
        </w:trPr>
        <w:tc>
          <w:tcPr>
            <w:tcW w:w="7933" w:type="dxa"/>
            <w:shd w:val="clear" w:color="auto" w:fill="auto"/>
            <w:hideMark/>
          </w:tcPr>
          <w:p w14:paraId="12859E91" w14:textId="77777777" w:rsidR="00FD0545" w:rsidRPr="00C376DE" w:rsidRDefault="00FD0545" w:rsidP="00026782">
            <w:pPr>
              <w:jc w:val="both"/>
              <w:rPr>
                <w:rFonts w:eastAsia="Calibri"/>
                <w:sz w:val="22"/>
                <w:szCs w:val="22"/>
              </w:rPr>
            </w:pPr>
            <w:r w:rsidRPr="00C376DE">
              <w:rPr>
                <w:rFonts w:eastAsia="Calibri"/>
                <w:sz w:val="22"/>
                <w:szCs w:val="22"/>
              </w:rPr>
              <w:t>Kapott szakmai díjak és elismerések</w:t>
            </w:r>
          </w:p>
        </w:tc>
        <w:tc>
          <w:tcPr>
            <w:tcW w:w="1129" w:type="dxa"/>
            <w:shd w:val="clear" w:color="auto" w:fill="auto"/>
            <w:vAlign w:val="center"/>
          </w:tcPr>
          <w:p w14:paraId="2B20CC5C" w14:textId="77777777" w:rsidR="00FD0545" w:rsidRPr="00C376DE" w:rsidRDefault="00FD0545" w:rsidP="00026782">
            <w:pPr>
              <w:jc w:val="center"/>
              <w:rPr>
                <w:rFonts w:eastAsia="Calibri"/>
                <w:sz w:val="22"/>
                <w:szCs w:val="22"/>
              </w:rPr>
            </w:pPr>
            <w:r w:rsidRPr="00C376DE">
              <w:rPr>
                <w:rFonts w:eastAsia="Calibri"/>
                <w:sz w:val="22"/>
                <w:szCs w:val="22"/>
              </w:rPr>
              <w:t>*</w:t>
            </w:r>
          </w:p>
        </w:tc>
      </w:tr>
      <w:tr w:rsidR="00FD0545" w:rsidRPr="00C376DE" w14:paraId="1A85B52A" w14:textId="77777777" w:rsidTr="00026782">
        <w:trPr>
          <w:trHeight w:val="300"/>
        </w:trPr>
        <w:tc>
          <w:tcPr>
            <w:tcW w:w="7933" w:type="dxa"/>
            <w:shd w:val="clear" w:color="auto" w:fill="auto"/>
          </w:tcPr>
          <w:p w14:paraId="2EB9E5DE" w14:textId="77777777" w:rsidR="00FD0545" w:rsidRPr="00C376DE" w:rsidRDefault="00FD0545" w:rsidP="00026782">
            <w:pPr>
              <w:jc w:val="both"/>
              <w:rPr>
                <w:rFonts w:eastAsia="Calibri"/>
                <w:sz w:val="22"/>
                <w:szCs w:val="22"/>
              </w:rPr>
            </w:pPr>
            <w:r w:rsidRPr="00C376DE">
              <w:rPr>
                <w:rFonts w:eastAsia="Calibri"/>
                <w:sz w:val="22"/>
                <w:szCs w:val="22"/>
              </w:rPr>
              <w:t>Szakmai szervezeti tagság</w:t>
            </w:r>
          </w:p>
        </w:tc>
        <w:tc>
          <w:tcPr>
            <w:tcW w:w="1129" w:type="dxa"/>
            <w:shd w:val="clear" w:color="auto" w:fill="auto"/>
            <w:vAlign w:val="center"/>
          </w:tcPr>
          <w:p w14:paraId="2CB44347" w14:textId="77777777" w:rsidR="00FD0545" w:rsidRPr="00C376DE" w:rsidRDefault="00FD0545" w:rsidP="00026782">
            <w:pPr>
              <w:jc w:val="center"/>
              <w:rPr>
                <w:rFonts w:eastAsia="Calibri"/>
                <w:sz w:val="22"/>
                <w:szCs w:val="22"/>
              </w:rPr>
            </w:pPr>
            <w:r w:rsidRPr="00C376DE">
              <w:rPr>
                <w:rFonts w:eastAsia="Calibri"/>
                <w:sz w:val="22"/>
                <w:szCs w:val="22"/>
              </w:rPr>
              <w:t>42</w:t>
            </w:r>
          </w:p>
        </w:tc>
      </w:tr>
    </w:tbl>
    <w:p w14:paraId="1683D2D8" w14:textId="77777777" w:rsidR="00FD0545" w:rsidRPr="00E13CE5" w:rsidRDefault="00FD0545" w:rsidP="00FD0545">
      <w:pPr>
        <w:jc w:val="both"/>
        <w:rPr>
          <w:rFonts w:eastAsia="Calibri"/>
          <w:sz w:val="22"/>
          <w:szCs w:val="22"/>
        </w:rPr>
      </w:pPr>
      <w:r w:rsidRPr="00E13CE5">
        <w:rPr>
          <w:rFonts w:eastAsia="Calibri"/>
          <w:sz w:val="22"/>
          <w:szCs w:val="22"/>
        </w:rPr>
        <w:t xml:space="preserve">*A szakmai díjak és elismerések pontértékének meghatározása egyedi mérlegelés tárgyát képezi, a többi ide sorolható tevékenység </w:t>
      </w:r>
      <w:proofErr w:type="gramStart"/>
      <w:r w:rsidRPr="00E13CE5">
        <w:rPr>
          <w:rFonts w:eastAsia="Calibri"/>
          <w:sz w:val="22"/>
          <w:szCs w:val="22"/>
        </w:rPr>
        <w:t>limitált</w:t>
      </w:r>
      <w:proofErr w:type="gramEnd"/>
      <w:r w:rsidRPr="00E13CE5">
        <w:rPr>
          <w:rFonts w:eastAsia="Calibri"/>
          <w:sz w:val="22"/>
          <w:szCs w:val="22"/>
        </w:rPr>
        <w:t xml:space="preserve"> pontértékű. A pontszámok az alapérték megfelelő arányait képezik le.</w:t>
      </w:r>
    </w:p>
    <w:p w14:paraId="5A3C5FFD" w14:textId="77777777" w:rsidR="00FD0545" w:rsidRPr="00E13CE5" w:rsidRDefault="00FD0545" w:rsidP="00FD0545">
      <w:pPr>
        <w:jc w:val="both"/>
        <w:rPr>
          <w:rFonts w:eastAsia="Calibri"/>
          <w:sz w:val="22"/>
          <w:szCs w:val="22"/>
        </w:rPr>
      </w:pPr>
    </w:p>
    <w:p w14:paraId="593B5D9A" w14:textId="77777777" w:rsidR="00FD0545" w:rsidRPr="00E13CE5" w:rsidRDefault="00FD0545" w:rsidP="00FD0545">
      <w:pPr>
        <w:jc w:val="both"/>
        <w:rPr>
          <w:rFonts w:eastAsia="Calibri"/>
          <w:sz w:val="22"/>
          <w:szCs w:val="22"/>
        </w:rPr>
      </w:pPr>
      <w:r w:rsidRPr="00E13CE5">
        <w:rPr>
          <w:rFonts w:eastAsia="Calibri"/>
          <w:sz w:val="22"/>
          <w:szCs w:val="22"/>
        </w:rPr>
        <w:t xml:space="preserve">(6) A </w:t>
      </w:r>
      <w:r w:rsidRPr="00E13CE5">
        <w:rPr>
          <w:rFonts w:eastAsia="Calibri"/>
          <w:b/>
          <w:sz w:val="22"/>
          <w:szCs w:val="22"/>
        </w:rPr>
        <w:t>tudományos fokozatszerzések</w:t>
      </w:r>
      <w:r w:rsidRPr="00E13CE5">
        <w:rPr>
          <w:rFonts w:eastAsia="Calibri"/>
          <w:sz w:val="22"/>
          <w:szCs w:val="22"/>
        </w:rPr>
        <w:t xml:space="preserve"> értékelése:</w:t>
      </w:r>
    </w:p>
    <w:tbl>
      <w:tblPr>
        <w:tblW w:w="2980" w:type="dxa"/>
        <w:jc w:val="center"/>
        <w:tblCellMar>
          <w:left w:w="70" w:type="dxa"/>
          <w:right w:w="70" w:type="dxa"/>
        </w:tblCellMar>
        <w:tblLook w:val="04A0" w:firstRow="1" w:lastRow="0" w:firstColumn="1" w:lastColumn="0" w:noHBand="0" w:noVBand="1"/>
      </w:tblPr>
      <w:tblGrid>
        <w:gridCol w:w="2064"/>
        <w:gridCol w:w="916"/>
      </w:tblGrid>
      <w:tr w:rsidR="00FD0545" w:rsidRPr="00E13CE5" w14:paraId="13BF0247" w14:textId="77777777" w:rsidTr="00026782">
        <w:trPr>
          <w:trHeight w:val="300"/>
          <w:jc w:val="center"/>
        </w:trPr>
        <w:tc>
          <w:tcPr>
            <w:tcW w:w="2980"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5582BDFA" w14:textId="77777777" w:rsidR="00FD0545" w:rsidRPr="00E13CE5" w:rsidRDefault="00FD0545" w:rsidP="00026782">
            <w:pPr>
              <w:jc w:val="center"/>
              <w:rPr>
                <w:rFonts w:eastAsia="Calibri"/>
                <w:b/>
                <w:sz w:val="22"/>
                <w:szCs w:val="22"/>
              </w:rPr>
            </w:pPr>
            <w:r w:rsidRPr="00E13CE5">
              <w:rPr>
                <w:rFonts w:eastAsia="Calibri"/>
                <w:b/>
                <w:sz w:val="22"/>
                <w:szCs w:val="22"/>
              </w:rPr>
              <w:t>Fokozatszerzés pontértékei</w:t>
            </w:r>
          </w:p>
        </w:tc>
      </w:tr>
      <w:tr w:rsidR="00FD0545" w:rsidRPr="00E13CE5" w14:paraId="19872B39" w14:textId="77777777" w:rsidTr="00026782">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21C72B32" w14:textId="77777777" w:rsidR="00FD0545" w:rsidRPr="00E13CE5" w:rsidRDefault="00FD0545" w:rsidP="00026782">
            <w:pPr>
              <w:rPr>
                <w:rFonts w:eastAsia="Calibri"/>
                <w:sz w:val="22"/>
                <w:szCs w:val="22"/>
              </w:rPr>
            </w:pPr>
            <w:r w:rsidRPr="00E13CE5">
              <w:rPr>
                <w:rFonts w:eastAsia="Calibri"/>
                <w:sz w:val="22"/>
                <w:szCs w:val="22"/>
              </w:rPr>
              <w:t>MTA Doktori</w:t>
            </w:r>
          </w:p>
        </w:tc>
        <w:tc>
          <w:tcPr>
            <w:tcW w:w="916" w:type="dxa"/>
            <w:tcBorders>
              <w:top w:val="nil"/>
              <w:left w:val="nil"/>
              <w:bottom w:val="single" w:sz="4" w:space="0" w:color="auto"/>
              <w:right w:val="single" w:sz="4" w:space="0" w:color="auto"/>
            </w:tcBorders>
            <w:shd w:val="clear" w:color="auto" w:fill="auto"/>
            <w:noWrap/>
            <w:vAlign w:val="bottom"/>
            <w:hideMark/>
          </w:tcPr>
          <w:p w14:paraId="70D0E8FD" w14:textId="77777777" w:rsidR="00FD0545" w:rsidRPr="00E13CE5" w:rsidRDefault="00FD0545" w:rsidP="00026782">
            <w:pPr>
              <w:jc w:val="right"/>
              <w:rPr>
                <w:rFonts w:eastAsia="Calibri"/>
                <w:sz w:val="22"/>
                <w:szCs w:val="22"/>
              </w:rPr>
            </w:pPr>
            <w:r w:rsidRPr="00E13CE5">
              <w:rPr>
                <w:rFonts w:eastAsia="Calibri"/>
                <w:sz w:val="22"/>
                <w:szCs w:val="22"/>
              </w:rPr>
              <w:t>336</w:t>
            </w:r>
          </w:p>
        </w:tc>
      </w:tr>
      <w:tr w:rsidR="00FD0545" w:rsidRPr="00E13CE5" w14:paraId="5DB8758D" w14:textId="77777777" w:rsidTr="00026782">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191E02D" w14:textId="77777777" w:rsidR="00FD0545" w:rsidRPr="00E13CE5" w:rsidRDefault="00FD0545" w:rsidP="00026782">
            <w:pPr>
              <w:rPr>
                <w:rFonts w:eastAsia="Calibri"/>
                <w:sz w:val="22"/>
                <w:szCs w:val="22"/>
              </w:rPr>
            </w:pPr>
            <w:r w:rsidRPr="00E13CE5">
              <w:rPr>
                <w:rFonts w:eastAsia="Calibri"/>
                <w:sz w:val="22"/>
                <w:szCs w:val="22"/>
              </w:rPr>
              <w:t>Habilitáció</w:t>
            </w:r>
          </w:p>
        </w:tc>
        <w:tc>
          <w:tcPr>
            <w:tcW w:w="916" w:type="dxa"/>
            <w:tcBorders>
              <w:top w:val="nil"/>
              <w:left w:val="nil"/>
              <w:bottom w:val="single" w:sz="4" w:space="0" w:color="auto"/>
              <w:right w:val="single" w:sz="4" w:space="0" w:color="auto"/>
            </w:tcBorders>
            <w:shd w:val="clear" w:color="auto" w:fill="auto"/>
            <w:noWrap/>
            <w:vAlign w:val="bottom"/>
            <w:hideMark/>
          </w:tcPr>
          <w:p w14:paraId="04522094" w14:textId="77777777" w:rsidR="00FD0545" w:rsidRPr="00E13CE5" w:rsidRDefault="00FD0545" w:rsidP="00026782">
            <w:pPr>
              <w:jc w:val="right"/>
              <w:rPr>
                <w:rFonts w:eastAsia="Calibri"/>
                <w:sz w:val="22"/>
                <w:szCs w:val="22"/>
              </w:rPr>
            </w:pPr>
            <w:r w:rsidRPr="00E13CE5">
              <w:rPr>
                <w:rFonts w:eastAsia="Calibri"/>
                <w:sz w:val="22"/>
                <w:szCs w:val="22"/>
              </w:rPr>
              <w:t>268,8</w:t>
            </w:r>
          </w:p>
        </w:tc>
      </w:tr>
      <w:tr w:rsidR="00FD0545" w:rsidRPr="00E13CE5" w14:paraId="3B59522E" w14:textId="77777777" w:rsidTr="00026782">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8828D60" w14:textId="77777777" w:rsidR="00FD0545" w:rsidRPr="00E13CE5" w:rsidRDefault="00FD0545" w:rsidP="00026782">
            <w:pPr>
              <w:rPr>
                <w:rFonts w:eastAsia="Calibri"/>
                <w:sz w:val="22"/>
                <w:szCs w:val="22"/>
              </w:rPr>
            </w:pPr>
            <w:r w:rsidRPr="00E13CE5">
              <w:rPr>
                <w:rFonts w:eastAsia="Calibri"/>
                <w:sz w:val="22"/>
                <w:szCs w:val="22"/>
              </w:rPr>
              <w:t>PhD</w:t>
            </w:r>
          </w:p>
        </w:tc>
        <w:tc>
          <w:tcPr>
            <w:tcW w:w="916" w:type="dxa"/>
            <w:tcBorders>
              <w:top w:val="nil"/>
              <w:left w:val="nil"/>
              <w:bottom w:val="single" w:sz="4" w:space="0" w:color="auto"/>
              <w:right w:val="single" w:sz="4" w:space="0" w:color="auto"/>
            </w:tcBorders>
            <w:shd w:val="clear" w:color="auto" w:fill="auto"/>
            <w:noWrap/>
            <w:vAlign w:val="bottom"/>
            <w:hideMark/>
          </w:tcPr>
          <w:p w14:paraId="1376459D" w14:textId="77777777" w:rsidR="00FD0545" w:rsidRPr="00E13CE5" w:rsidRDefault="00FD0545" w:rsidP="00026782">
            <w:pPr>
              <w:jc w:val="right"/>
              <w:rPr>
                <w:rFonts w:eastAsia="Calibri"/>
                <w:sz w:val="22"/>
                <w:szCs w:val="22"/>
              </w:rPr>
            </w:pPr>
            <w:r w:rsidRPr="00E13CE5">
              <w:rPr>
                <w:rFonts w:eastAsia="Calibri"/>
                <w:sz w:val="22"/>
                <w:szCs w:val="22"/>
              </w:rPr>
              <w:t>168</w:t>
            </w:r>
          </w:p>
        </w:tc>
      </w:tr>
    </w:tbl>
    <w:p w14:paraId="6CB286C0" w14:textId="77777777" w:rsidR="00FD0545" w:rsidRPr="00E13CE5" w:rsidRDefault="00FD0545" w:rsidP="00FD0545">
      <w:pPr>
        <w:jc w:val="both"/>
        <w:rPr>
          <w:rFonts w:eastAsia="Calibri"/>
          <w:sz w:val="22"/>
          <w:szCs w:val="22"/>
        </w:rPr>
      </w:pPr>
    </w:p>
    <w:p w14:paraId="17E85E00" w14:textId="77777777" w:rsidR="00FD0545" w:rsidRPr="00E13CE5" w:rsidRDefault="00FD0545" w:rsidP="00FD0545">
      <w:pPr>
        <w:jc w:val="both"/>
        <w:rPr>
          <w:rFonts w:eastAsia="Calibri"/>
          <w:sz w:val="22"/>
          <w:szCs w:val="22"/>
        </w:rPr>
      </w:pPr>
      <w:r w:rsidRPr="00E13CE5">
        <w:rPr>
          <w:rFonts w:eastAsia="Calibri"/>
          <w:sz w:val="22"/>
          <w:szCs w:val="22"/>
        </w:rPr>
        <w:t>A fokozatszerzésért elszámolható pontszám egyszeri. Abban a tanévben kerülhet a teljesítményértékelésbe, amikor a fokozatszerzés folyamata sikeresen lezárult.</w:t>
      </w:r>
    </w:p>
    <w:p w14:paraId="486AEF5B" w14:textId="77777777" w:rsidR="00FD0545" w:rsidRPr="00E13CE5" w:rsidRDefault="00FD0545" w:rsidP="00FD0545">
      <w:pPr>
        <w:jc w:val="both"/>
        <w:rPr>
          <w:rFonts w:eastAsia="Calibri"/>
          <w:sz w:val="22"/>
          <w:szCs w:val="22"/>
        </w:rPr>
      </w:pPr>
    </w:p>
    <w:p w14:paraId="496D493B" w14:textId="77777777" w:rsidR="00FD0545" w:rsidRPr="00E13CE5" w:rsidRDefault="00FD0545" w:rsidP="00FD0545">
      <w:pPr>
        <w:jc w:val="both"/>
        <w:rPr>
          <w:rFonts w:eastAsia="Calibri"/>
          <w:sz w:val="22"/>
          <w:szCs w:val="22"/>
        </w:rPr>
      </w:pPr>
      <w:r w:rsidRPr="00E13CE5">
        <w:rPr>
          <w:rFonts w:eastAsia="Calibri"/>
          <w:sz w:val="22"/>
          <w:szCs w:val="22"/>
        </w:rPr>
        <w:t>Az MTA doktori fokozatért adandó pontszám 2 nemzetközi Q1 besorolású publikációval azonos értékű. Ennek arányaiban került meghatározásra a habilitáció (80%) és a PhD (50%) fokozatok pontértéke.</w:t>
      </w:r>
    </w:p>
    <w:p w14:paraId="009F27BE" w14:textId="77777777" w:rsidR="00026782" w:rsidRDefault="00FD0545" w:rsidP="00FD0545">
      <w:pPr>
        <w:jc w:val="both"/>
        <w:rPr>
          <w:rFonts w:eastAsia="Calibri"/>
          <w:sz w:val="22"/>
          <w:szCs w:val="22"/>
        </w:rPr>
      </w:pPr>
      <w:r w:rsidRPr="00E13CE5">
        <w:rPr>
          <w:rFonts w:eastAsia="Calibri"/>
          <w:sz w:val="22"/>
          <w:szCs w:val="22"/>
        </w:rPr>
        <w:t xml:space="preserve"> </w:t>
      </w:r>
    </w:p>
    <w:p w14:paraId="74C44630" w14:textId="77777777" w:rsidR="00026782" w:rsidRDefault="00026782">
      <w:pPr>
        <w:spacing w:after="160" w:line="259" w:lineRule="auto"/>
        <w:rPr>
          <w:rFonts w:eastAsia="Calibri"/>
          <w:sz w:val="22"/>
          <w:szCs w:val="22"/>
        </w:rPr>
      </w:pPr>
      <w:r>
        <w:rPr>
          <w:rFonts w:eastAsia="Calibri"/>
          <w:sz w:val="22"/>
          <w:szCs w:val="22"/>
        </w:rPr>
        <w:br w:type="page"/>
      </w:r>
    </w:p>
    <w:p w14:paraId="28C5990D" w14:textId="77777777" w:rsidR="00FD0545" w:rsidRPr="00E13CE5" w:rsidRDefault="00FD0545" w:rsidP="00FD0545">
      <w:pPr>
        <w:jc w:val="both"/>
        <w:rPr>
          <w:rFonts w:eastAsia="Calibri"/>
          <w:sz w:val="22"/>
          <w:szCs w:val="22"/>
        </w:rPr>
      </w:pPr>
    </w:p>
    <w:p w14:paraId="3F8D3F3F" w14:textId="77777777" w:rsidR="00FD0545" w:rsidRPr="00E13CE5" w:rsidRDefault="00FD0545" w:rsidP="00FD0545">
      <w:pPr>
        <w:jc w:val="center"/>
        <w:rPr>
          <w:rFonts w:eastAsia="Calibri"/>
          <w:b/>
          <w:sz w:val="22"/>
          <w:szCs w:val="22"/>
        </w:rPr>
      </w:pPr>
      <w:r w:rsidRPr="00E13CE5">
        <w:rPr>
          <w:rFonts w:eastAsia="Calibri"/>
          <w:b/>
          <w:sz w:val="22"/>
          <w:szCs w:val="22"/>
        </w:rPr>
        <w:t>Összesítés, minimumok</w:t>
      </w:r>
    </w:p>
    <w:p w14:paraId="28C01E38" w14:textId="77777777" w:rsidR="00FD0545" w:rsidRPr="00E13CE5" w:rsidRDefault="00FD0545" w:rsidP="00FD0545">
      <w:pPr>
        <w:jc w:val="center"/>
        <w:rPr>
          <w:rFonts w:eastAsia="Calibri"/>
          <w:b/>
          <w:sz w:val="22"/>
          <w:szCs w:val="22"/>
        </w:rPr>
      </w:pPr>
    </w:p>
    <w:p w14:paraId="6D540503" w14:textId="77777777" w:rsidR="00FD0545" w:rsidRPr="00E13CE5" w:rsidRDefault="00FD0545" w:rsidP="00FD0545">
      <w:pPr>
        <w:jc w:val="both"/>
        <w:rPr>
          <w:rFonts w:eastAsia="Calibri"/>
          <w:sz w:val="22"/>
          <w:szCs w:val="22"/>
        </w:rPr>
      </w:pPr>
      <w:r w:rsidRPr="00E13CE5">
        <w:rPr>
          <w:rFonts w:eastAsia="Calibri"/>
          <w:b/>
          <w:sz w:val="22"/>
          <w:szCs w:val="22"/>
        </w:rPr>
        <w:t>9. §</w:t>
      </w:r>
      <w:r w:rsidRPr="00E13CE5">
        <w:rPr>
          <w:rFonts w:eastAsia="Calibri"/>
          <w:sz w:val="22"/>
          <w:szCs w:val="22"/>
        </w:rPr>
        <w:t xml:space="preserve"> Az összesítő tábla a három alaptevékenységből származó összes pontszámot tartalmazza. Az ehhez rendelt besorolási </w:t>
      </w:r>
      <w:proofErr w:type="gramStart"/>
      <w:r w:rsidRPr="00E13CE5">
        <w:rPr>
          <w:rFonts w:eastAsia="Calibri"/>
          <w:sz w:val="22"/>
          <w:szCs w:val="22"/>
        </w:rPr>
        <w:t>kategóriánként</w:t>
      </w:r>
      <w:proofErr w:type="gramEnd"/>
      <w:r w:rsidRPr="00E13CE5">
        <w:rPr>
          <w:rFonts w:eastAsia="Calibri"/>
          <w:sz w:val="22"/>
          <w:szCs w:val="22"/>
        </w:rPr>
        <w:t xml:space="preserve"> elvárt minimális pontszámok képezik a minősítés alapját. Ezáltal a TÉR-</w:t>
      </w:r>
      <w:proofErr w:type="spellStart"/>
      <w:r w:rsidRPr="00E13CE5">
        <w:rPr>
          <w:rFonts w:eastAsia="Calibri"/>
          <w:sz w:val="22"/>
          <w:szCs w:val="22"/>
        </w:rPr>
        <w:t>ben</w:t>
      </w:r>
      <w:proofErr w:type="spellEnd"/>
      <w:r w:rsidRPr="00E13CE5">
        <w:rPr>
          <w:rFonts w:eastAsia="Calibri"/>
          <w:sz w:val="22"/>
          <w:szCs w:val="22"/>
        </w:rPr>
        <w:t xml:space="preserve"> az elvárt teljesítmény oktatói </w:t>
      </w:r>
      <w:proofErr w:type="gramStart"/>
      <w:r w:rsidRPr="00E13CE5">
        <w:rPr>
          <w:rFonts w:eastAsia="Calibri"/>
          <w:sz w:val="22"/>
          <w:szCs w:val="22"/>
        </w:rPr>
        <w:t>kategóriánként</w:t>
      </w:r>
      <w:proofErr w:type="gramEnd"/>
      <w:r w:rsidRPr="00E13CE5">
        <w:rPr>
          <w:rFonts w:eastAsia="Calibri"/>
          <w:sz w:val="22"/>
          <w:szCs w:val="22"/>
        </w:rPr>
        <w:t xml:space="preserve"> és tevékenység kategóriánként is meghatározásra kerül.</w:t>
      </w:r>
    </w:p>
    <w:p w14:paraId="4B51268C" w14:textId="77777777" w:rsidR="00FD0545" w:rsidRPr="00E13CE5" w:rsidRDefault="00FD0545" w:rsidP="00FD0545">
      <w:pPr>
        <w:jc w:val="both"/>
        <w:rPr>
          <w:rFonts w:eastAsia="Calibri"/>
          <w:sz w:val="22"/>
          <w:szCs w:val="22"/>
        </w:rPr>
      </w:pPr>
    </w:p>
    <w:p w14:paraId="0340966A" w14:textId="77777777" w:rsidR="00FD0545" w:rsidRPr="00E13CE5" w:rsidRDefault="00FD0545" w:rsidP="00FD0545">
      <w:pPr>
        <w:jc w:val="both"/>
        <w:rPr>
          <w:rFonts w:eastAsia="Calibri"/>
          <w:sz w:val="22"/>
          <w:szCs w:val="22"/>
        </w:rPr>
      </w:pPr>
      <w:r w:rsidRPr="00E13CE5">
        <w:rPr>
          <w:rFonts w:eastAsia="Calibri"/>
          <w:b/>
          <w:sz w:val="22"/>
          <w:szCs w:val="22"/>
        </w:rPr>
        <w:t>10. §</w:t>
      </w:r>
      <w:r w:rsidRPr="00E13CE5">
        <w:rPr>
          <w:rFonts w:eastAsia="Calibri"/>
          <w:sz w:val="22"/>
          <w:szCs w:val="22"/>
        </w:rPr>
        <w:t xml:space="preserve"> (1) Az elvárt </w:t>
      </w:r>
      <w:proofErr w:type="gramStart"/>
      <w:r w:rsidRPr="00E13CE5">
        <w:rPr>
          <w:rFonts w:eastAsia="Calibri"/>
          <w:sz w:val="22"/>
          <w:szCs w:val="22"/>
        </w:rPr>
        <w:t>minimális</w:t>
      </w:r>
      <w:proofErr w:type="gramEnd"/>
      <w:r w:rsidRPr="00E13CE5">
        <w:rPr>
          <w:rFonts w:eastAsia="Calibri"/>
          <w:sz w:val="22"/>
          <w:szCs w:val="22"/>
        </w:rPr>
        <w:t xml:space="preserve"> pontszámok az adott tanévben kialakult </w:t>
      </w:r>
      <w:proofErr w:type="spellStart"/>
      <w:r w:rsidRPr="00E13CE5">
        <w:rPr>
          <w:rFonts w:eastAsia="Calibri"/>
          <w:sz w:val="22"/>
          <w:szCs w:val="22"/>
        </w:rPr>
        <w:t>kategóriánkénti</w:t>
      </w:r>
      <w:proofErr w:type="spellEnd"/>
      <w:r w:rsidRPr="00E13CE5">
        <w:rPr>
          <w:rFonts w:eastAsia="Calibri"/>
          <w:sz w:val="22"/>
          <w:szCs w:val="22"/>
        </w:rPr>
        <w:t xml:space="preserve"> és ezen belül </w:t>
      </w:r>
      <w:proofErr w:type="spellStart"/>
      <w:r w:rsidRPr="00E13CE5">
        <w:rPr>
          <w:rFonts w:eastAsia="Calibri"/>
          <w:sz w:val="22"/>
          <w:szCs w:val="22"/>
        </w:rPr>
        <w:t>tevékenységenkénti</w:t>
      </w:r>
      <w:proofErr w:type="spellEnd"/>
      <w:r w:rsidRPr="00E13CE5">
        <w:rPr>
          <w:rFonts w:eastAsia="Calibri"/>
          <w:sz w:val="22"/>
          <w:szCs w:val="22"/>
        </w:rPr>
        <w:t xml:space="preserve"> átlagos pontszámok 85%-</w:t>
      </w:r>
      <w:proofErr w:type="spellStart"/>
      <w:r w:rsidRPr="00E13CE5">
        <w:rPr>
          <w:rFonts w:eastAsia="Calibri"/>
          <w:sz w:val="22"/>
          <w:szCs w:val="22"/>
        </w:rPr>
        <w:t>ában</w:t>
      </w:r>
      <w:proofErr w:type="spellEnd"/>
      <w:r w:rsidRPr="00E13CE5">
        <w:rPr>
          <w:rFonts w:eastAsia="Calibri"/>
          <w:sz w:val="22"/>
          <w:szCs w:val="22"/>
        </w:rPr>
        <w:t xml:space="preserve"> kerülnek  meghatározásra. </w:t>
      </w:r>
    </w:p>
    <w:p w14:paraId="5FD713E8" w14:textId="77777777" w:rsidR="00FD0545" w:rsidRPr="00E13CE5" w:rsidRDefault="00FD0545" w:rsidP="00FD0545">
      <w:pPr>
        <w:rPr>
          <w:rFonts w:eastAsia="Calibri"/>
          <w:sz w:val="22"/>
          <w:szCs w:val="22"/>
        </w:rPr>
      </w:pPr>
    </w:p>
    <w:p w14:paraId="59239C59" w14:textId="77777777" w:rsidR="00FD0545" w:rsidRPr="00E13CE5" w:rsidRDefault="00FD0545" w:rsidP="00FD0545">
      <w:pPr>
        <w:jc w:val="both"/>
        <w:rPr>
          <w:rFonts w:eastAsia="Calibri"/>
          <w:sz w:val="22"/>
          <w:szCs w:val="22"/>
        </w:rPr>
      </w:pPr>
      <w:r w:rsidRPr="00E13CE5">
        <w:rPr>
          <w:rFonts w:eastAsia="Calibri"/>
          <w:sz w:val="22"/>
          <w:szCs w:val="22"/>
        </w:rPr>
        <w:t>(2) A program elektronikus kitöltése és feltöltése után a nyomtatott, aláírt verziót a Dékáni Hivatalban kell leadni a megadott határidőig.</w:t>
      </w:r>
    </w:p>
    <w:p w14:paraId="4631F6D8" w14:textId="77777777" w:rsidR="00FD0545" w:rsidRPr="00E13CE5" w:rsidRDefault="00FD0545" w:rsidP="00FD0545">
      <w:pPr>
        <w:jc w:val="both"/>
        <w:rPr>
          <w:rFonts w:eastAsia="Calibri"/>
          <w:sz w:val="22"/>
          <w:szCs w:val="22"/>
        </w:rPr>
      </w:pPr>
    </w:p>
    <w:p w14:paraId="05D7A79F" w14:textId="77777777" w:rsidR="00FD0545" w:rsidRPr="00E13CE5" w:rsidRDefault="00FD0545" w:rsidP="00FD0545">
      <w:pPr>
        <w:jc w:val="both"/>
        <w:rPr>
          <w:rFonts w:eastAsia="Calibri"/>
          <w:sz w:val="22"/>
          <w:szCs w:val="22"/>
        </w:rPr>
      </w:pPr>
      <w:r w:rsidRPr="00E13CE5">
        <w:rPr>
          <w:rFonts w:eastAsia="Calibri"/>
          <w:sz w:val="22"/>
          <w:szCs w:val="22"/>
        </w:rPr>
        <w:t>(3) A teljesítményértékelő beszélgetést követően az oktatók a végleges eredményeiket tartalmazó adatlapokat nyomtatott formában megkapják. Az értékelés folyamata alkalmas az egyéni karriertervezés megvalósítására és az elért eredmények nyomon követesére.</w:t>
      </w:r>
    </w:p>
    <w:p w14:paraId="3D46287F" w14:textId="77777777" w:rsidR="00FD0545" w:rsidRPr="00E13CE5" w:rsidRDefault="00FD0545" w:rsidP="00FD0545">
      <w:pPr>
        <w:jc w:val="both"/>
        <w:rPr>
          <w:rFonts w:eastAsia="Calibri"/>
          <w:sz w:val="22"/>
          <w:szCs w:val="22"/>
        </w:rPr>
      </w:pPr>
    </w:p>
    <w:p w14:paraId="478C70A5" w14:textId="77777777" w:rsidR="00FD0545" w:rsidRPr="00E13CE5" w:rsidRDefault="00FD0545" w:rsidP="00FD0545">
      <w:pPr>
        <w:jc w:val="both"/>
        <w:rPr>
          <w:rFonts w:eastAsia="Calibri"/>
          <w:sz w:val="22"/>
          <w:szCs w:val="22"/>
        </w:rPr>
      </w:pPr>
      <w:r w:rsidRPr="00E13CE5">
        <w:rPr>
          <w:rFonts w:eastAsia="Calibri"/>
          <w:sz w:val="22"/>
          <w:szCs w:val="22"/>
        </w:rPr>
        <w:t>(4) Az intézetigazgatók és tanszékvezetők az intézeti/tanszéki munkatársak tevékenységét megismerhetik, ezáltal a rendszer lehetőséget biztosít egyéni és szervezeti egység szintű célok kijelölésére.</w:t>
      </w:r>
    </w:p>
    <w:p w14:paraId="71CA41FB" w14:textId="77777777" w:rsidR="00FD0545" w:rsidRPr="00E13CE5" w:rsidRDefault="00FD0545" w:rsidP="00FD0545">
      <w:pPr>
        <w:jc w:val="center"/>
        <w:rPr>
          <w:rFonts w:eastAsia="Calibri"/>
          <w:b/>
          <w:sz w:val="22"/>
          <w:szCs w:val="22"/>
        </w:rPr>
      </w:pPr>
      <w:r w:rsidRPr="00E13CE5">
        <w:rPr>
          <w:rFonts w:eastAsia="Calibri"/>
          <w:b/>
          <w:sz w:val="22"/>
          <w:szCs w:val="22"/>
        </w:rPr>
        <w:t>A minősítés</w:t>
      </w:r>
    </w:p>
    <w:p w14:paraId="7752246E" w14:textId="77777777" w:rsidR="00FD0545" w:rsidRPr="00E13CE5" w:rsidRDefault="00FD0545" w:rsidP="00FD0545">
      <w:pPr>
        <w:jc w:val="center"/>
        <w:rPr>
          <w:rFonts w:eastAsia="Calibri"/>
          <w:b/>
          <w:sz w:val="22"/>
          <w:szCs w:val="22"/>
        </w:rPr>
      </w:pPr>
    </w:p>
    <w:p w14:paraId="254C7FAE" w14:textId="77777777" w:rsidR="00FD0545" w:rsidRPr="00E13CE5" w:rsidRDefault="00FD0545" w:rsidP="00FD0545">
      <w:pPr>
        <w:jc w:val="both"/>
        <w:rPr>
          <w:rFonts w:eastAsia="Calibri"/>
          <w:sz w:val="22"/>
          <w:szCs w:val="22"/>
        </w:rPr>
      </w:pPr>
      <w:r w:rsidRPr="00E13CE5">
        <w:rPr>
          <w:rFonts w:eastAsia="Calibri"/>
          <w:b/>
          <w:sz w:val="22"/>
          <w:szCs w:val="22"/>
        </w:rPr>
        <w:t>11. §</w:t>
      </w:r>
      <w:r w:rsidRPr="00E13CE5">
        <w:rPr>
          <w:rFonts w:eastAsia="Calibri"/>
          <w:sz w:val="22"/>
          <w:szCs w:val="22"/>
        </w:rPr>
        <w:t xml:space="preserve"> (1) A minősítés célja a közalkalmazott munkaköri feladatai ellátásának megítélése, az ezt befolyásoló ismeretek, képességek, személyi tulajdonságok, készségek, attitűdök, felelősség, önállóság értékelése, továbbá a szakmai fejlődés elősegítése.</w:t>
      </w:r>
    </w:p>
    <w:p w14:paraId="02CB0976" w14:textId="77777777" w:rsidR="00FD0545" w:rsidRPr="00E13CE5" w:rsidRDefault="00FD0545" w:rsidP="00FD0545">
      <w:pPr>
        <w:jc w:val="both"/>
        <w:rPr>
          <w:rFonts w:eastAsia="Calibri"/>
          <w:sz w:val="22"/>
          <w:szCs w:val="22"/>
        </w:rPr>
      </w:pPr>
    </w:p>
    <w:p w14:paraId="42369FC6" w14:textId="77777777" w:rsidR="00FD0545" w:rsidRPr="00E13CE5" w:rsidRDefault="00FD0545" w:rsidP="00FD0545">
      <w:pPr>
        <w:jc w:val="both"/>
        <w:rPr>
          <w:rFonts w:eastAsia="Calibri"/>
          <w:sz w:val="22"/>
          <w:szCs w:val="22"/>
        </w:rPr>
      </w:pPr>
      <w:r w:rsidRPr="00E13CE5">
        <w:rPr>
          <w:rFonts w:eastAsia="Calibri"/>
          <w:sz w:val="22"/>
          <w:szCs w:val="22"/>
        </w:rPr>
        <w:t xml:space="preserve">(2) Az </w:t>
      </w:r>
      <w:proofErr w:type="spellStart"/>
      <w:r w:rsidRPr="00E13CE5">
        <w:rPr>
          <w:rFonts w:eastAsia="Calibri"/>
          <w:sz w:val="22"/>
          <w:szCs w:val="22"/>
        </w:rPr>
        <w:t>Fkr</w:t>
      </w:r>
      <w:proofErr w:type="spellEnd"/>
      <w:r w:rsidRPr="00E13CE5">
        <w:rPr>
          <w:rFonts w:eastAsia="Calibri"/>
          <w:sz w:val="22"/>
          <w:szCs w:val="22"/>
        </w:rPr>
        <w:t xml:space="preserve"> 51. §-</w:t>
      </w:r>
      <w:proofErr w:type="spellStart"/>
      <w:r w:rsidRPr="00E13CE5">
        <w:rPr>
          <w:rFonts w:eastAsia="Calibri"/>
          <w:sz w:val="22"/>
          <w:szCs w:val="22"/>
        </w:rPr>
        <w:t>ban</w:t>
      </w:r>
      <w:proofErr w:type="spellEnd"/>
      <w:r w:rsidRPr="00E13CE5">
        <w:rPr>
          <w:rFonts w:eastAsia="Calibri"/>
          <w:sz w:val="22"/>
          <w:szCs w:val="22"/>
        </w:rPr>
        <w:t xml:space="preserve"> meghatározott minősítések a következők:</w:t>
      </w:r>
    </w:p>
    <w:p w14:paraId="449C59B4" w14:textId="77777777" w:rsidR="00FD0545" w:rsidRPr="00E13CE5" w:rsidRDefault="00FD0545" w:rsidP="00FD0545">
      <w:pPr>
        <w:jc w:val="both"/>
        <w:rPr>
          <w:rFonts w:eastAsia="Calibri"/>
          <w:sz w:val="22"/>
          <w:szCs w:val="22"/>
        </w:rPr>
      </w:pPr>
      <w:proofErr w:type="gramStart"/>
      <w:r w:rsidRPr="00E13CE5">
        <w:rPr>
          <w:rFonts w:eastAsia="Calibri"/>
          <w:sz w:val="22"/>
          <w:szCs w:val="22"/>
        </w:rPr>
        <w:t>a</w:t>
      </w:r>
      <w:proofErr w:type="gramEnd"/>
      <w:r w:rsidRPr="00E13CE5">
        <w:rPr>
          <w:rFonts w:eastAsia="Calibri"/>
          <w:sz w:val="22"/>
          <w:szCs w:val="22"/>
        </w:rPr>
        <w:t>) kiválóan alkalmas,</w:t>
      </w:r>
    </w:p>
    <w:p w14:paraId="3D2A3904" w14:textId="77777777" w:rsidR="00FD0545" w:rsidRPr="00E13CE5" w:rsidRDefault="00FD0545" w:rsidP="00FD0545">
      <w:pPr>
        <w:jc w:val="both"/>
        <w:rPr>
          <w:rFonts w:eastAsia="Calibri"/>
          <w:sz w:val="22"/>
          <w:szCs w:val="22"/>
        </w:rPr>
      </w:pPr>
      <w:r w:rsidRPr="00E13CE5">
        <w:rPr>
          <w:rFonts w:eastAsia="Calibri"/>
          <w:sz w:val="22"/>
          <w:szCs w:val="22"/>
        </w:rPr>
        <w:t>b) alkalmas,</w:t>
      </w:r>
    </w:p>
    <w:p w14:paraId="17DA1424" w14:textId="77777777" w:rsidR="00FD0545" w:rsidRPr="00E13CE5" w:rsidRDefault="00FD0545" w:rsidP="00FD0545">
      <w:pPr>
        <w:jc w:val="both"/>
        <w:rPr>
          <w:rFonts w:eastAsia="Calibri"/>
          <w:sz w:val="22"/>
          <w:szCs w:val="22"/>
        </w:rPr>
      </w:pPr>
      <w:r w:rsidRPr="00E13CE5">
        <w:rPr>
          <w:rFonts w:eastAsia="Calibri"/>
          <w:sz w:val="22"/>
          <w:szCs w:val="22"/>
        </w:rPr>
        <w:t>c) kevéssé alkalmas,</w:t>
      </w:r>
    </w:p>
    <w:p w14:paraId="244359B5" w14:textId="77777777" w:rsidR="00FD0545" w:rsidRPr="00E13CE5" w:rsidRDefault="00FD0545" w:rsidP="00FD0545">
      <w:pPr>
        <w:jc w:val="both"/>
        <w:rPr>
          <w:rFonts w:eastAsia="Calibri"/>
          <w:sz w:val="22"/>
          <w:szCs w:val="22"/>
        </w:rPr>
      </w:pPr>
      <w:r w:rsidRPr="00E13CE5">
        <w:rPr>
          <w:rFonts w:eastAsia="Calibri"/>
          <w:sz w:val="22"/>
          <w:szCs w:val="22"/>
        </w:rPr>
        <w:t>d) alkalmatlan.</w:t>
      </w:r>
    </w:p>
    <w:p w14:paraId="46D54A2C" w14:textId="77777777" w:rsidR="00FD0545" w:rsidRPr="00E13CE5" w:rsidRDefault="00FD0545" w:rsidP="00FD0545">
      <w:pPr>
        <w:jc w:val="both"/>
        <w:rPr>
          <w:rFonts w:eastAsia="Calibri"/>
          <w:sz w:val="22"/>
          <w:szCs w:val="22"/>
        </w:rPr>
      </w:pPr>
    </w:p>
    <w:p w14:paraId="7F8B5684" w14:textId="77777777" w:rsidR="00FD0545" w:rsidRPr="00E13CE5" w:rsidRDefault="00FD0545" w:rsidP="00FD0545">
      <w:pPr>
        <w:jc w:val="both"/>
        <w:rPr>
          <w:rFonts w:eastAsia="Calibri"/>
          <w:sz w:val="22"/>
          <w:szCs w:val="22"/>
        </w:rPr>
      </w:pPr>
      <w:r w:rsidRPr="00E13CE5">
        <w:rPr>
          <w:rFonts w:eastAsia="Calibri"/>
          <w:sz w:val="22"/>
          <w:szCs w:val="22"/>
        </w:rPr>
        <w:t xml:space="preserve">(3) A Teljesítményértékelési rendszerben generálható minősítőlap pontszámítási alapja a </w:t>
      </w:r>
      <w:r w:rsidRPr="00E13CE5">
        <w:rPr>
          <w:rFonts w:eastAsia="Calibri"/>
          <w:b/>
          <w:i/>
          <w:sz w:val="22"/>
          <w:szCs w:val="22"/>
        </w:rPr>
        <w:t xml:space="preserve">z </w:t>
      </w:r>
      <w:r w:rsidRPr="00E13CE5">
        <w:rPr>
          <w:rFonts w:eastAsia="Calibri"/>
          <w:sz w:val="22"/>
          <w:szCs w:val="22"/>
        </w:rPr>
        <w:t xml:space="preserve">érték </w:t>
      </w:r>
      <w:proofErr w:type="gramStart"/>
      <w:r w:rsidRPr="00E13CE5">
        <w:rPr>
          <w:rFonts w:eastAsia="Calibri"/>
          <w:sz w:val="22"/>
          <w:szCs w:val="22"/>
        </w:rPr>
        <w:t>kalkulációjú</w:t>
      </w:r>
      <w:proofErr w:type="gramEnd"/>
      <w:r w:rsidRPr="00E13CE5">
        <w:rPr>
          <w:rFonts w:eastAsia="Calibri"/>
          <w:sz w:val="22"/>
          <w:szCs w:val="22"/>
        </w:rPr>
        <w:t xml:space="preserve">/számítású standardizálás. A pontszám az adott </w:t>
      </w:r>
      <w:r w:rsidRPr="00E13CE5">
        <w:rPr>
          <w:sz w:val="22"/>
          <w:szCs w:val="22"/>
        </w:rPr>
        <w:t xml:space="preserve">minősítés alá vont közalkalmazott </w:t>
      </w:r>
      <w:r w:rsidRPr="00E13CE5">
        <w:rPr>
          <w:rFonts w:eastAsia="Calibri"/>
          <w:sz w:val="22"/>
          <w:szCs w:val="22"/>
        </w:rPr>
        <w:t>eltérését mutatja az átlagtól szórásegységekben.</w:t>
      </w:r>
    </w:p>
    <w:p w14:paraId="1F8312AC" w14:textId="77777777" w:rsidR="00FD0545" w:rsidRPr="00E13CE5" w:rsidRDefault="00FD0545" w:rsidP="00FD0545">
      <w:pPr>
        <w:jc w:val="both"/>
        <w:rPr>
          <w:rFonts w:eastAsia="Calibri"/>
          <w:sz w:val="22"/>
          <w:szCs w:val="22"/>
        </w:rPr>
      </w:pPr>
    </w:p>
    <w:p w14:paraId="027008C2" w14:textId="77777777" w:rsidR="00FD0545" w:rsidRPr="00E13CE5" w:rsidRDefault="00FD0545" w:rsidP="00FD0545">
      <w:pPr>
        <w:autoSpaceDE w:val="0"/>
        <w:autoSpaceDN w:val="0"/>
        <w:adjustRightInd w:val="0"/>
        <w:contextualSpacing/>
        <w:jc w:val="both"/>
        <w:rPr>
          <w:rFonts w:eastAsia="Calibri"/>
          <w:sz w:val="22"/>
          <w:szCs w:val="22"/>
        </w:rPr>
      </w:pPr>
      <w:r w:rsidRPr="00E13CE5">
        <w:rPr>
          <w:rFonts w:eastAsia="Calibri"/>
          <w:sz w:val="22"/>
          <w:szCs w:val="22"/>
        </w:rPr>
        <w:t xml:space="preserve">A minősítési lap szempontjainak átlaga, szórása munkakörönként kerül kiszámításra. Az </w:t>
      </w:r>
      <w:proofErr w:type="gramStart"/>
      <w:r w:rsidRPr="00E13CE5">
        <w:rPr>
          <w:rFonts w:eastAsia="Calibri"/>
          <w:sz w:val="22"/>
          <w:szCs w:val="22"/>
        </w:rPr>
        <w:t>értékelés minősítési</w:t>
      </w:r>
      <w:proofErr w:type="gramEnd"/>
      <w:r w:rsidRPr="00E13CE5">
        <w:rPr>
          <w:rFonts w:eastAsia="Calibri"/>
          <w:sz w:val="22"/>
          <w:szCs w:val="22"/>
        </w:rPr>
        <w:t xml:space="preserve"> szempontonként kerül meghatározásra. </w:t>
      </w:r>
    </w:p>
    <w:p w14:paraId="1F0CBDC4" w14:textId="77777777" w:rsidR="00FD0545" w:rsidRPr="00E13CE5" w:rsidRDefault="00FD0545" w:rsidP="00FD0545">
      <w:pPr>
        <w:autoSpaceDE w:val="0"/>
        <w:autoSpaceDN w:val="0"/>
        <w:adjustRightInd w:val="0"/>
        <w:contextualSpacing/>
        <w:jc w:val="both"/>
        <w:rPr>
          <w:rFonts w:eastAsia="Calibri"/>
          <w:b/>
          <w:sz w:val="22"/>
          <w:szCs w:val="22"/>
        </w:rPr>
      </w:pPr>
      <w:r w:rsidRPr="00E13CE5">
        <w:rPr>
          <w:rFonts w:eastAsia="Calibri"/>
          <w:sz w:val="22"/>
          <w:szCs w:val="22"/>
        </w:rPr>
        <w:t>Ha a (</w:t>
      </w:r>
      <w:proofErr w:type="spellStart"/>
      <w:r w:rsidRPr="00E13CE5">
        <w:rPr>
          <w:rFonts w:eastAsia="Calibri"/>
          <w:sz w:val="22"/>
          <w:szCs w:val="22"/>
        </w:rPr>
        <w:t>minősített_pontszáma</w:t>
      </w:r>
      <w:proofErr w:type="spellEnd"/>
      <w:r w:rsidRPr="00E13CE5">
        <w:rPr>
          <w:rFonts w:eastAsia="Calibri"/>
          <w:sz w:val="22"/>
          <w:szCs w:val="22"/>
        </w:rPr>
        <w:t xml:space="preserve"> – </w:t>
      </w:r>
      <w:proofErr w:type="spellStart"/>
      <w:r w:rsidRPr="00E13CE5">
        <w:rPr>
          <w:rFonts w:eastAsia="Calibri"/>
          <w:sz w:val="22"/>
          <w:szCs w:val="22"/>
        </w:rPr>
        <w:t>a_munkakör_átlaga</w:t>
      </w:r>
      <w:proofErr w:type="spellEnd"/>
      <w:r w:rsidRPr="00E13CE5">
        <w:rPr>
          <w:rFonts w:eastAsia="Calibri"/>
          <w:sz w:val="22"/>
          <w:szCs w:val="22"/>
        </w:rPr>
        <w:t xml:space="preserve">) / </w:t>
      </w:r>
      <w:proofErr w:type="spellStart"/>
      <w:r w:rsidRPr="00E13CE5">
        <w:rPr>
          <w:rFonts w:eastAsia="Calibri"/>
          <w:sz w:val="22"/>
          <w:szCs w:val="22"/>
        </w:rPr>
        <w:t>munkakör_szórása</w:t>
      </w:r>
      <w:proofErr w:type="spellEnd"/>
      <w:r w:rsidRPr="00E13CE5">
        <w:rPr>
          <w:rFonts w:eastAsia="Calibri"/>
          <w:sz w:val="22"/>
          <w:szCs w:val="22"/>
        </w:rPr>
        <w:t>):</w:t>
      </w:r>
      <w:r w:rsidRPr="00E13CE5">
        <w:rPr>
          <w:rFonts w:eastAsia="Calibri"/>
          <w:sz w:val="22"/>
          <w:szCs w:val="22"/>
        </w:rPr>
        <w:br/>
      </w:r>
      <w:r w:rsidRPr="00E13CE5">
        <w:rPr>
          <w:rFonts w:eastAsia="Calibri"/>
          <w:sz w:val="22"/>
          <w:szCs w:val="22"/>
        </w:rPr>
        <w:br/>
        <w:t xml:space="preserve">z </w:t>
      </w:r>
      <w:proofErr w:type="gramStart"/>
      <w:r w:rsidRPr="00E13CE5">
        <w:rPr>
          <w:rFonts w:eastAsia="Calibri"/>
          <w:sz w:val="22"/>
          <w:szCs w:val="22"/>
        </w:rPr>
        <w:t>&lt; -</w:t>
      </w:r>
      <w:proofErr w:type="gramEnd"/>
      <w:r w:rsidRPr="00E13CE5">
        <w:rPr>
          <w:rFonts w:eastAsia="Calibri"/>
          <w:sz w:val="22"/>
          <w:szCs w:val="22"/>
        </w:rPr>
        <w:t xml:space="preserve">2 </w:t>
      </w:r>
      <w:r w:rsidRPr="00E13CE5">
        <w:rPr>
          <w:rFonts w:eastAsia="Calibri"/>
          <w:sz w:val="22"/>
          <w:szCs w:val="22"/>
        </w:rPr>
        <w:tab/>
      </w:r>
      <w:r w:rsidRPr="00E13CE5">
        <w:rPr>
          <w:rFonts w:eastAsia="Calibri"/>
          <w:sz w:val="22"/>
          <w:szCs w:val="22"/>
        </w:rPr>
        <w:tab/>
      </w:r>
      <w:r w:rsidRPr="00E13CE5">
        <w:rPr>
          <w:rFonts w:eastAsia="Calibri"/>
          <w:b/>
          <w:sz w:val="22"/>
          <w:szCs w:val="22"/>
        </w:rPr>
        <w:t>Értékelés</w:t>
      </w:r>
      <w:r w:rsidRPr="00E13CE5">
        <w:rPr>
          <w:rFonts w:eastAsia="Calibri"/>
          <w:sz w:val="22"/>
          <w:szCs w:val="22"/>
        </w:rPr>
        <w:t>: nem megfelelő</w:t>
      </w:r>
      <w:r w:rsidRPr="00E13CE5">
        <w:rPr>
          <w:rFonts w:eastAsia="Calibri"/>
          <w:strike/>
          <w:sz w:val="22"/>
          <w:szCs w:val="22"/>
        </w:rPr>
        <w:t xml:space="preserve"> </w:t>
      </w:r>
      <w:r w:rsidRPr="00E13CE5">
        <w:rPr>
          <w:rFonts w:eastAsia="Calibri"/>
          <w:b/>
          <w:strike/>
          <w:sz w:val="22"/>
          <w:szCs w:val="22"/>
        </w:rPr>
        <w:t xml:space="preserve"> </w:t>
      </w:r>
    </w:p>
    <w:p w14:paraId="46D8C007"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 </w:t>
      </w:r>
      <w:proofErr w:type="gramStart"/>
      <w:r w:rsidRPr="00E13CE5">
        <w:rPr>
          <w:rFonts w:eastAsia="Calibri"/>
          <w:sz w:val="22"/>
          <w:szCs w:val="22"/>
        </w:rPr>
        <w:t>z&lt; -</w:t>
      </w:r>
      <w:proofErr w:type="gramEnd"/>
      <w:r w:rsidRPr="00E13CE5">
        <w:rPr>
          <w:rFonts w:eastAsia="Calibri"/>
          <w:sz w:val="22"/>
          <w:szCs w:val="22"/>
        </w:rPr>
        <w:t xml:space="preserve">1 </w:t>
      </w:r>
      <w:r w:rsidRPr="00E13CE5">
        <w:rPr>
          <w:rFonts w:eastAsia="Calibri"/>
          <w:sz w:val="22"/>
          <w:szCs w:val="22"/>
        </w:rPr>
        <w:tab/>
      </w:r>
      <w:r w:rsidRPr="00E13CE5">
        <w:rPr>
          <w:rFonts w:eastAsia="Calibri"/>
          <w:b/>
          <w:sz w:val="22"/>
          <w:szCs w:val="22"/>
        </w:rPr>
        <w:t>Értékelés</w:t>
      </w:r>
      <w:r w:rsidRPr="00E13CE5">
        <w:rPr>
          <w:rFonts w:eastAsia="Calibri"/>
          <w:sz w:val="22"/>
          <w:szCs w:val="22"/>
        </w:rPr>
        <w:t xml:space="preserve">: kevéssé megfelelő </w:t>
      </w:r>
    </w:p>
    <w:p w14:paraId="044BA364"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-1 ≤ </w:t>
      </w:r>
      <w:proofErr w:type="gramStart"/>
      <w:r w:rsidRPr="00E13CE5">
        <w:rPr>
          <w:rFonts w:eastAsia="Calibri"/>
          <w:sz w:val="22"/>
          <w:szCs w:val="22"/>
        </w:rPr>
        <w:t>z&lt;</w:t>
      </w:r>
      <w:proofErr w:type="gramEnd"/>
      <w:r w:rsidRPr="00E13CE5">
        <w:rPr>
          <w:rFonts w:eastAsia="Calibri"/>
          <w:sz w:val="22"/>
          <w:szCs w:val="22"/>
        </w:rPr>
        <w:t xml:space="preserve">0,2 </w:t>
      </w:r>
      <w:r w:rsidRPr="00E13CE5">
        <w:rPr>
          <w:rFonts w:eastAsia="Calibri"/>
          <w:sz w:val="22"/>
          <w:szCs w:val="22"/>
        </w:rPr>
        <w:tab/>
      </w:r>
      <w:r w:rsidRPr="00E13CE5">
        <w:rPr>
          <w:rFonts w:eastAsia="Calibri"/>
          <w:b/>
          <w:sz w:val="22"/>
          <w:szCs w:val="22"/>
        </w:rPr>
        <w:t>Értékelés</w:t>
      </w:r>
      <w:r w:rsidRPr="00E13CE5">
        <w:rPr>
          <w:rFonts w:eastAsia="Calibri"/>
          <w:sz w:val="22"/>
          <w:szCs w:val="22"/>
        </w:rPr>
        <w:t xml:space="preserve">: megfelelő </w:t>
      </w:r>
    </w:p>
    <w:p w14:paraId="64C7D472"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z ≥ 0,2 </w:t>
      </w:r>
      <w:r w:rsidRPr="00E13CE5">
        <w:rPr>
          <w:rFonts w:eastAsia="Calibri"/>
          <w:sz w:val="22"/>
          <w:szCs w:val="22"/>
        </w:rPr>
        <w:tab/>
      </w:r>
      <w:r w:rsidRPr="00E13CE5">
        <w:rPr>
          <w:rFonts w:eastAsia="Calibri"/>
          <w:b/>
          <w:sz w:val="22"/>
          <w:szCs w:val="22"/>
        </w:rPr>
        <w:t>Értékelés</w:t>
      </w:r>
      <w:r w:rsidRPr="00E13CE5">
        <w:rPr>
          <w:rFonts w:eastAsia="Calibri"/>
          <w:sz w:val="22"/>
          <w:szCs w:val="22"/>
        </w:rPr>
        <w:t xml:space="preserve">: kiemelkedő </w:t>
      </w:r>
    </w:p>
    <w:p w14:paraId="612DFE31" w14:textId="77777777" w:rsidR="00FD0545" w:rsidRPr="00E13CE5" w:rsidRDefault="00FD0545" w:rsidP="00FD0545">
      <w:pPr>
        <w:jc w:val="both"/>
        <w:rPr>
          <w:rFonts w:eastAsia="Calibri"/>
          <w:sz w:val="22"/>
          <w:szCs w:val="22"/>
        </w:rPr>
      </w:pPr>
    </w:p>
    <w:p w14:paraId="3C7D8367" w14:textId="77777777" w:rsidR="00FD0545" w:rsidRPr="00E13CE5" w:rsidRDefault="00FD0545" w:rsidP="00FD0545">
      <w:pPr>
        <w:jc w:val="both"/>
        <w:rPr>
          <w:rFonts w:eastAsia="Calibri"/>
          <w:sz w:val="22"/>
          <w:szCs w:val="22"/>
        </w:rPr>
      </w:pPr>
      <w:r w:rsidRPr="00E13CE5">
        <w:rPr>
          <w:rFonts w:eastAsia="Calibri"/>
          <w:sz w:val="22"/>
          <w:szCs w:val="22"/>
        </w:rPr>
        <w:t xml:space="preserve">(4) Ha az oktató vagy kutató értékelésének </w:t>
      </w:r>
      <w:proofErr w:type="spellStart"/>
      <w:r w:rsidRPr="00E13CE5">
        <w:rPr>
          <w:rFonts w:eastAsia="Calibri"/>
          <w:sz w:val="22"/>
          <w:szCs w:val="22"/>
        </w:rPr>
        <w:t>összpontszáma</w:t>
      </w:r>
      <w:proofErr w:type="spellEnd"/>
      <w:r w:rsidRPr="00E13CE5">
        <w:rPr>
          <w:rFonts w:eastAsia="Calibri"/>
          <w:sz w:val="22"/>
          <w:szCs w:val="22"/>
        </w:rPr>
        <w:t xml:space="preserve"> a két egymást követő évben nem éri el az általa betöltött beosztásra vonatkozó </w:t>
      </w:r>
      <w:proofErr w:type="gramStart"/>
      <w:r w:rsidRPr="00E13CE5">
        <w:rPr>
          <w:rFonts w:eastAsia="Calibri"/>
          <w:sz w:val="22"/>
          <w:szCs w:val="22"/>
        </w:rPr>
        <w:t>minimális</w:t>
      </w:r>
      <w:proofErr w:type="gramEnd"/>
      <w:r w:rsidRPr="00E13CE5">
        <w:rPr>
          <w:rFonts w:eastAsia="Calibri"/>
          <w:sz w:val="22"/>
          <w:szCs w:val="22"/>
        </w:rPr>
        <w:t xml:space="preserve"> pontszámot, akkor az adott oktató szakmai előmenetelével kapcsolatban a munkahelyi vezető vizsgálati eljárást kezdeményezhet a dékán bevonásával. Az értékeléssel kapcsolatos esetleges viták eldöntésére a Kar dékánja jogosult. </w:t>
      </w:r>
    </w:p>
    <w:p w14:paraId="3626EBF2" w14:textId="77777777" w:rsidR="00FD0545" w:rsidRPr="00E13CE5" w:rsidRDefault="00FD0545" w:rsidP="00FD0545">
      <w:pPr>
        <w:jc w:val="both"/>
        <w:rPr>
          <w:rFonts w:eastAsia="Calibri"/>
          <w:sz w:val="22"/>
          <w:szCs w:val="22"/>
        </w:rPr>
      </w:pPr>
    </w:p>
    <w:p w14:paraId="0E36817A" w14:textId="77777777" w:rsidR="00FD0545" w:rsidRPr="00E13CE5" w:rsidRDefault="00FD0545" w:rsidP="00FD0545">
      <w:pPr>
        <w:jc w:val="both"/>
        <w:rPr>
          <w:rFonts w:eastAsia="Calibri"/>
          <w:sz w:val="22"/>
          <w:szCs w:val="22"/>
        </w:rPr>
      </w:pPr>
      <w:r w:rsidRPr="00E13CE5">
        <w:rPr>
          <w:rFonts w:eastAsia="Calibri"/>
          <w:sz w:val="22"/>
          <w:szCs w:val="22"/>
        </w:rPr>
        <w:t>(5) Felmentéssel szüntethető meg a közalkalmazotti jogviszony, ha a közalkalmazott minősítése</w:t>
      </w:r>
      <w:r w:rsidRPr="00E13CE5">
        <w:rPr>
          <w:rFonts w:eastAsia="Calibri"/>
          <w:b/>
          <w:i/>
          <w:sz w:val="22"/>
          <w:szCs w:val="22"/>
        </w:rPr>
        <w:t xml:space="preserve"> </w:t>
      </w:r>
      <w:r w:rsidRPr="00E13CE5">
        <w:rPr>
          <w:rFonts w:eastAsia="Calibri"/>
          <w:sz w:val="22"/>
          <w:szCs w:val="22"/>
        </w:rPr>
        <w:t>három egymást követő tanévben alkalmatlan.</w:t>
      </w:r>
    </w:p>
    <w:p w14:paraId="5C11E1A3" w14:textId="77777777" w:rsidR="00FD0545" w:rsidRDefault="00FD0545" w:rsidP="00FD0545">
      <w:pPr>
        <w:jc w:val="both"/>
        <w:rPr>
          <w:rFonts w:eastAsia="Calibri"/>
          <w:sz w:val="22"/>
          <w:szCs w:val="22"/>
        </w:rPr>
      </w:pPr>
    </w:p>
    <w:p w14:paraId="350A0C86" w14:textId="77777777" w:rsidR="00FD0545" w:rsidRDefault="00FD0545" w:rsidP="00FD0545">
      <w:pPr>
        <w:jc w:val="both"/>
        <w:rPr>
          <w:rFonts w:eastAsia="Calibri"/>
          <w:sz w:val="22"/>
          <w:szCs w:val="22"/>
        </w:rPr>
      </w:pPr>
    </w:p>
    <w:p w14:paraId="5D8F3024" w14:textId="77777777" w:rsidR="00FD0545" w:rsidRPr="00E13CE5" w:rsidRDefault="00FD0545" w:rsidP="00FD0545">
      <w:pPr>
        <w:jc w:val="both"/>
        <w:rPr>
          <w:rFonts w:eastAsia="Calibri"/>
          <w:sz w:val="22"/>
          <w:szCs w:val="22"/>
        </w:rPr>
      </w:pPr>
    </w:p>
    <w:p w14:paraId="5936CF82" w14:textId="77777777" w:rsidR="00FD0545" w:rsidRPr="00E13CE5" w:rsidRDefault="00FD0545" w:rsidP="00FD0545">
      <w:pPr>
        <w:contextualSpacing/>
        <w:jc w:val="center"/>
        <w:rPr>
          <w:rFonts w:eastAsia="Calibri"/>
          <w:b/>
          <w:sz w:val="22"/>
          <w:szCs w:val="22"/>
        </w:rPr>
      </w:pPr>
      <w:r w:rsidRPr="00E13CE5">
        <w:rPr>
          <w:rFonts w:eastAsia="Calibri"/>
          <w:b/>
          <w:sz w:val="22"/>
          <w:szCs w:val="22"/>
        </w:rPr>
        <w:t>Záró és hatályba léptető rendelkezések</w:t>
      </w:r>
    </w:p>
    <w:p w14:paraId="26C3A6CA" w14:textId="77777777" w:rsidR="00FD0545" w:rsidRPr="00E13CE5" w:rsidRDefault="00FD0545" w:rsidP="00FD0545">
      <w:pPr>
        <w:contextualSpacing/>
        <w:jc w:val="center"/>
        <w:rPr>
          <w:rFonts w:eastAsia="Calibri"/>
          <w:sz w:val="22"/>
          <w:szCs w:val="22"/>
        </w:rPr>
      </w:pPr>
    </w:p>
    <w:p w14:paraId="3AE250D3" w14:textId="77777777" w:rsidR="00FD0545" w:rsidRPr="00E13CE5" w:rsidRDefault="00FD0545" w:rsidP="00FD0545">
      <w:pPr>
        <w:contextualSpacing/>
        <w:jc w:val="both"/>
        <w:rPr>
          <w:rFonts w:eastAsia="Calibri"/>
          <w:sz w:val="22"/>
          <w:szCs w:val="22"/>
        </w:rPr>
      </w:pPr>
      <w:r w:rsidRPr="00E13CE5">
        <w:rPr>
          <w:rFonts w:eastAsia="Calibri"/>
          <w:b/>
          <w:sz w:val="22"/>
          <w:szCs w:val="22"/>
        </w:rPr>
        <w:t>12. §</w:t>
      </w:r>
      <w:r w:rsidRPr="00E13CE5">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17438665" w14:textId="77777777" w:rsidR="00FD0545" w:rsidRPr="00E13CE5" w:rsidRDefault="00FD0545" w:rsidP="00FD0545">
      <w:pPr>
        <w:contextualSpacing/>
        <w:jc w:val="both"/>
        <w:rPr>
          <w:rFonts w:eastAsia="Calibri"/>
          <w:sz w:val="22"/>
          <w:szCs w:val="22"/>
        </w:rPr>
      </w:pPr>
    </w:p>
    <w:p w14:paraId="14879F12"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a Kar dékáni utasításban rendelkezhet. </w:t>
      </w:r>
    </w:p>
    <w:p w14:paraId="31EE28DE" w14:textId="77777777" w:rsidR="00FD0545" w:rsidRPr="00E13CE5" w:rsidRDefault="00FD0545" w:rsidP="00FD0545">
      <w:pPr>
        <w:rPr>
          <w:rFonts w:eastAsia="Calibri"/>
          <w:b/>
          <w:sz w:val="22"/>
          <w:szCs w:val="22"/>
          <w:u w:val="single"/>
        </w:rPr>
      </w:pPr>
    </w:p>
    <w:p w14:paraId="18A29063" w14:textId="77777777" w:rsidR="00FD0545" w:rsidRPr="00E13CE5" w:rsidRDefault="00FD0545" w:rsidP="00FD0545">
      <w:pPr>
        <w:pStyle w:val="Cmsor1"/>
        <w:rPr>
          <w:rFonts w:eastAsia="Calibri"/>
        </w:rPr>
      </w:pPr>
      <w:r w:rsidRPr="00E13CE5">
        <w:br w:type="page"/>
      </w:r>
      <w:bookmarkStart w:id="364" w:name="_Toc21961972"/>
      <w:bookmarkStart w:id="365" w:name="_Toc58569580"/>
      <w:r w:rsidRPr="00E13CE5">
        <w:rPr>
          <w:rFonts w:eastAsia="Calibri"/>
        </w:rPr>
        <w:lastRenderedPageBreak/>
        <w:t>1/6. számú melléklet</w:t>
      </w:r>
      <w:bookmarkEnd w:id="364"/>
      <w:bookmarkEnd w:id="365"/>
    </w:p>
    <w:p w14:paraId="2F89E13C" w14:textId="77777777" w:rsidR="00FD0545" w:rsidRPr="00E13CE5" w:rsidRDefault="00FD0545" w:rsidP="00FD0545">
      <w:pPr>
        <w:pStyle w:val="Cmsor1"/>
        <w:rPr>
          <w:rFonts w:eastAsia="Calibri"/>
        </w:rPr>
      </w:pPr>
      <w:bookmarkStart w:id="366" w:name="_Toc21961973"/>
      <w:bookmarkStart w:id="367" w:name="_Toc58569581"/>
      <w:r w:rsidRPr="00E13CE5">
        <w:rPr>
          <w:rFonts w:eastAsia="Calibri"/>
        </w:rPr>
        <w:t>A Pécsi Tudományegyetem Közgazdaságtudományi Karának</w:t>
      </w:r>
      <w:r>
        <w:rPr>
          <w:rFonts w:eastAsia="Calibri"/>
        </w:rPr>
        <w:t xml:space="preserve"> </w:t>
      </w:r>
      <w:r w:rsidRPr="00E13CE5">
        <w:rPr>
          <w:rFonts w:eastAsia="Calibri"/>
        </w:rPr>
        <w:t>Teljesítményértékelési Szabályzata</w:t>
      </w:r>
      <w:bookmarkEnd w:id="366"/>
      <w:r w:rsidR="00934AB0">
        <w:rPr>
          <w:rStyle w:val="Lbjegyzet-hivatkozs"/>
          <w:rFonts w:eastAsia="Calibri"/>
        </w:rPr>
        <w:footnoteReference w:id="473"/>
      </w:r>
      <w:bookmarkEnd w:id="367"/>
    </w:p>
    <w:p w14:paraId="57928846" w14:textId="77777777" w:rsidR="00FD0545" w:rsidRPr="00E13CE5" w:rsidRDefault="00FD0545" w:rsidP="00FD0545">
      <w:pPr>
        <w:contextualSpacing/>
        <w:rPr>
          <w:rFonts w:eastAsia="Calibri"/>
          <w:sz w:val="22"/>
          <w:szCs w:val="22"/>
        </w:rPr>
      </w:pPr>
    </w:p>
    <w:p w14:paraId="2B82B83A" w14:textId="77777777" w:rsidR="00934AB0" w:rsidRPr="00B93DFE" w:rsidRDefault="00934AB0" w:rsidP="00934AB0">
      <w:pPr>
        <w:jc w:val="center"/>
        <w:rPr>
          <w:rFonts w:eastAsia="Calibri"/>
          <w:b/>
          <w:sz w:val="22"/>
          <w:szCs w:val="22"/>
        </w:rPr>
      </w:pPr>
      <w:r w:rsidRPr="00B93DFE">
        <w:rPr>
          <w:rFonts w:eastAsia="Calibri"/>
          <w:b/>
          <w:sz w:val="22"/>
          <w:szCs w:val="22"/>
        </w:rPr>
        <w:t>A szabályzat személyi hatálya</w:t>
      </w:r>
    </w:p>
    <w:p w14:paraId="50E257E5" w14:textId="77777777" w:rsidR="00934AB0" w:rsidRPr="00B93DFE" w:rsidRDefault="00934AB0" w:rsidP="00934AB0">
      <w:pPr>
        <w:rPr>
          <w:rFonts w:eastAsia="Calibri"/>
          <w:sz w:val="22"/>
          <w:szCs w:val="22"/>
        </w:rPr>
      </w:pPr>
    </w:p>
    <w:p w14:paraId="1652C955" w14:textId="77777777" w:rsidR="00934AB0" w:rsidRPr="00B93DFE" w:rsidRDefault="00934AB0" w:rsidP="00934AB0">
      <w:pPr>
        <w:jc w:val="both"/>
        <w:rPr>
          <w:rFonts w:eastAsia="Calibri"/>
          <w:sz w:val="22"/>
          <w:szCs w:val="22"/>
        </w:rPr>
      </w:pPr>
      <w:r w:rsidRPr="00B93DFE">
        <w:rPr>
          <w:rFonts w:eastAsia="Calibri"/>
          <w:b/>
          <w:sz w:val="22"/>
          <w:szCs w:val="22"/>
        </w:rPr>
        <w:t>1. §</w:t>
      </w:r>
      <w:r w:rsidRPr="00B93DFE">
        <w:rPr>
          <w:rFonts w:eastAsia="Calibri"/>
          <w:sz w:val="22"/>
          <w:szCs w:val="22"/>
        </w:rPr>
        <w:t xml:space="preserve"> (1) A teljesítményértékelési rendszert (továbbiakban: TÉR) meghatározó jelen szabályzat (továbbiakban: Szabályzat) hatálya kiterjed a KTK munkaügyi állományába sorolt teljes- és részmunkaidős; határozott-, vagy határozatlan időre szóló munkaviszonnyal rendelkező közalkalmazotti jogviszonyban álló oktatóra kiterjed, beleértve ebbe a mestertanárokat, mesteroktatókat és nyelvtanárokat. </w:t>
      </w:r>
      <w:r w:rsidRPr="00B93DFE">
        <w:rPr>
          <w:sz w:val="22"/>
          <w:szCs w:val="22"/>
        </w:rPr>
        <w:t xml:space="preserve">A kari állományban lévő kutatók teljesítményértékelését – akik foglalkoztatása az </w:t>
      </w:r>
      <w:proofErr w:type="spellStart"/>
      <w:r w:rsidRPr="00B93DFE">
        <w:rPr>
          <w:sz w:val="22"/>
          <w:szCs w:val="22"/>
        </w:rPr>
        <w:t>intézetektől</w:t>
      </w:r>
      <w:proofErr w:type="spellEnd"/>
      <w:r w:rsidRPr="00B93DFE">
        <w:rPr>
          <w:sz w:val="22"/>
          <w:szCs w:val="22"/>
        </w:rPr>
        <w:t xml:space="preserve"> elkülönülő szervezeti egységben, a Gazdaságtudományi Kiválósági Központban (GKK) valósul meg – külön eljárásrend szabályozza.</w:t>
      </w:r>
    </w:p>
    <w:p w14:paraId="01026CE4" w14:textId="77777777" w:rsidR="00934AB0" w:rsidRPr="00B93DFE" w:rsidRDefault="00934AB0" w:rsidP="00934AB0">
      <w:pPr>
        <w:jc w:val="both"/>
        <w:rPr>
          <w:rFonts w:eastAsia="Calibri"/>
          <w:sz w:val="22"/>
          <w:szCs w:val="22"/>
        </w:rPr>
      </w:pPr>
    </w:p>
    <w:p w14:paraId="55182458" w14:textId="77777777" w:rsidR="00934AB0" w:rsidRPr="00B93DFE" w:rsidRDefault="00934AB0" w:rsidP="00934AB0">
      <w:pPr>
        <w:jc w:val="both"/>
        <w:rPr>
          <w:rFonts w:eastAsia="Calibri"/>
          <w:sz w:val="22"/>
          <w:szCs w:val="22"/>
        </w:rPr>
      </w:pPr>
      <w:r w:rsidRPr="00B93DFE">
        <w:rPr>
          <w:rFonts w:eastAsia="Calibri"/>
          <w:sz w:val="22"/>
          <w:szCs w:val="22"/>
        </w:rPr>
        <w:t xml:space="preserve">(2) A szabályzat értelmében a tanársegédek és mestertanárok illetve nyelvtanárok, valamint az adjunktusok és mesteroktatók azonos </w:t>
      </w:r>
      <w:proofErr w:type="gramStart"/>
      <w:r w:rsidRPr="00B93DFE">
        <w:rPr>
          <w:rFonts w:eastAsia="Calibri"/>
          <w:sz w:val="22"/>
          <w:szCs w:val="22"/>
        </w:rPr>
        <w:t>kategóriának</w:t>
      </w:r>
      <w:proofErr w:type="gramEnd"/>
      <w:r w:rsidRPr="00B93DFE">
        <w:rPr>
          <w:rFonts w:eastAsia="Calibri"/>
          <w:sz w:val="22"/>
          <w:szCs w:val="22"/>
        </w:rPr>
        <w:t xml:space="preserve"> tekintendők. </w:t>
      </w:r>
    </w:p>
    <w:p w14:paraId="1A3722AF" w14:textId="77777777" w:rsidR="00934AB0" w:rsidRPr="00B93DFE" w:rsidRDefault="00934AB0" w:rsidP="00934AB0">
      <w:pPr>
        <w:jc w:val="both"/>
        <w:rPr>
          <w:rFonts w:eastAsia="Calibri"/>
          <w:sz w:val="22"/>
          <w:szCs w:val="22"/>
        </w:rPr>
      </w:pPr>
    </w:p>
    <w:p w14:paraId="503A42EE" w14:textId="77777777" w:rsidR="00934AB0" w:rsidRPr="00B93DFE" w:rsidRDefault="00934AB0" w:rsidP="00934AB0">
      <w:pPr>
        <w:jc w:val="both"/>
        <w:rPr>
          <w:rFonts w:eastAsia="Calibri"/>
          <w:sz w:val="22"/>
          <w:szCs w:val="22"/>
        </w:rPr>
      </w:pPr>
      <w:r w:rsidRPr="00B93DFE">
        <w:rPr>
          <w:rFonts w:eastAsia="Calibri"/>
          <w:b/>
          <w:sz w:val="22"/>
          <w:szCs w:val="22"/>
        </w:rPr>
        <w:t xml:space="preserve">2. </w:t>
      </w:r>
      <w:r w:rsidRPr="00B93DFE">
        <w:rPr>
          <w:rFonts w:eastAsia="Calibri"/>
          <w:sz w:val="22"/>
          <w:szCs w:val="22"/>
        </w:rPr>
        <w:t xml:space="preserve">§ (1) Az oktatók teljesítményének mérése egy mennyiségi és minőségi paramétereket egyaránt tartalmazó pontszámrendszer alapján történik, amely a tevékenységek intézményi szintű hasznosságának súlyozásával készült. </w:t>
      </w:r>
    </w:p>
    <w:p w14:paraId="66267681" w14:textId="77777777" w:rsidR="00934AB0" w:rsidRPr="00B93DFE" w:rsidRDefault="00934AB0" w:rsidP="00934AB0">
      <w:pPr>
        <w:jc w:val="both"/>
        <w:rPr>
          <w:rFonts w:eastAsia="Calibri"/>
          <w:sz w:val="22"/>
          <w:szCs w:val="22"/>
        </w:rPr>
      </w:pPr>
    </w:p>
    <w:p w14:paraId="6C9D2F18" w14:textId="77777777" w:rsidR="00934AB0" w:rsidRPr="00B93DFE" w:rsidRDefault="00934AB0" w:rsidP="00934AB0">
      <w:pPr>
        <w:jc w:val="both"/>
        <w:rPr>
          <w:rFonts w:eastAsia="Calibri"/>
          <w:sz w:val="22"/>
          <w:szCs w:val="22"/>
        </w:rPr>
      </w:pPr>
      <w:r w:rsidRPr="00B93DFE">
        <w:rPr>
          <w:rFonts w:eastAsia="Calibri"/>
          <w:sz w:val="22"/>
          <w:szCs w:val="22"/>
        </w:rPr>
        <w:t>(2) A TÉR a teljesítményeket négy alapvető tevékenység vonatkozásában méri:</w:t>
      </w:r>
    </w:p>
    <w:p w14:paraId="65248BB3" w14:textId="77777777" w:rsidR="00934AB0" w:rsidRPr="00B93DFE" w:rsidRDefault="00934AB0" w:rsidP="00F83E93">
      <w:pPr>
        <w:numPr>
          <w:ilvl w:val="0"/>
          <w:numId w:val="154"/>
        </w:numPr>
        <w:spacing w:after="200" w:line="276" w:lineRule="auto"/>
        <w:contextualSpacing/>
        <w:jc w:val="both"/>
        <w:rPr>
          <w:rFonts w:eastAsia="Calibri"/>
          <w:sz w:val="22"/>
          <w:szCs w:val="22"/>
        </w:rPr>
      </w:pPr>
      <w:r w:rsidRPr="00B93DFE">
        <w:rPr>
          <w:rFonts w:eastAsia="Calibri"/>
          <w:sz w:val="22"/>
          <w:szCs w:val="22"/>
        </w:rPr>
        <w:t>Oktatási tevékenység,</w:t>
      </w:r>
    </w:p>
    <w:p w14:paraId="46104617" w14:textId="77777777" w:rsidR="00934AB0" w:rsidRPr="00B93DFE" w:rsidRDefault="00934AB0" w:rsidP="00F83E93">
      <w:pPr>
        <w:numPr>
          <w:ilvl w:val="0"/>
          <w:numId w:val="154"/>
        </w:numPr>
        <w:spacing w:after="200" w:line="276" w:lineRule="auto"/>
        <w:contextualSpacing/>
        <w:jc w:val="both"/>
        <w:rPr>
          <w:rFonts w:eastAsia="Calibri"/>
          <w:sz w:val="22"/>
          <w:szCs w:val="22"/>
        </w:rPr>
      </w:pPr>
      <w:r w:rsidRPr="00B93DFE">
        <w:rPr>
          <w:rFonts w:eastAsia="Calibri"/>
          <w:sz w:val="22"/>
          <w:szCs w:val="22"/>
        </w:rPr>
        <w:t xml:space="preserve">Intézménymenedzsment- és projekttevékenység, </w:t>
      </w:r>
    </w:p>
    <w:p w14:paraId="795DC80E" w14:textId="77777777" w:rsidR="00934AB0" w:rsidRPr="00B93DFE" w:rsidRDefault="00934AB0" w:rsidP="00F83E93">
      <w:pPr>
        <w:numPr>
          <w:ilvl w:val="0"/>
          <w:numId w:val="154"/>
        </w:numPr>
        <w:spacing w:after="200" w:line="276" w:lineRule="auto"/>
        <w:contextualSpacing/>
        <w:jc w:val="both"/>
        <w:rPr>
          <w:rFonts w:eastAsia="Calibri"/>
          <w:sz w:val="22"/>
          <w:szCs w:val="22"/>
        </w:rPr>
      </w:pPr>
      <w:r w:rsidRPr="00B93DFE">
        <w:rPr>
          <w:rFonts w:eastAsia="Calibri"/>
          <w:sz w:val="22"/>
          <w:szCs w:val="22"/>
        </w:rPr>
        <w:t>Kutatási és tudományszervezési tevékenység.</w:t>
      </w:r>
    </w:p>
    <w:p w14:paraId="1DD0A9EA" w14:textId="77777777" w:rsidR="00934AB0" w:rsidRPr="00B93DFE" w:rsidRDefault="00934AB0" w:rsidP="00F83E93">
      <w:pPr>
        <w:numPr>
          <w:ilvl w:val="0"/>
          <w:numId w:val="154"/>
        </w:numPr>
        <w:spacing w:after="200" w:line="276" w:lineRule="auto"/>
        <w:contextualSpacing/>
        <w:jc w:val="both"/>
        <w:rPr>
          <w:rFonts w:eastAsia="Calibri"/>
          <w:sz w:val="22"/>
          <w:szCs w:val="22"/>
        </w:rPr>
      </w:pPr>
      <w:r w:rsidRPr="00B93DFE">
        <w:rPr>
          <w:rFonts w:eastAsia="Calibri"/>
          <w:sz w:val="22"/>
          <w:szCs w:val="22"/>
        </w:rPr>
        <w:t>Doktori iskolai tevékenység</w:t>
      </w:r>
    </w:p>
    <w:p w14:paraId="69132DFA" w14:textId="77777777" w:rsidR="00934AB0" w:rsidRPr="00B93DFE" w:rsidRDefault="00934AB0" w:rsidP="00934AB0">
      <w:pPr>
        <w:spacing w:after="200" w:line="276" w:lineRule="auto"/>
        <w:ind w:left="720"/>
        <w:contextualSpacing/>
        <w:jc w:val="both"/>
        <w:rPr>
          <w:rFonts w:eastAsia="Calibri"/>
          <w:sz w:val="22"/>
          <w:szCs w:val="22"/>
        </w:rPr>
      </w:pPr>
    </w:p>
    <w:p w14:paraId="1FD7C3F6" w14:textId="77777777" w:rsidR="00934AB0" w:rsidRPr="00B93DFE" w:rsidRDefault="00934AB0" w:rsidP="00934AB0">
      <w:pPr>
        <w:jc w:val="both"/>
        <w:rPr>
          <w:rFonts w:eastAsia="Calibri"/>
          <w:sz w:val="22"/>
          <w:szCs w:val="22"/>
        </w:rPr>
      </w:pPr>
      <w:r w:rsidRPr="00B93DFE">
        <w:rPr>
          <w:rFonts w:eastAsia="Calibri"/>
          <w:sz w:val="22"/>
          <w:szCs w:val="22"/>
        </w:rPr>
        <w:t xml:space="preserve">(3) Ezt követi az egyéni szintű összesített pontszám </w:t>
      </w:r>
      <w:r w:rsidRPr="00B93DFE">
        <w:rPr>
          <w:sz w:val="22"/>
          <w:szCs w:val="22"/>
        </w:rPr>
        <w:t xml:space="preserve">meghatározása és – az adott oktatói </w:t>
      </w:r>
      <w:proofErr w:type="gramStart"/>
      <w:r w:rsidRPr="00B93DFE">
        <w:rPr>
          <w:sz w:val="22"/>
          <w:szCs w:val="22"/>
        </w:rPr>
        <w:t>kategóriában</w:t>
      </w:r>
      <w:proofErr w:type="gramEnd"/>
      <w:r w:rsidRPr="00B93DFE">
        <w:rPr>
          <w:sz w:val="22"/>
          <w:szCs w:val="22"/>
        </w:rPr>
        <w:t xml:space="preserve"> meghatározott minimálisan elvárt pontszámmal való összehasonlítás révén történő –</w:t>
      </w:r>
      <w:r>
        <w:rPr>
          <w:sz w:val="22"/>
          <w:szCs w:val="22"/>
        </w:rPr>
        <w:t xml:space="preserve"> </w:t>
      </w:r>
      <w:r w:rsidRPr="00B93DFE">
        <w:rPr>
          <w:rFonts w:eastAsia="Calibri"/>
          <w:sz w:val="22"/>
          <w:szCs w:val="22"/>
        </w:rPr>
        <w:t>minősítése</w:t>
      </w:r>
      <w:r w:rsidRPr="00B93DFE">
        <w:rPr>
          <w:sz w:val="22"/>
          <w:szCs w:val="22"/>
        </w:rPr>
        <w:t>, melyen belül elkülönítve kerül kimutatásra a doktori iskolai tevékenység</w:t>
      </w:r>
      <w:r w:rsidRPr="00B93DFE">
        <w:rPr>
          <w:rFonts w:eastAsia="Calibri"/>
          <w:sz w:val="22"/>
          <w:szCs w:val="22"/>
        </w:rPr>
        <w:t>.</w:t>
      </w:r>
    </w:p>
    <w:p w14:paraId="33857CAD" w14:textId="77777777" w:rsidR="00934AB0" w:rsidRPr="00B93DFE" w:rsidRDefault="00934AB0" w:rsidP="00934AB0">
      <w:pPr>
        <w:jc w:val="both"/>
        <w:rPr>
          <w:rFonts w:eastAsia="Calibri"/>
          <w:b/>
          <w:sz w:val="22"/>
          <w:szCs w:val="22"/>
        </w:rPr>
      </w:pPr>
    </w:p>
    <w:p w14:paraId="230CB731" w14:textId="77777777" w:rsidR="00934AB0" w:rsidRPr="00B93DFE" w:rsidRDefault="00934AB0" w:rsidP="00934AB0">
      <w:pPr>
        <w:ind w:firstLine="708"/>
        <w:jc w:val="center"/>
        <w:rPr>
          <w:rFonts w:eastAsia="Calibri"/>
          <w:b/>
          <w:sz w:val="22"/>
          <w:szCs w:val="22"/>
        </w:rPr>
      </w:pPr>
      <w:r w:rsidRPr="00B93DFE">
        <w:rPr>
          <w:rFonts w:eastAsia="Calibri"/>
          <w:b/>
          <w:sz w:val="22"/>
          <w:szCs w:val="22"/>
        </w:rPr>
        <w:t>Az oktatási tevékenység mérési rendszere</w:t>
      </w:r>
    </w:p>
    <w:p w14:paraId="39DC8B13" w14:textId="77777777" w:rsidR="00934AB0" w:rsidRPr="00B93DFE" w:rsidRDefault="00934AB0" w:rsidP="00934AB0">
      <w:pPr>
        <w:spacing w:before="240"/>
        <w:jc w:val="both"/>
        <w:rPr>
          <w:rFonts w:eastAsia="Calibri"/>
          <w:sz w:val="22"/>
          <w:szCs w:val="22"/>
        </w:rPr>
      </w:pPr>
      <w:r w:rsidRPr="00B93DFE">
        <w:rPr>
          <w:rFonts w:eastAsia="Calibri"/>
          <w:b/>
          <w:sz w:val="22"/>
          <w:szCs w:val="22"/>
        </w:rPr>
        <w:t>3. §</w:t>
      </w:r>
      <w:r w:rsidRPr="00B93DFE">
        <w:rPr>
          <w:rFonts w:eastAsia="Calibri"/>
          <w:sz w:val="22"/>
          <w:szCs w:val="22"/>
        </w:rPr>
        <w:t xml:space="preserve"> (1) A méréshez szükséges </w:t>
      </w:r>
      <w:proofErr w:type="gramStart"/>
      <w:r w:rsidRPr="00B93DFE">
        <w:rPr>
          <w:rFonts w:eastAsia="Calibri"/>
          <w:sz w:val="22"/>
          <w:szCs w:val="22"/>
        </w:rPr>
        <w:t>információk</w:t>
      </w:r>
      <w:proofErr w:type="gramEnd"/>
      <w:r w:rsidRPr="00B93DFE">
        <w:rPr>
          <w:rFonts w:eastAsia="Calibri"/>
          <w:sz w:val="22"/>
          <w:szCs w:val="22"/>
        </w:rPr>
        <w:t xml:space="preserve"> az elektronikus tanulmányi rendszerből (jelenleg: NEPTUN) és a közalkalmazottak státusz-jelentéseiből származnak. </w:t>
      </w:r>
    </w:p>
    <w:p w14:paraId="5CD01B30" w14:textId="77777777" w:rsidR="00934AB0" w:rsidRPr="00B93DFE" w:rsidRDefault="00934AB0" w:rsidP="00934AB0">
      <w:pPr>
        <w:spacing w:before="240"/>
        <w:jc w:val="both"/>
        <w:rPr>
          <w:rFonts w:eastAsia="Calibri"/>
          <w:sz w:val="22"/>
          <w:szCs w:val="22"/>
        </w:rPr>
      </w:pPr>
      <w:r w:rsidRPr="00B93DFE">
        <w:rPr>
          <w:rFonts w:eastAsia="Calibri"/>
          <w:sz w:val="22"/>
          <w:szCs w:val="22"/>
        </w:rPr>
        <w:t>(2) Az oktatási tevékenységet az alábbi két részre bontva kell figyelembe venni:</w:t>
      </w:r>
    </w:p>
    <w:p w14:paraId="36AFDEA0" w14:textId="77777777" w:rsidR="00934AB0" w:rsidRDefault="00934AB0" w:rsidP="00934AB0">
      <w:pPr>
        <w:rPr>
          <w:sz w:val="22"/>
          <w:szCs w:val="22"/>
        </w:rPr>
      </w:pPr>
    </w:p>
    <w:p w14:paraId="13FC5FF8" w14:textId="77777777" w:rsidR="00934AB0" w:rsidRDefault="00934AB0" w:rsidP="00934AB0">
      <w:pPr>
        <w:rPr>
          <w:sz w:val="22"/>
          <w:szCs w:val="22"/>
        </w:rPr>
      </w:pPr>
      <w:r w:rsidRPr="00B93DFE">
        <w:rPr>
          <w:sz w:val="22"/>
          <w:szCs w:val="22"/>
        </w:rPr>
        <w:t>1. Óratartás és vizsgáztatás</w:t>
      </w:r>
    </w:p>
    <w:p w14:paraId="53FA5747" w14:textId="77777777" w:rsidR="00934AB0" w:rsidRDefault="00934AB0" w:rsidP="00934AB0">
      <w:pPr>
        <w:rPr>
          <w:sz w:val="22"/>
          <w:szCs w:val="22"/>
        </w:rPr>
      </w:pPr>
    </w:p>
    <w:p w14:paraId="45F322BF" w14:textId="77777777" w:rsidR="00934AB0" w:rsidRPr="00B93DFE" w:rsidRDefault="00934AB0" w:rsidP="00934AB0">
      <w:pPr>
        <w:rPr>
          <w:sz w:val="22"/>
          <w:szCs w:val="22"/>
        </w:rPr>
      </w:pPr>
      <w:r w:rsidRPr="00B93DFE">
        <w:rPr>
          <w:sz w:val="22"/>
          <w:szCs w:val="22"/>
        </w:rPr>
        <w:t xml:space="preserve">1.1. A kontakt-órákat teljesítménypontokká </w:t>
      </w:r>
      <w:proofErr w:type="gramStart"/>
      <w:r w:rsidRPr="00B93DFE">
        <w:rPr>
          <w:sz w:val="22"/>
          <w:szCs w:val="22"/>
        </w:rPr>
        <w:t>konvertáló</w:t>
      </w:r>
      <w:proofErr w:type="gramEnd"/>
      <w:r w:rsidRPr="00B93DFE">
        <w:rPr>
          <w:sz w:val="22"/>
          <w:szCs w:val="22"/>
        </w:rPr>
        <w:t xml:space="preserve"> rendszer alaptáblái a következők:</w:t>
      </w:r>
    </w:p>
    <w:p w14:paraId="1B88DF11" w14:textId="77777777" w:rsidR="00934AB0" w:rsidRDefault="00934AB0" w:rsidP="00934AB0">
      <w:pPr>
        <w:rPr>
          <w:rFonts w:cs="Arial"/>
          <w:b/>
          <w:bCs/>
          <w:sz w:val="22"/>
          <w:szCs w:val="22"/>
        </w:rPr>
      </w:pPr>
    </w:p>
    <w:p w14:paraId="6CE2554E" w14:textId="77777777" w:rsidR="00934AB0" w:rsidRPr="00B93DFE" w:rsidRDefault="00934AB0" w:rsidP="00934AB0">
      <w:pPr>
        <w:keepNext/>
        <w:tabs>
          <w:tab w:val="left" w:pos="3355"/>
          <w:tab w:val="left" w:pos="4040"/>
          <w:tab w:val="left" w:pos="5000"/>
        </w:tabs>
        <w:ind w:left="360"/>
        <w:jc w:val="center"/>
        <w:rPr>
          <w:rFonts w:cs="Arial"/>
          <w:b/>
          <w:bCs/>
          <w:sz w:val="22"/>
          <w:szCs w:val="22"/>
        </w:rPr>
      </w:pPr>
      <w:r w:rsidRPr="00B93DFE">
        <w:rPr>
          <w:rFonts w:cs="Arial"/>
          <w:b/>
          <w:bCs/>
          <w:sz w:val="22"/>
          <w:szCs w:val="22"/>
        </w:rPr>
        <w:t>1. sz. táblázat: Létszámfüggő kontakt óratartás (Pont/Kontakt óra)</w:t>
      </w:r>
    </w:p>
    <w:tbl>
      <w:tblPr>
        <w:tblW w:w="8637" w:type="dxa"/>
        <w:jc w:val="center"/>
        <w:tblCellMar>
          <w:left w:w="70" w:type="dxa"/>
          <w:right w:w="70" w:type="dxa"/>
        </w:tblCellMar>
        <w:tblLook w:val="04A0" w:firstRow="1" w:lastRow="0" w:firstColumn="1" w:lastColumn="0" w:noHBand="0" w:noVBand="1"/>
      </w:tblPr>
      <w:tblGrid>
        <w:gridCol w:w="3345"/>
        <w:gridCol w:w="619"/>
        <w:gridCol w:w="704"/>
        <w:gridCol w:w="709"/>
        <w:gridCol w:w="709"/>
        <w:gridCol w:w="850"/>
        <w:gridCol w:w="851"/>
        <w:gridCol w:w="850"/>
      </w:tblGrid>
      <w:tr w:rsidR="00934AB0" w:rsidRPr="00B93DFE" w14:paraId="338CE339" w14:textId="77777777" w:rsidTr="005E14B0">
        <w:trPr>
          <w:trHeight w:val="300"/>
          <w:jc w:val="center"/>
        </w:trPr>
        <w:tc>
          <w:tcPr>
            <w:tcW w:w="3345" w:type="dxa"/>
            <w:vMerge w:val="restart"/>
            <w:tcBorders>
              <w:top w:val="single" w:sz="4" w:space="0" w:color="auto"/>
              <w:left w:val="single" w:sz="4" w:space="0" w:color="auto"/>
              <w:bottom w:val="single" w:sz="8" w:space="0" w:color="000000"/>
              <w:right w:val="single" w:sz="8" w:space="0" w:color="auto"/>
            </w:tcBorders>
            <w:shd w:val="clear" w:color="000000" w:fill="D0CECE"/>
            <w:vAlign w:val="center"/>
            <w:hideMark/>
          </w:tcPr>
          <w:p w14:paraId="41EF9223" w14:textId="77777777" w:rsidR="00934AB0" w:rsidRPr="00B93DFE" w:rsidRDefault="00934AB0" w:rsidP="005E14B0">
            <w:pPr>
              <w:jc w:val="center"/>
              <w:rPr>
                <w:rFonts w:cs="Calibri"/>
                <w:b/>
                <w:bCs/>
                <w:sz w:val="20"/>
                <w:szCs w:val="20"/>
              </w:rPr>
            </w:pPr>
            <w:r w:rsidRPr="00B93DFE">
              <w:rPr>
                <w:rFonts w:cs="Calibri"/>
                <w:b/>
                <w:bCs/>
                <w:sz w:val="20"/>
                <w:szCs w:val="20"/>
              </w:rPr>
              <w:t>Pont/Kontakt óra</w:t>
            </w:r>
          </w:p>
        </w:tc>
        <w:tc>
          <w:tcPr>
            <w:tcW w:w="5292" w:type="dxa"/>
            <w:gridSpan w:val="7"/>
            <w:tcBorders>
              <w:top w:val="single" w:sz="4" w:space="0" w:color="auto"/>
              <w:left w:val="nil"/>
              <w:bottom w:val="single" w:sz="8" w:space="0" w:color="auto"/>
              <w:right w:val="single" w:sz="4" w:space="0" w:color="auto"/>
            </w:tcBorders>
            <w:shd w:val="clear" w:color="000000" w:fill="D0CECE"/>
            <w:vAlign w:val="center"/>
            <w:hideMark/>
          </w:tcPr>
          <w:p w14:paraId="1EC62BD9" w14:textId="77777777" w:rsidR="00934AB0" w:rsidRPr="00B93DFE" w:rsidRDefault="00934AB0" w:rsidP="005E14B0">
            <w:pPr>
              <w:jc w:val="center"/>
              <w:rPr>
                <w:rFonts w:cs="Calibri"/>
                <w:b/>
                <w:bCs/>
                <w:sz w:val="20"/>
                <w:szCs w:val="20"/>
              </w:rPr>
            </w:pPr>
            <w:r w:rsidRPr="00B93DFE">
              <w:rPr>
                <w:rFonts w:cs="Calibri"/>
                <w:b/>
                <w:bCs/>
                <w:sz w:val="20"/>
                <w:szCs w:val="20"/>
              </w:rPr>
              <w:t>Létszám-kategóriák</w:t>
            </w:r>
          </w:p>
        </w:tc>
      </w:tr>
      <w:tr w:rsidR="00934AB0" w:rsidRPr="00B93DFE" w14:paraId="60E2413A" w14:textId="77777777" w:rsidTr="005E14B0">
        <w:trPr>
          <w:trHeight w:val="300"/>
          <w:jc w:val="center"/>
        </w:trPr>
        <w:tc>
          <w:tcPr>
            <w:tcW w:w="3345" w:type="dxa"/>
            <w:vMerge/>
            <w:tcBorders>
              <w:top w:val="single" w:sz="8" w:space="0" w:color="auto"/>
              <w:left w:val="single" w:sz="4" w:space="0" w:color="auto"/>
              <w:bottom w:val="single" w:sz="8" w:space="0" w:color="000000"/>
              <w:right w:val="single" w:sz="8" w:space="0" w:color="auto"/>
            </w:tcBorders>
            <w:vAlign w:val="center"/>
            <w:hideMark/>
          </w:tcPr>
          <w:p w14:paraId="3EF5CECF" w14:textId="77777777" w:rsidR="00934AB0" w:rsidRPr="00B93DFE" w:rsidRDefault="00934AB0" w:rsidP="005E14B0">
            <w:pPr>
              <w:rPr>
                <w:rFonts w:cs="Calibri"/>
                <w:b/>
                <w:bCs/>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770BB183" w14:textId="77777777" w:rsidR="00934AB0" w:rsidRPr="00B93DFE" w:rsidRDefault="00934AB0" w:rsidP="005E14B0">
            <w:pPr>
              <w:jc w:val="center"/>
              <w:rPr>
                <w:rFonts w:cs="Calibri"/>
                <w:b/>
                <w:bCs/>
                <w:sz w:val="20"/>
                <w:szCs w:val="20"/>
              </w:rPr>
            </w:pPr>
            <w:r w:rsidRPr="00B93DFE">
              <w:rPr>
                <w:rFonts w:cs="Calibri"/>
                <w:b/>
                <w:bCs/>
                <w:sz w:val="20"/>
                <w:szCs w:val="20"/>
              </w:rPr>
              <w:t>0-10</w:t>
            </w:r>
          </w:p>
        </w:tc>
        <w:tc>
          <w:tcPr>
            <w:tcW w:w="704" w:type="dxa"/>
            <w:tcBorders>
              <w:top w:val="nil"/>
              <w:left w:val="nil"/>
              <w:bottom w:val="single" w:sz="8" w:space="0" w:color="auto"/>
              <w:right w:val="single" w:sz="8" w:space="0" w:color="auto"/>
            </w:tcBorders>
            <w:shd w:val="clear" w:color="000000" w:fill="F2F2F2"/>
            <w:vAlign w:val="center"/>
            <w:hideMark/>
          </w:tcPr>
          <w:p w14:paraId="16A5F863" w14:textId="77777777" w:rsidR="00934AB0" w:rsidRPr="00B93DFE" w:rsidRDefault="00934AB0" w:rsidP="005E14B0">
            <w:pPr>
              <w:jc w:val="center"/>
              <w:rPr>
                <w:rFonts w:cs="Calibri"/>
                <w:b/>
                <w:bCs/>
                <w:sz w:val="20"/>
                <w:szCs w:val="20"/>
              </w:rPr>
            </w:pPr>
            <w:r w:rsidRPr="00B93DFE">
              <w:rPr>
                <w:rFonts w:cs="Calibri"/>
                <w:b/>
                <w:bCs/>
                <w:sz w:val="20"/>
                <w:szCs w:val="20"/>
              </w:rPr>
              <w:t>11-30</w:t>
            </w:r>
          </w:p>
        </w:tc>
        <w:tc>
          <w:tcPr>
            <w:tcW w:w="709" w:type="dxa"/>
            <w:tcBorders>
              <w:top w:val="nil"/>
              <w:left w:val="nil"/>
              <w:bottom w:val="single" w:sz="8" w:space="0" w:color="auto"/>
              <w:right w:val="single" w:sz="8" w:space="0" w:color="auto"/>
            </w:tcBorders>
            <w:shd w:val="clear" w:color="000000" w:fill="F2F2F2"/>
            <w:vAlign w:val="center"/>
            <w:hideMark/>
          </w:tcPr>
          <w:p w14:paraId="7836A2F0" w14:textId="77777777" w:rsidR="00934AB0" w:rsidRPr="00B93DFE" w:rsidRDefault="00934AB0" w:rsidP="005E14B0">
            <w:pPr>
              <w:jc w:val="center"/>
              <w:rPr>
                <w:rFonts w:cs="Calibri"/>
                <w:b/>
                <w:bCs/>
                <w:sz w:val="20"/>
                <w:szCs w:val="20"/>
              </w:rPr>
            </w:pPr>
            <w:r w:rsidRPr="00B93DFE">
              <w:rPr>
                <w:rFonts w:cs="Calibri"/>
                <w:b/>
                <w:bCs/>
                <w:sz w:val="20"/>
                <w:szCs w:val="20"/>
              </w:rPr>
              <w:t>31-50</w:t>
            </w:r>
          </w:p>
        </w:tc>
        <w:tc>
          <w:tcPr>
            <w:tcW w:w="709" w:type="dxa"/>
            <w:tcBorders>
              <w:top w:val="nil"/>
              <w:left w:val="nil"/>
              <w:bottom w:val="single" w:sz="8" w:space="0" w:color="auto"/>
              <w:right w:val="single" w:sz="8" w:space="0" w:color="auto"/>
            </w:tcBorders>
            <w:shd w:val="clear" w:color="000000" w:fill="F2F2F2"/>
            <w:vAlign w:val="center"/>
            <w:hideMark/>
          </w:tcPr>
          <w:p w14:paraId="6315BB22" w14:textId="77777777" w:rsidR="00934AB0" w:rsidRPr="00B93DFE" w:rsidRDefault="00934AB0" w:rsidP="005E14B0">
            <w:pPr>
              <w:jc w:val="center"/>
              <w:rPr>
                <w:rFonts w:cs="Calibri"/>
                <w:b/>
                <w:bCs/>
                <w:sz w:val="20"/>
                <w:szCs w:val="20"/>
              </w:rPr>
            </w:pPr>
            <w:r w:rsidRPr="00B93DFE">
              <w:rPr>
                <w:rFonts w:cs="Calibri"/>
                <w:b/>
                <w:bCs/>
                <w:sz w:val="20"/>
                <w:szCs w:val="20"/>
              </w:rPr>
              <w:t>51-100</w:t>
            </w:r>
          </w:p>
        </w:tc>
        <w:tc>
          <w:tcPr>
            <w:tcW w:w="850" w:type="dxa"/>
            <w:tcBorders>
              <w:top w:val="nil"/>
              <w:left w:val="nil"/>
              <w:bottom w:val="single" w:sz="8" w:space="0" w:color="auto"/>
              <w:right w:val="single" w:sz="8" w:space="0" w:color="auto"/>
            </w:tcBorders>
            <w:shd w:val="clear" w:color="000000" w:fill="F2F2F2"/>
            <w:vAlign w:val="center"/>
            <w:hideMark/>
          </w:tcPr>
          <w:p w14:paraId="53B9018F" w14:textId="77777777" w:rsidR="00934AB0" w:rsidRPr="00B93DFE" w:rsidRDefault="00934AB0" w:rsidP="005E14B0">
            <w:pPr>
              <w:jc w:val="center"/>
              <w:rPr>
                <w:rFonts w:cs="Calibri"/>
                <w:b/>
                <w:bCs/>
                <w:sz w:val="20"/>
                <w:szCs w:val="20"/>
              </w:rPr>
            </w:pPr>
            <w:r w:rsidRPr="00B93DFE">
              <w:rPr>
                <w:rFonts w:cs="Calibri"/>
                <w:b/>
                <w:bCs/>
                <w:sz w:val="20"/>
                <w:szCs w:val="20"/>
              </w:rPr>
              <w:t>101-200</w:t>
            </w:r>
          </w:p>
        </w:tc>
        <w:tc>
          <w:tcPr>
            <w:tcW w:w="851" w:type="dxa"/>
            <w:tcBorders>
              <w:top w:val="nil"/>
              <w:left w:val="nil"/>
              <w:bottom w:val="single" w:sz="8" w:space="0" w:color="auto"/>
              <w:right w:val="single" w:sz="8" w:space="0" w:color="auto"/>
            </w:tcBorders>
            <w:shd w:val="clear" w:color="000000" w:fill="F2F2F2"/>
            <w:vAlign w:val="center"/>
            <w:hideMark/>
          </w:tcPr>
          <w:p w14:paraId="7B7DAE9A" w14:textId="77777777" w:rsidR="00934AB0" w:rsidRPr="00B93DFE" w:rsidRDefault="00934AB0" w:rsidP="005E14B0">
            <w:pPr>
              <w:jc w:val="center"/>
              <w:rPr>
                <w:rFonts w:cs="Calibri"/>
                <w:b/>
                <w:bCs/>
                <w:sz w:val="20"/>
                <w:szCs w:val="20"/>
              </w:rPr>
            </w:pPr>
            <w:r w:rsidRPr="00B93DFE">
              <w:rPr>
                <w:rFonts w:cs="Calibri"/>
                <w:b/>
                <w:bCs/>
                <w:sz w:val="20"/>
                <w:szCs w:val="20"/>
              </w:rPr>
              <w:t>201-350</w:t>
            </w:r>
          </w:p>
        </w:tc>
        <w:tc>
          <w:tcPr>
            <w:tcW w:w="850" w:type="dxa"/>
            <w:tcBorders>
              <w:top w:val="nil"/>
              <w:left w:val="nil"/>
              <w:bottom w:val="single" w:sz="8" w:space="0" w:color="auto"/>
              <w:right w:val="single" w:sz="4" w:space="0" w:color="auto"/>
            </w:tcBorders>
            <w:shd w:val="clear" w:color="000000" w:fill="F2F2F2"/>
            <w:vAlign w:val="center"/>
            <w:hideMark/>
          </w:tcPr>
          <w:p w14:paraId="1FA03A1E" w14:textId="77777777" w:rsidR="00934AB0" w:rsidRPr="00B93DFE" w:rsidRDefault="00934AB0" w:rsidP="005E14B0">
            <w:pPr>
              <w:jc w:val="center"/>
              <w:rPr>
                <w:rFonts w:cs="Calibri"/>
                <w:b/>
                <w:bCs/>
                <w:sz w:val="20"/>
                <w:szCs w:val="20"/>
              </w:rPr>
            </w:pPr>
            <w:r w:rsidRPr="00B93DFE">
              <w:rPr>
                <w:rFonts w:cs="Calibri"/>
                <w:b/>
                <w:bCs/>
                <w:sz w:val="20"/>
                <w:szCs w:val="20"/>
              </w:rPr>
              <w:t>351-</w:t>
            </w:r>
          </w:p>
        </w:tc>
      </w:tr>
      <w:tr w:rsidR="00934AB0" w:rsidRPr="00B93DFE" w14:paraId="0B432B96"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000000" w:fill="F2F2F2"/>
            <w:vAlign w:val="center"/>
            <w:hideMark/>
          </w:tcPr>
          <w:p w14:paraId="62ED2DFA" w14:textId="77777777" w:rsidR="00934AB0" w:rsidRPr="00B93DFE" w:rsidRDefault="00934AB0" w:rsidP="005E14B0">
            <w:pPr>
              <w:rPr>
                <w:rFonts w:cs="Calibri"/>
                <w:b/>
                <w:bCs/>
                <w:sz w:val="20"/>
                <w:szCs w:val="20"/>
              </w:rPr>
            </w:pPr>
            <w:r w:rsidRPr="00B93DFE">
              <w:rPr>
                <w:rFonts w:cs="Calibri"/>
                <w:b/>
                <w:bCs/>
                <w:sz w:val="20"/>
                <w:szCs w:val="20"/>
              </w:rPr>
              <w:t>Felsőoktatási szakképzés*</w:t>
            </w:r>
          </w:p>
        </w:tc>
        <w:tc>
          <w:tcPr>
            <w:tcW w:w="619" w:type="dxa"/>
            <w:tcBorders>
              <w:top w:val="nil"/>
              <w:left w:val="nil"/>
              <w:bottom w:val="single" w:sz="8" w:space="0" w:color="auto"/>
              <w:right w:val="single" w:sz="8" w:space="0" w:color="auto"/>
            </w:tcBorders>
            <w:shd w:val="clear" w:color="auto" w:fill="auto"/>
            <w:vAlign w:val="center"/>
            <w:hideMark/>
          </w:tcPr>
          <w:p w14:paraId="4009BCD7" w14:textId="77777777" w:rsidR="00934AB0" w:rsidRPr="00B93DFE" w:rsidRDefault="00934AB0" w:rsidP="005E14B0">
            <w:pPr>
              <w:jc w:val="center"/>
              <w:rPr>
                <w:rFonts w:cs="Calibri"/>
                <w:sz w:val="20"/>
                <w:szCs w:val="20"/>
              </w:rPr>
            </w:pPr>
            <w:r w:rsidRPr="00B93DFE">
              <w:rPr>
                <w:rFonts w:cs="Calibri"/>
                <w:sz w:val="20"/>
                <w:szCs w:val="20"/>
              </w:rPr>
              <w:t>1,50</w:t>
            </w:r>
          </w:p>
        </w:tc>
        <w:tc>
          <w:tcPr>
            <w:tcW w:w="704" w:type="dxa"/>
            <w:tcBorders>
              <w:top w:val="nil"/>
              <w:left w:val="nil"/>
              <w:bottom w:val="single" w:sz="8" w:space="0" w:color="auto"/>
              <w:right w:val="single" w:sz="8" w:space="0" w:color="auto"/>
            </w:tcBorders>
            <w:shd w:val="clear" w:color="auto" w:fill="auto"/>
            <w:vAlign w:val="center"/>
            <w:hideMark/>
          </w:tcPr>
          <w:p w14:paraId="509E68F5" w14:textId="77777777" w:rsidR="00934AB0" w:rsidRPr="00B93DFE" w:rsidRDefault="00934AB0" w:rsidP="005E14B0">
            <w:pPr>
              <w:jc w:val="center"/>
              <w:rPr>
                <w:rFonts w:cs="Calibri"/>
                <w:sz w:val="20"/>
                <w:szCs w:val="20"/>
              </w:rPr>
            </w:pPr>
            <w:r w:rsidRPr="00B93DFE">
              <w:rPr>
                <w:rFonts w:cs="Calibri"/>
                <w:sz w:val="20"/>
                <w:szCs w:val="20"/>
              </w:rPr>
              <w:t>1,65</w:t>
            </w:r>
          </w:p>
        </w:tc>
        <w:tc>
          <w:tcPr>
            <w:tcW w:w="709" w:type="dxa"/>
            <w:tcBorders>
              <w:top w:val="nil"/>
              <w:left w:val="nil"/>
              <w:bottom w:val="single" w:sz="8" w:space="0" w:color="auto"/>
              <w:right w:val="single" w:sz="8" w:space="0" w:color="auto"/>
            </w:tcBorders>
            <w:shd w:val="clear" w:color="auto" w:fill="auto"/>
            <w:vAlign w:val="center"/>
            <w:hideMark/>
          </w:tcPr>
          <w:p w14:paraId="682D6B93" w14:textId="77777777" w:rsidR="00934AB0" w:rsidRPr="00B93DFE" w:rsidRDefault="00934AB0" w:rsidP="005E14B0">
            <w:pPr>
              <w:jc w:val="center"/>
              <w:rPr>
                <w:rFonts w:cs="Calibri"/>
                <w:sz w:val="20"/>
                <w:szCs w:val="20"/>
              </w:rPr>
            </w:pPr>
            <w:r w:rsidRPr="00B93DFE">
              <w:rPr>
                <w:rFonts w:cs="Calibri"/>
                <w:sz w:val="20"/>
                <w:szCs w:val="20"/>
              </w:rPr>
              <w:t>1,95</w:t>
            </w:r>
          </w:p>
        </w:tc>
        <w:tc>
          <w:tcPr>
            <w:tcW w:w="709" w:type="dxa"/>
            <w:tcBorders>
              <w:top w:val="nil"/>
              <w:left w:val="nil"/>
              <w:bottom w:val="single" w:sz="8" w:space="0" w:color="auto"/>
              <w:right w:val="single" w:sz="8" w:space="0" w:color="auto"/>
            </w:tcBorders>
            <w:shd w:val="clear" w:color="auto" w:fill="auto"/>
            <w:vAlign w:val="center"/>
            <w:hideMark/>
          </w:tcPr>
          <w:p w14:paraId="3184C7CF" w14:textId="77777777" w:rsidR="00934AB0" w:rsidRPr="00B93DFE" w:rsidRDefault="00934AB0" w:rsidP="005E14B0">
            <w:pPr>
              <w:jc w:val="center"/>
              <w:rPr>
                <w:rFonts w:cs="Calibri"/>
                <w:sz w:val="20"/>
                <w:szCs w:val="20"/>
              </w:rPr>
            </w:pPr>
            <w:r w:rsidRPr="00B93DFE">
              <w:rPr>
                <w:rFonts w:cs="Calibri"/>
                <w:sz w:val="20"/>
                <w:szCs w:val="20"/>
              </w:rPr>
              <w:t>2,25</w:t>
            </w:r>
          </w:p>
        </w:tc>
        <w:tc>
          <w:tcPr>
            <w:tcW w:w="850" w:type="dxa"/>
            <w:tcBorders>
              <w:top w:val="nil"/>
              <w:left w:val="nil"/>
              <w:bottom w:val="single" w:sz="8" w:space="0" w:color="auto"/>
              <w:right w:val="single" w:sz="8" w:space="0" w:color="auto"/>
            </w:tcBorders>
            <w:shd w:val="clear" w:color="auto" w:fill="auto"/>
            <w:vAlign w:val="center"/>
            <w:hideMark/>
          </w:tcPr>
          <w:p w14:paraId="4DF22F22" w14:textId="77777777" w:rsidR="00934AB0" w:rsidRPr="00B93DFE" w:rsidRDefault="00934AB0" w:rsidP="005E14B0">
            <w:pPr>
              <w:jc w:val="center"/>
              <w:rPr>
                <w:rFonts w:cs="Calibri"/>
                <w:sz w:val="20"/>
                <w:szCs w:val="20"/>
              </w:rPr>
            </w:pPr>
            <w:r w:rsidRPr="00B93DFE">
              <w:rPr>
                <w:rFonts w:cs="Calibri"/>
                <w:sz w:val="20"/>
                <w:szCs w:val="20"/>
              </w:rPr>
              <w:t>2,63</w:t>
            </w:r>
          </w:p>
        </w:tc>
        <w:tc>
          <w:tcPr>
            <w:tcW w:w="851" w:type="dxa"/>
            <w:tcBorders>
              <w:top w:val="nil"/>
              <w:left w:val="nil"/>
              <w:bottom w:val="single" w:sz="8" w:space="0" w:color="auto"/>
              <w:right w:val="single" w:sz="8" w:space="0" w:color="auto"/>
            </w:tcBorders>
            <w:shd w:val="clear" w:color="auto" w:fill="auto"/>
            <w:vAlign w:val="center"/>
            <w:hideMark/>
          </w:tcPr>
          <w:p w14:paraId="5F070A82" w14:textId="77777777" w:rsidR="00934AB0" w:rsidRPr="00B93DFE" w:rsidRDefault="00934AB0" w:rsidP="005E14B0">
            <w:pPr>
              <w:jc w:val="center"/>
              <w:rPr>
                <w:rFonts w:cs="Calibri"/>
                <w:sz w:val="20"/>
                <w:szCs w:val="20"/>
              </w:rPr>
            </w:pPr>
            <w:r w:rsidRPr="00B93DFE">
              <w:rPr>
                <w:rFonts w:cs="Calibri"/>
                <w:sz w:val="20"/>
                <w:szCs w:val="20"/>
              </w:rPr>
              <w:t>3,15</w:t>
            </w:r>
          </w:p>
        </w:tc>
        <w:tc>
          <w:tcPr>
            <w:tcW w:w="850" w:type="dxa"/>
            <w:tcBorders>
              <w:top w:val="nil"/>
              <w:left w:val="nil"/>
              <w:bottom w:val="single" w:sz="8" w:space="0" w:color="auto"/>
              <w:right w:val="single" w:sz="4" w:space="0" w:color="auto"/>
            </w:tcBorders>
            <w:shd w:val="clear" w:color="000000" w:fill="808080"/>
            <w:vAlign w:val="center"/>
            <w:hideMark/>
          </w:tcPr>
          <w:p w14:paraId="2C2B114B" w14:textId="77777777" w:rsidR="00934AB0" w:rsidRPr="00B93DFE" w:rsidRDefault="00934AB0" w:rsidP="005E14B0">
            <w:pPr>
              <w:jc w:val="center"/>
              <w:rPr>
                <w:rFonts w:cs="Calibri"/>
                <w:sz w:val="20"/>
                <w:szCs w:val="20"/>
              </w:rPr>
            </w:pPr>
            <w:r w:rsidRPr="00B93DFE">
              <w:rPr>
                <w:rFonts w:cs="Calibri"/>
                <w:sz w:val="20"/>
                <w:szCs w:val="20"/>
              </w:rPr>
              <w:t> </w:t>
            </w:r>
          </w:p>
        </w:tc>
      </w:tr>
      <w:tr w:rsidR="00934AB0" w:rsidRPr="00B93DFE" w14:paraId="3561FDE7" w14:textId="77777777" w:rsidTr="005E14B0">
        <w:trPr>
          <w:trHeight w:val="300"/>
          <w:jc w:val="center"/>
        </w:trPr>
        <w:tc>
          <w:tcPr>
            <w:tcW w:w="8637" w:type="dxa"/>
            <w:gridSpan w:val="8"/>
            <w:tcBorders>
              <w:top w:val="single" w:sz="8" w:space="0" w:color="auto"/>
              <w:left w:val="single" w:sz="4" w:space="0" w:color="auto"/>
              <w:bottom w:val="single" w:sz="8" w:space="0" w:color="auto"/>
              <w:right w:val="single" w:sz="4" w:space="0" w:color="auto"/>
            </w:tcBorders>
            <w:shd w:val="clear" w:color="000000" w:fill="F2F2F2"/>
            <w:vAlign w:val="center"/>
            <w:hideMark/>
          </w:tcPr>
          <w:p w14:paraId="2AEBDBF5" w14:textId="77777777" w:rsidR="00934AB0" w:rsidRPr="00B93DFE" w:rsidRDefault="00934AB0" w:rsidP="005E14B0">
            <w:pPr>
              <w:rPr>
                <w:rFonts w:cs="Calibri"/>
                <w:b/>
                <w:bCs/>
                <w:sz w:val="20"/>
                <w:szCs w:val="20"/>
              </w:rPr>
            </w:pPr>
            <w:r w:rsidRPr="00B93DFE">
              <w:rPr>
                <w:rFonts w:cs="Calibri"/>
                <w:b/>
                <w:bCs/>
                <w:sz w:val="20"/>
                <w:szCs w:val="20"/>
              </w:rPr>
              <w:t>Alapképzés</w:t>
            </w:r>
          </w:p>
        </w:tc>
      </w:tr>
      <w:tr w:rsidR="00934AB0" w:rsidRPr="00B93DFE" w14:paraId="664A2DA7"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0B564DBB" w14:textId="77777777" w:rsidR="00934AB0" w:rsidRPr="00B93DFE" w:rsidRDefault="00934AB0" w:rsidP="005E14B0">
            <w:pPr>
              <w:rPr>
                <w:rFonts w:cs="Calibri"/>
                <w:sz w:val="20"/>
                <w:szCs w:val="20"/>
              </w:rPr>
            </w:pPr>
            <w:r w:rsidRPr="00B93DFE">
              <w:rPr>
                <w:rFonts w:cs="Calibri"/>
                <w:sz w:val="20"/>
                <w:szCs w:val="20"/>
              </w:rPr>
              <w:t>Nappali</w:t>
            </w:r>
          </w:p>
        </w:tc>
        <w:tc>
          <w:tcPr>
            <w:tcW w:w="619" w:type="dxa"/>
            <w:tcBorders>
              <w:top w:val="nil"/>
              <w:left w:val="nil"/>
              <w:bottom w:val="single" w:sz="8" w:space="0" w:color="auto"/>
              <w:right w:val="single" w:sz="8" w:space="0" w:color="auto"/>
            </w:tcBorders>
            <w:shd w:val="clear" w:color="auto" w:fill="auto"/>
            <w:vAlign w:val="center"/>
            <w:hideMark/>
          </w:tcPr>
          <w:p w14:paraId="08F0A500" w14:textId="77777777" w:rsidR="00934AB0" w:rsidRPr="00B93DFE" w:rsidRDefault="00934AB0" w:rsidP="005E14B0">
            <w:pPr>
              <w:jc w:val="center"/>
              <w:rPr>
                <w:rFonts w:cs="Calibri"/>
                <w:sz w:val="20"/>
                <w:szCs w:val="20"/>
              </w:rPr>
            </w:pPr>
            <w:r w:rsidRPr="00B93DFE">
              <w:rPr>
                <w:rFonts w:cs="Calibri"/>
                <w:sz w:val="20"/>
                <w:szCs w:val="20"/>
              </w:rPr>
              <w:t>2,00</w:t>
            </w:r>
          </w:p>
        </w:tc>
        <w:tc>
          <w:tcPr>
            <w:tcW w:w="704" w:type="dxa"/>
            <w:tcBorders>
              <w:top w:val="nil"/>
              <w:left w:val="nil"/>
              <w:bottom w:val="single" w:sz="8" w:space="0" w:color="auto"/>
              <w:right w:val="single" w:sz="8" w:space="0" w:color="auto"/>
            </w:tcBorders>
            <w:shd w:val="clear" w:color="auto" w:fill="auto"/>
            <w:vAlign w:val="center"/>
            <w:hideMark/>
          </w:tcPr>
          <w:p w14:paraId="12F6AEF8" w14:textId="77777777" w:rsidR="00934AB0" w:rsidRPr="00B93DFE" w:rsidRDefault="00934AB0" w:rsidP="005E14B0">
            <w:pPr>
              <w:jc w:val="center"/>
              <w:rPr>
                <w:rFonts w:cs="Calibri"/>
                <w:sz w:val="20"/>
                <w:szCs w:val="20"/>
              </w:rPr>
            </w:pPr>
            <w:r w:rsidRPr="00B93DFE">
              <w:rPr>
                <w:rFonts w:cs="Calibri"/>
                <w:sz w:val="20"/>
                <w:szCs w:val="20"/>
              </w:rPr>
              <w:t>2,20</w:t>
            </w:r>
          </w:p>
        </w:tc>
        <w:tc>
          <w:tcPr>
            <w:tcW w:w="709" w:type="dxa"/>
            <w:tcBorders>
              <w:top w:val="nil"/>
              <w:left w:val="nil"/>
              <w:bottom w:val="single" w:sz="8" w:space="0" w:color="auto"/>
              <w:right w:val="single" w:sz="8" w:space="0" w:color="auto"/>
            </w:tcBorders>
            <w:shd w:val="clear" w:color="auto" w:fill="auto"/>
            <w:vAlign w:val="center"/>
            <w:hideMark/>
          </w:tcPr>
          <w:p w14:paraId="1CA31BE4" w14:textId="77777777" w:rsidR="00934AB0" w:rsidRPr="00B93DFE" w:rsidRDefault="00934AB0" w:rsidP="005E14B0">
            <w:pPr>
              <w:jc w:val="center"/>
              <w:rPr>
                <w:rFonts w:cs="Calibri"/>
                <w:sz w:val="20"/>
                <w:szCs w:val="20"/>
              </w:rPr>
            </w:pPr>
            <w:r w:rsidRPr="00B93DFE">
              <w:rPr>
                <w:rFonts w:cs="Calibri"/>
                <w:sz w:val="20"/>
                <w:szCs w:val="20"/>
              </w:rPr>
              <w:t>2,60</w:t>
            </w:r>
          </w:p>
        </w:tc>
        <w:tc>
          <w:tcPr>
            <w:tcW w:w="709" w:type="dxa"/>
            <w:tcBorders>
              <w:top w:val="nil"/>
              <w:left w:val="nil"/>
              <w:bottom w:val="single" w:sz="8" w:space="0" w:color="auto"/>
              <w:right w:val="single" w:sz="8" w:space="0" w:color="auto"/>
            </w:tcBorders>
            <w:shd w:val="clear" w:color="auto" w:fill="auto"/>
            <w:vAlign w:val="center"/>
            <w:hideMark/>
          </w:tcPr>
          <w:p w14:paraId="3871AB5B" w14:textId="77777777" w:rsidR="00934AB0" w:rsidRPr="00B93DFE" w:rsidRDefault="00934AB0" w:rsidP="005E14B0">
            <w:pPr>
              <w:jc w:val="center"/>
              <w:rPr>
                <w:rFonts w:cs="Calibri"/>
                <w:sz w:val="20"/>
                <w:szCs w:val="20"/>
              </w:rPr>
            </w:pPr>
            <w:r w:rsidRPr="00B93DFE">
              <w:rPr>
                <w:rFonts w:cs="Calibri"/>
                <w:sz w:val="20"/>
                <w:szCs w:val="20"/>
              </w:rPr>
              <w:t>3,00</w:t>
            </w:r>
          </w:p>
        </w:tc>
        <w:tc>
          <w:tcPr>
            <w:tcW w:w="850" w:type="dxa"/>
            <w:tcBorders>
              <w:top w:val="nil"/>
              <w:left w:val="nil"/>
              <w:bottom w:val="single" w:sz="8" w:space="0" w:color="auto"/>
              <w:right w:val="single" w:sz="8" w:space="0" w:color="auto"/>
            </w:tcBorders>
            <w:shd w:val="clear" w:color="auto" w:fill="auto"/>
            <w:vAlign w:val="center"/>
            <w:hideMark/>
          </w:tcPr>
          <w:p w14:paraId="7BC79E5E" w14:textId="77777777" w:rsidR="00934AB0" w:rsidRPr="00B93DFE" w:rsidRDefault="00934AB0" w:rsidP="005E14B0">
            <w:pPr>
              <w:jc w:val="center"/>
              <w:rPr>
                <w:rFonts w:cs="Calibri"/>
                <w:sz w:val="20"/>
                <w:szCs w:val="20"/>
              </w:rPr>
            </w:pPr>
            <w:r w:rsidRPr="00B93DFE">
              <w:rPr>
                <w:rFonts w:cs="Calibri"/>
                <w:sz w:val="20"/>
                <w:szCs w:val="20"/>
              </w:rPr>
              <w:t>3,50</w:t>
            </w:r>
          </w:p>
        </w:tc>
        <w:tc>
          <w:tcPr>
            <w:tcW w:w="851" w:type="dxa"/>
            <w:tcBorders>
              <w:top w:val="nil"/>
              <w:left w:val="nil"/>
              <w:bottom w:val="single" w:sz="8" w:space="0" w:color="auto"/>
              <w:right w:val="single" w:sz="8" w:space="0" w:color="auto"/>
            </w:tcBorders>
            <w:shd w:val="clear" w:color="auto" w:fill="auto"/>
            <w:vAlign w:val="center"/>
            <w:hideMark/>
          </w:tcPr>
          <w:p w14:paraId="341373F6" w14:textId="77777777" w:rsidR="00934AB0" w:rsidRPr="00B93DFE" w:rsidRDefault="00934AB0" w:rsidP="005E14B0">
            <w:pPr>
              <w:jc w:val="center"/>
              <w:rPr>
                <w:rFonts w:cs="Calibri"/>
                <w:sz w:val="20"/>
                <w:szCs w:val="20"/>
              </w:rPr>
            </w:pPr>
            <w:r w:rsidRPr="00B93DFE">
              <w:rPr>
                <w:rFonts w:cs="Calibri"/>
                <w:sz w:val="20"/>
                <w:szCs w:val="20"/>
              </w:rPr>
              <w:t>4,20</w:t>
            </w:r>
          </w:p>
        </w:tc>
        <w:tc>
          <w:tcPr>
            <w:tcW w:w="850" w:type="dxa"/>
            <w:tcBorders>
              <w:top w:val="nil"/>
              <w:left w:val="nil"/>
              <w:bottom w:val="single" w:sz="8" w:space="0" w:color="auto"/>
              <w:right w:val="single" w:sz="4" w:space="0" w:color="auto"/>
            </w:tcBorders>
            <w:shd w:val="clear" w:color="auto" w:fill="auto"/>
            <w:vAlign w:val="center"/>
            <w:hideMark/>
          </w:tcPr>
          <w:p w14:paraId="695468ED" w14:textId="77777777" w:rsidR="00934AB0" w:rsidRPr="00B93DFE" w:rsidRDefault="00934AB0" w:rsidP="005E14B0">
            <w:pPr>
              <w:jc w:val="center"/>
              <w:rPr>
                <w:rFonts w:cs="Calibri"/>
                <w:sz w:val="20"/>
                <w:szCs w:val="20"/>
              </w:rPr>
            </w:pPr>
            <w:r w:rsidRPr="00B93DFE">
              <w:rPr>
                <w:rFonts w:cs="Calibri"/>
                <w:sz w:val="20"/>
                <w:szCs w:val="20"/>
              </w:rPr>
              <w:t>5,00</w:t>
            </w:r>
          </w:p>
        </w:tc>
      </w:tr>
      <w:tr w:rsidR="00934AB0" w:rsidRPr="00B93DFE" w14:paraId="19989FD5"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46C64C8A" w14:textId="77777777" w:rsidR="00934AB0" w:rsidRPr="00B93DFE" w:rsidRDefault="00934AB0" w:rsidP="005E14B0">
            <w:pPr>
              <w:rPr>
                <w:rFonts w:cs="Calibri"/>
                <w:sz w:val="20"/>
                <w:szCs w:val="20"/>
              </w:rPr>
            </w:pPr>
            <w:r w:rsidRPr="00B93DFE">
              <w:rPr>
                <w:rFonts w:cs="Calibri"/>
                <w:sz w:val="20"/>
                <w:szCs w:val="20"/>
              </w:rPr>
              <w:lastRenderedPageBreak/>
              <w:t>Levelező</w:t>
            </w:r>
          </w:p>
        </w:tc>
        <w:tc>
          <w:tcPr>
            <w:tcW w:w="619" w:type="dxa"/>
            <w:tcBorders>
              <w:top w:val="nil"/>
              <w:left w:val="nil"/>
              <w:bottom w:val="single" w:sz="8" w:space="0" w:color="auto"/>
              <w:right w:val="single" w:sz="8" w:space="0" w:color="auto"/>
            </w:tcBorders>
            <w:shd w:val="clear" w:color="auto" w:fill="auto"/>
            <w:vAlign w:val="center"/>
            <w:hideMark/>
          </w:tcPr>
          <w:p w14:paraId="4073210D" w14:textId="77777777" w:rsidR="00934AB0" w:rsidRPr="00B93DFE" w:rsidRDefault="00934AB0" w:rsidP="005E14B0">
            <w:pPr>
              <w:jc w:val="center"/>
              <w:rPr>
                <w:rFonts w:cs="Calibri"/>
                <w:sz w:val="20"/>
                <w:szCs w:val="20"/>
              </w:rPr>
            </w:pPr>
            <w:r w:rsidRPr="00B93DFE">
              <w:rPr>
                <w:rFonts w:cs="Calibri"/>
                <w:sz w:val="20"/>
                <w:szCs w:val="20"/>
              </w:rPr>
              <w:t>2,21</w:t>
            </w:r>
          </w:p>
        </w:tc>
        <w:tc>
          <w:tcPr>
            <w:tcW w:w="704" w:type="dxa"/>
            <w:tcBorders>
              <w:top w:val="nil"/>
              <w:left w:val="nil"/>
              <w:bottom w:val="single" w:sz="8" w:space="0" w:color="auto"/>
              <w:right w:val="single" w:sz="8" w:space="0" w:color="auto"/>
            </w:tcBorders>
            <w:shd w:val="clear" w:color="auto" w:fill="auto"/>
            <w:vAlign w:val="center"/>
            <w:hideMark/>
          </w:tcPr>
          <w:p w14:paraId="1BC7BE2D" w14:textId="77777777" w:rsidR="00934AB0" w:rsidRPr="00B93DFE" w:rsidRDefault="00934AB0" w:rsidP="005E14B0">
            <w:pPr>
              <w:jc w:val="center"/>
              <w:rPr>
                <w:rFonts w:cs="Calibri"/>
                <w:sz w:val="20"/>
                <w:szCs w:val="20"/>
              </w:rPr>
            </w:pPr>
            <w:r w:rsidRPr="00B93DFE">
              <w:rPr>
                <w:rFonts w:cs="Calibri"/>
                <w:sz w:val="20"/>
                <w:szCs w:val="20"/>
              </w:rPr>
              <w:t>2,43</w:t>
            </w:r>
          </w:p>
        </w:tc>
        <w:tc>
          <w:tcPr>
            <w:tcW w:w="709" w:type="dxa"/>
            <w:tcBorders>
              <w:top w:val="nil"/>
              <w:left w:val="nil"/>
              <w:bottom w:val="single" w:sz="8" w:space="0" w:color="auto"/>
              <w:right w:val="single" w:sz="8" w:space="0" w:color="auto"/>
            </w:tcBorders>
            <w:shd w:val="clear" w:color="auto" w:fill="auto"/>
            <w:vAlign w:val="center"/>
            <w:hideMark/>
          </w:tcPr>
          <w:p w14:paraId="58D77EA4" w14:textId="77777777" w:rsidR="00934AB0" w:rsidRPr="00B93DFE" w:rsidRDefault="00934AB0" w:rsidP="005E14B0">
            <w:pPr>
              <w:jc w:val="center"/>
              <w:rPr>
                <w:rFonts w:cs="Calibri"/>
                <w:sz w:val="20"/>
                <w:szCs w:val="20"/>
              </w:rPr>
            </w:pPr>
            <w:r w:rsidRPr="00B93DFE">
              <w:rPr>
                <w:rFonts w:cs="Calibri"/>
                <w:sz w:val="20"/>
                <w:szCs w:val="20"/>
              </w:rPr>
              <w:t>2,87</w:t>
            </w:r>
          </w:p>
        </w:tc>
        <w:tc>
          <w:tcPr>
            <w:tcW w:w="709" w:type="dxa"/>
            <w:tcBorders>
              <w:top w:val="nil"/>
              <w:left w:val="nil"/>
              <w:bottom w:val="single" w:sz="8" w:space="0" w:color="auto"/>
              <w:right w:val="single" w:sz="8" w:space="0" w:color="auto"/>
            </w:tcBorders>
            <w:shd w:val="clear" w:color="auto" w:fill="auto"/>
            <w:vAlign w:val="center"/>
            <w:hideMark/>
          </w:tcPr>
          <w:p w14:paraId="5E223F8E" w14:textId="77777777" w:rsidR="00934AB0" w:rsidRPr="00B93DFE" w:rsidRDefault="00934AB0" w:rsidP="005E14B0">
            <w:pPr>
              <w:jc w:val="center"/>
              <w:rPr>
                <w:rFonts w:cs="Calibri"/>
                <w:sz w:val="20"/>
                <w:szCs w:val="20"/>
              </w:rPr>
            </w:pPr>
            <w:r w:rsidRPr="00B93DFE">
              <w:rPr>
                <w:rFonts w:cs="Calibri"/>
                <w:sz w:val="20"/>
                <w:szCs w:val="20"/>
              </w:rPr>
              <w:t>3,32</w:t>
            </w:r>
          </w:p>
        </w:tc>
        <w:tc>
          <w:tcPr>
            <w:tcW w:w="850" w:type="dxa"/>
            <w:tcBorders>
              <w:top w:val="nil"/>
              <w:left w:val="nil"/>
              <w:bottom w:val="single" w:sz="8" w:space="0" w:color="auto"/>
              <w:right w:val="single" w:sz="8" w:space="0" w:color="auto"/>
            </w:tcBorders>
            <w:shd w:val="clear" w:color="auto" w:fill="auto"/>
            <w:vAlign w:val="center"/>
            <w:hideMark/>
          </w:tcPr>
          <w:p w14:paraId="62ED0C97" w14:textId="77777777" w:rsidR="00934AB0" w:rsidRPr="00B93DFE" w:rsidRDefault="00934AB0" w:rsidP="005E14B0">
            <w:pPr>
              <w:jc w:val="center"/>
              <w:rPr>
                <w:rFonts w:cs="Calibri"/>
                <w:sz w:val="20"/>
                <w:szCs w:val="20"/>
              </w:rPr>
            </w:pPr>
            <w:r w:rsidRPr="00B93DFE">
              <w:rPr>
                <w:rFonts w:cs="Calibri"/>
                <w:sz w:val="20"/>
                <w:szCs w:val="20"/>
              </w:rPr>
              <w:t>3,87</w:t>
            </w:r>
          </w:p>
        </w:tc>
        <w:tc>
          <w:tcPr>
            <w:tcW w:w="851" w:type="dxa"/>
            <w:tcBorders>
              <w:top w:val="nil"/>
              <w:left w:val="nil"/>
              <w:bottom w:val="single" w:sz="8" w:space="0" w:color="auto"/>
              <w:right w:val="single" w:sz="8" w:space="0" w:color="auto"/>
            </w:tcBorders>
            <w:shd w:val="clear" w:color="auto" w:fill="auto"/>
            <w:vAlign w:val="center"/>
            <w:hideMark/>
          </w:tcPr>
          <w:p w14:paraId="3B08ED2C" w14:textId="77777777" w:rsidR="00934AB0" w:rsidRPr="00B93DFE" w:rsidRDefault="00934AB0" w:rsidP="005E14B0">
            <w:pPr>
              <w:jc w:val="center"/>
              <w:rPr>
                <w:rFonts w:cs="Calibri"/>
                <w:sz w:val="20"/>
                <w:szCs w:val="20"/>
              </w:rPr>
            </w:pPr>
            <w:r w:rsidRPr="00B93DFE">
              <w:rPr>
                <w:rFonts w:cs="Calibri"/>
                <w:sz w:val="20"/>
                <w:szCs w:val="20"/>
              </w:rPr>
              <w:t>4,64</w:t>
            </w:r>
          </w:p>
        </w:tc>
        <w:tc>
          <w:tcPr>
            <w:tcW w:w="850" w:type="dxa"/>
            <w:tcBorders>
              <w:top w:val="nil"/>
              <w:left w:val="nil"/>
              <w:bottom w:val="nil"/>
              <w:right w:val="single" w:sz="4" w:space="0" w:color="auto"/>
            </w:tcBorders>
            <w:shd w:val="clear" w:color="000000" w:fill="7F7F7F"/>
            <w:vAlign w:val="center"/>
            <w:hideMark/>
          </w:tcPr>
          <w:p w14:paraId="607F9589"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305113A1"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0F3879E9" w14:textId="77777777" w:rsidR="00934AB0" w:rsidRPr="00B93DFE" w:rsidRDefault="00934AB0" w:rsidP="005E14B0">
            <w:pPr>
              <w:rPr>
                <w:rFonts w:cs="Calibri"/>
                <w:sz w:val="20"/>
                <w:szCs w:val="20"/>
              </w:rPr>
            </w:pPr>
            <w:r w:rsidRPr="00B93DFE">
              <w:rPr>
                <w:rFonts w:cs="Calibri"/>
                <w:sz w:val="20"/>
                <w:szCs w:val="20"/>
              </w:rPr>
              <w:t>Idegen nyelven</w:t>
            </w:r>
          </w:p>
        </w:tc>
        <w:tc>
          <w:tcPr>
            <w:tcW w:w="619" w:type="dxa"/>
            <w:tcBorders>
              <w:top w:val="nil"/>
              <w:left w:val="nil"/>
              <w:bottom w:val="single" w:sz="8" w:space="0" w:color="auto"/>
              <w:right w:val="single" w:sz="8" w:space="0" w:color="auto"/>
            </w:tcBorders>
            <w:shd w:val="clear" w:color="auto" w:fill="auto"/>
            <w:vAlign w:val="center"/>
            <w:hideMark/>
          </w:tcPr>
          <w:p w14:paraId="04A996B9" w14:textId="77777777" w:rsidR="00934AB0" w:rsidRPr="00B93DFE" w:rsidRDefault="00934AB0" w:rsidP="005E14B0">
            <w:pPr>
              <w:jc w:val="center"/>
              <w:rPr>
                <w:rFonts w:cs="Calibri"/>
                <w:sz w:val="20"/>
                <w:szCs w:val="20"/>
              </w:rPr>
            </w:pPr>
            <w:r w:rsidRPr="00B93DFE">
              <w:rPr>
                <w:rFonts w:cs="Calibri"/>
                <w:sz w:val="20"/>
                <w:szCs w:val="20"/>
              </w:rPr>
              <w:t>3,00</w:t>
            </w:r>
          </w:p>
        </w:tc>
        <w:tc>
          <w:tcPr>
            <w:tcW w:w="704" w:type="dxa"/>
            <w:tcBorders>
              <w:top w:val="nil"/>
              <w:left w:val="nil"/>
              <w:bottom w:val="single" w:sz="8" w:space="0" w:color="auto"/>
              <w:right w:val="single" w:sz="8" w:space="0" w:color="auto"/>
            </w:tcBorders>
            <w:shd w:val="clear" w:color="auto" w:fill="auto"/>
            <w:vAlign w:val="center"/>
            <w:hideMark/>
          </w:tcPr>
          <w:p w14:paraId="7907D7B9" w14:textId="77777777" w:rsidR="00934AB0" w:rsidRPr="00B93DFE" w:rsidRDefault="00934AB0" w:rsidP="005E14B0">
            <w:pPr>
              <w:jc w:val="center"/>
              <w:rPr>
                <w:rFonts w:cs="Calibri"/>
                <w:sz w:val="20"/>
                <w:szCs w:val="20"/>
              </w:rPr>
            </w:pPr>
            <w:r w:rsidRPr="00B93DFE">
              <w:rPr>
                <w:rFonts w:cs="Calibri"/>
                <w:sz w:val="20"/>
                <w:szCs w:val="20"/>
              </w:rPr>
              <w:t>3,30</w:t>
            </w:r>
          </w:p>
        </w:tc>
        <w:tc>
          <w:tcPr>
            <w:tcW w:w="709" w:type="dxa"/>
            <w:tcBorders>
              <w:top w:val="nil"/>
              <w:left w:val="nil"/>
              <w:bottom w:val="single" w:sz="8" w:space="0" w:color="auto"/>
              <w:right w:val="single" w:sz="8" w:space="0" w:color="auto"/>
            </w:tcBorders>
            <w:shd w:val="clear" w:color="auto" w:fill="auto"/>
            <w:vAlign w:val="center"/>
            <w:hideMark/>
          </w:tcPr>
          <w:p w14:paraId="3CEBCDF7" w14:textId="77777777" w:rsidR="00934AB0" w:rsidRPr="00B93DFE" w:rsidRDefault="00934AB0" w:rsidP="005E14B0">
            <w:pPr>
              <w:jc w:val="center"/>
              <w:rPr>
                <w:rFonts w:cs="Calibri"/>
                <w:sz w:val="20"/>
                <w:szCs w:val="20"/>
              </w:rPr>
            </w:pPr>
            <w:r w:rsidRPr="00B93DFE">
              <w:rPr>
                <w:rFonts w:cs="Calibri"/>
                <w:sz w:val="20"/>
                <w:szCs w:val="20"/>
              </w:rPr>
              <w:t>3,90</w:t>
            </w:r>
          </w:p>
        </w:tc>
        <w:tc>
          <w:tcPr>
            <w:tcW w:w="709" w:type="dxa"/>
            <w:tcBorders>
              <w:top w:val="nil"/>
              <w:left w:val="nil"/>
              <w:bottom w:val="single" w:sz="8" w:space="0" w:color="auto"/>
              <w:right w:val="single" w:sz="8" w:space="0" w:color="auto"/>
            </w:tcBorders>
            <w:shd w:val="clear" w:color="auto" w:fill="auto"/>
            <w:vAlign w:val="center"/>
            <w:hideMark/>
          </w:tcPr>
          <w:p w14:paraId="3D495D04" w14:textId="77777777" w:rsidR="00934AB0" w:rsidRPr="00B93DFE" w:rsidRDefault="00934AB0" w:rsidP="005E14B0">
            <w:pPr>
              <w:jc w:val="center"/>
              <w:rPr>
                <w:rFonts w:cs="Calibri"/>
                <w:sz w:val="20"/>
                <w:szCs w:val="20"/>
              </w:rPr>
            </w:pPr>
            <w:r w:rsidRPr="00B93DFE">
              <w:rPr>
                <w:rFonts w:cs="Calibri"/>
                <w:sz w:val="20"/>
                <w:szCs w:val="20"/>
              </w:rPr>
              <w:t>4,50</w:t>
            </w:r>
          </w:p>
        </w:tc>
        <w:tc>
          <w:tcPr>
            <w:tcW w:w="850" w:type="dxa"/>
            <w:tcBorders>
              <w:top w:val="nil"/>
              <w:left w:val="nil"/>
              <w:bottom w:val="single" w:sz="8" w:space="0" w:color="auto"/>
              <w:right w:val="single" w:sz="8" w:space="0" w:color="auto"/>
            </w:tcBorders>
            <w:shd w:val="clear" w:color="auto" w:fill="auto"/>
            <w:vAlign w:val="center"/>
            <w:hideMark/>
          </w:tcPr>
          <w:p w14:paraId="42822597" w14:textId="77777777" w:rsidR="00934AB0" w:rsidRPr="00B93DFE" w:rsidRDefault="00934AB0" w:rsidP="005E14B0">
            <w:pPr>
              <w:jc w:val="center"/>
              <w:rPr>
                <w:rFonts w:cs="Calibri"/>
                <w:sz w:val="20"/>
                <w:szCs w:val="20"/>
              </w:rPr>
            </w:pPr>
            <w:r w:rsidRPr="00B93DFE">
              <w:rPr>
                <w:rFonts w:cs="Calibri"/>
                <w:sz w:val="20"/>
                <w:szCs w:val="20"/>
              </w:rPr>
              <w:t>5,25</w:t>
            </w:r>
          </w:p>
        </w:tc>
        <w:tc>
          <w:tcPr>
            <w:tcW w:w="851" w:type="dxa"/>
            <w:tcBorders>
              <w:top w:val="nil"/>
              <w:left w:val="nil"/>
              <w:bottom w:val="nil"/>
              <w:right w:val="nil"/>
            </w:tcBorders>
            <w:shd w:val="clear" w:color="000000" w:fill="808080"/>
            <w:vAlign w:val="center"/>
            <w:hideMark/>
          </w:tcPr>
          <w:p w14:paraId="15E8E21B"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nil"/>
              <w:right w:val="single" w:sz="4" w:space="0" w:color="auto"/>
            </w:tcBorders>
            <w:shd w:val="clear" w:color="000000" w:fill="7F7F7F"/>
            <w:vAlign w:val="center"/>
            <w:hideMark/>
          </w:tcPr>
          <w:p w14:paraId="2236EDE4"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43E35178"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316ACC20" w14:textId="77777777" w:rsidR="00934AB0" w:rsidRPr="00B93DFE" w:rsidRDefault="00934AB0" w:rsidP="005E14B0">
            <w:pPr>
              <w:rPr>
                <w:rFonts w:cs="Calibri"/>
                <w:sz w:val="20"/>
                <w:szCs w:val="20"/>
              </w:rPr>
            </w:pPr>
            <w:r w:rsidRPr="00B93DFE">
              <w:rPr>
                <w:rFonts w:cs="Calibri"/>
                <w:sz w:val="20"/>
                <w:szCs w:val="20"/>
              </w:rPr>
              <w:t xml:space="preserve">Idegen nyelven </w:t>
            </w:r>
            <w:proofErr w:type="spellStart"/>
            <w:r w:rsidRPr="00B93DFE">
              <w:rPr>
                <w:rFonts w:cs="Calibri"/>
                <w:sz w:val="18"/>
                <w:szCs w:val="18"/>
              </w:rPr>
              <w:t>nk</w:t>
            </w:r>
            <w:proofErr w:type="spellEnd"/>
            <w:r w:rsidRPr="00B93DFE">
              <w:rPr>
                <w:rFonts w:cs="Calibri"/>
                <w:sz w:val="18"/>
                <w:szCs w:val="18"/>
              </w:rPr>
              <w:t>. akkreditált képzésben</w:t>
            </w:r>
          </w:p>
        </w:tc>
        <w:tc>
          <w:tcPr>
            <w:tcW w:w="619" w:type="dxa"/>
            <w:tcBorders>
              <w:top w:val="nil"/>
              <w:left w:val="nil"/>
              <w:bottom w:val="single" w:sz="8" w:space="0" w:color="auto"/>
              <w:right w:val="single" w:sz="8" w:space="0" w:color="auto"/>
            </w:tcBorders>
            <w:shd w:val="clear" w:color="auto" w:fill="auto"/>
            <w:vAlign w:val="center"/>
            <w:hideMark/>
          </w:tcPr>
          <w:p w14:paraId="6925A9C9" w14:textId="77777777" w:rsidR="00934AB0" w:rsidRPr="00B93DFE" w:rsidRDefault="00934AB0" w:rsidP="005E14B0">
            <w:pPr>
              <w:jc w:val="center"/>
              <w:rPr>
                <w:rFonts w:cs="Calibri"/>
                <w:sz w:val="20"/>
                <w:szCs w:val="20"/>
              </w:rPr>
            </w:pPr>
            <w:r w:rsidRPr="00B93DFE">
              <w:rPr>
                <w:rFonts w:cs="Calibri"/>
                <w:sz w:val="20"/>
                <w:szCs w:val="20"/>
              </w:rPr>
              <w:t>3,30</w:t>
            </w:r>
          </w:p>
        </w:tc>
        <w:tc>
          <w:tcPr>
            <w:tcW w:w="704" w:type="dxa"/>
            <w:tcBorders>
              <w:top w:val="nil"/>
              <w:left w:val="nil"/>
              <w:bottom w:val="single" w:sz="8" w:space="0" w:color="auto"/>
              <w:right w:val="single" w:sz="8" w:space="0" w:color="auto"/>
            </w:tcBorders>
            <w:shd w:val="clear" w:color="auto" w:fill="auto"/>
            <w:vAlign w:val="center"/>
            <w:hideMark/>
          </w:tcPr>
          <w:p w14:paraId="64EF6CC4" w14:textId="77777777" w:rsidR="00934AB0" w:rsidRPr="00B93DFE" w:rsidRDefault="00934AB0" w:rsidP="005E14B0">
            <w:pPr>
              <w:jc w:val="center"/>
              <w:rPr>
                <w:rFonts w:cs="Calibri"/>
                <w:sz w:val="20"/>
                <w:szCs w:val="20"/>
              </w:rPr>
            </w:pPr>
            <w:r w:rsidRPr="00B93DFE">
              <w:rPr>
                <w:rFonts w:cs="Calibri"/>
                <w:sz w:val="20"/>
                <w:szCs w:val="20"/>
              </w:rPr>
              <w:t>3,63</w:t>
            </w:r>
          </w:p>
        </w:tc>
        <w:tc>
          <w:tcPr>
            <w:tcW w:w="709" w:type="dxa"/>
            <w:tcBorders>
              <w:top w:val="nil"/>
              <w:left w:val="nil"/>
              <w:bottom w:val="single" w:sz="8" w:space="0" w:color="auto"/>
              <w:right w:val="single" w:sz="8" w:space="0" w:color="auto"/>
            </w:tcBorders>
            <w:shd w:val="clear" w:color="auto" w:fill="auto"/>
            <w:vAlign w:val="center"/>
            <w:hideMark/>
          </w:tcPr>
          <w:p w14:paraId="502C98DB" w14:textId="77777777" w:rsidR="00934AB0" w:rsidRPr="00B93DFE" w:rsidRDefault="00934AB0" w:rsidP="005E14B0">
            <w:pPr>
              <w:jc w:val="center"/>
              <w:rPr>
                <w:rFonts w:cs="Calibri"/>
                <w:sz w:val="20"/>
                <w:szCs w:val="20"/>
              </w:rPr>
            </w:pPr>
            <w:r w:rsidRPr="00B93DFE">
              <w:rPr>
                <w:rFonts w:cs="Calibri"/>
                <w:sz w:val="20"/>
                <w:szCs w:val="20"/>
              </w:rPr>
              <w:t>4,29</w:t>
            </w:r>
          </w:p>
        </w:tc>
        <w:tc>
          <w:tcPr>
            <w:tcW w:w="709" w:type="dxa"/>
            <w:tcBorders>
              <w:top w:val="nil"/>
              <w:left w:val="nil"/>
              <w:bottom w:val="single" w:sz="8" w:space="0" w:color="auto"/>
              <w:right w:val="single" w:sz="8" w:space="0" w:color="auto"/>
            </w:tcBorders>
            <w:shd w:val="clear" w:color="auto" w:fill="auto"/>
            <w:vAlign w:val="center"/>
            <w:hideMark/>
          </w:tcPr>
          <w:p w14:paraId="59F0FAD9" w14:textId="77777777" w:rsidR="00934AB0" w:rsidRPr="00B93DFE" w:rsidRDefault="00934AB0" w:rsidP="005E14B0">
            <w:pPr>
              <w:jc w:val="center"/>
              <w:rPr>
                <w:rFonts w:cs="Calibri"/>
                <w:sz w:val="20"/>
                <w:szCs w:val="20"/>
              </w:rPr>
            </w:pPr>
            <w:r w:rsidRPr="00B93DFE">
              <w:rPr>
                <w:rFonts w:cs="Calibri"/>
                <w:sz w:val="20"/>
                <w:szCs w:val="20"/>
              </w:rPr>
              <w:t>4,95</w:t>
            </w:r>
          </w:p>
        </w:tc>
        <w:tc>
          <w:tcPr>
            <w:tcW w:w="850" w:type="dxa"/>
            <w:tcBorders>
              <w:top w:val="nil"/>
              <w:left w:val="nil"/>
              <w:bottom w:val="single" w:sz="8" w:space="0" w:color="auto"/>
              <w:right w:val="single" w:sz="8" w:space="0" w:color="auto"/>
            </w:tcBorders>
            <w:shd w:val="clear" w:color="auto" w:fill="auto"/>
            <w:vAlign w:val="center"/>
            <w:hideMark/>
          </w:tcPr>
          <w:p w14:paraId="0CD44940" w14:textId="77777777" w:rsidR="00934AB0" w:rsidRPr="00B93DFE" w:rsidRDefault="00934AB0" w:rsidP="005E14B0">
            <w:pPr>
              <w:jc w:val="center"/>
              <w:rPr>
                <w:rFonts w:cs="Calibri"/>
                <w:sz w:val="20"/>
                <w:szCs w:val="20"/>
              </w:rPr>
            </w:pPr>
            <w:r w:rsidRPr="00B93DFE">
              <w:rPr>
                <w:rFonts w:cs="Calibri"/>
                <w:sz w:val="20"/>
                <w:szCs w:val="20"/>
              </w:rPr>
              <w:t>5,78</w:t>
            </w:r>
          </w:p>
        </w:tc>
        <w:tc>
          <w:tcPr>
            <w:tcW w:w="851" w:type="dxa"/>
            <w:tcBorders>
              <w:top w:val="nil"/>
              <w:left w:val="nil"/>
              <w:bottom w:val="nil"/>
              <w:right w:val="nil"/>
            </w:tcBorders>
            <w:shd w:val="clear" w:color="000000" w:fill="808080"/>
            <w:vAlign w:val="center"/>
            <w:hideMark/>
          </w:tcPr>
          <w:p w14:paraId="470ADDBD"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nil"/>
              <w:right w:val="single" w:sz="4" w:space="0" w:color="auto"/>
            </w:tcBorders>
            <w:shd w:val="clear" w:color="000000" w:fill="7F7F7F"/>
            <w:vAlign w:val="center"/>
            <w:hideMark/>
          </w:tcPr>
          <w:p w14:paraId="06E96C10"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15790D8E" w14:textId="77777777" w:rsidTr="005E14B0">
        <w:trPr>
          <w:trHeight w:val="300"/>
          <w:jc w:val="center"/>
        </w:trPr>
        <w:tc>
          <w:tcPr>
            <w:tcW w:w="8637" w:type="dxa"/>
            <w:gridSpan w:val="8"/>
            <w:tcBorders>
              <w:top w:val="single" w:sz="8" w:space="0" w:color="auto"/>
              <w:left w:val="single" w:sz="4" w:space="0" w:color="auto"/>
              <w:bottom w:val="single" w:sz="8" w:space="0" w:color="auto"/>
              <w:right w:val="single" w:sz="4" w:space="0" w:color="auto"/>
            </w:tcBorders>
            <w:shd w:val="clear" w:color="000000" w:fill="F2F2F2"/>
            <w:vAlign w:val="center"/>
            <w:hideMark/>
          </w:tcPr>
          <w:p w14:paraId="02B93028" w14:textId="77777777" w:rsidR="00934AB0" w:rsidRPr="00B93DFE" w:rsidRDefault="00934AB0" w:rsidP="005E14B0">
            <w:pPr>
              <w:rPr>
                <w:rFonts w:cs="Calibri"/>
                <w:b/>
                <w:bCs/>
                <w:sz w:val="20"/>
                <w:szCs w:val="20"/>
              </w:rPr>
            </w:pPr>
            <w:r w:rsidRPr="00B93DFE">
              <w:rPr>
                <w:rFonts w:cs="Calibri"/>
                <w:b/>
                <w:bCs/>
                <w:sz w:val="20"/>
                <w:szCs w:val="20"/>
              </w:rPr>
              <w:t>Mesterképzés</w:t>
            </w:r>
          </w:p>
        </w:tc>
      </w:tr>
      <w:tr w:rsidR="00934AB0" w:rsidRPr="00B93DFE" w14:paraId="6A72D268"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6009BBB4" w14:textId="77777777" w:rsidR="00934AB0" w:rsidRPr="00B93DFE" w:rsidRDefault="00934AB0" w:rsidP="005E14B0">
            <w:pPr>
              <w:rPr>
                <w:rFonts w:cs="Calibri"/>
                <w:sz w:val="20"/>
                <w:szCs w:val="20"/>
              </w:rPr>
            </w:pPr>
            <w:r w:rsidRPr="00B93DFE">
              <w:rPr>
                <w:rFonts w:cs="Calibri"/>
                <w:sz w:val="20"/>
                <w:szCs w:val="20"/>
              </w:rPr>
              <w:t>Nappali</w:t>
            </w:r>
          </w:p>
        </w:tc>
        <w:tc>
          <w:tcPr>
            <w:tcW w:w="619" w:type="dxa"/>
            <w:tcBorders>
              <w:top w:val="nil"/>
              <w:left w:val="nil"/>
              <w:bottom w:val="single" w:sz="8" w:space="0" w:color="auto"/>
              <w:right w:val="single" w:sz="8" w:space="0" w:color="auto"/>
            </w:tcBorders>
            <w:shd w:val="clear" w:color="auto" w:fill="auto"/>
            <w:vAlign w:val="center"/>
            <w:hideMark/>
          </w:tcPr>
          <w:p w14:paraId="7072E54B" w14:textId="77777777" w:rsidR="00934AB0" w:rsidRPr="00B93DFE" w:rsidRDefault="00934AB0" w:rsidP="005E14B0">
            <w:pPr>
              <w:jc w:val="center"/>
              <w:rPr>
                <w:rFonts w:cs="Calibri"/>
                <w:sz w:val="20"/>
                <w:szCs w:val="20"/>
              </w:rPr>
            </w:pPr>
            <w:r w:rsidRPr="00B93DFE">
              <w:rPr>
                <w:rFonts w:cs="Calibri"/>
                <w:sz w:val="20"/>
                <w:szCs w:val="20"/>
              </w:rPr>
              <w:t>2,80</w:t>
            </w:r>
          </w:p>
        </w:tc>
        <w:tc>
          <w:tcPr>
            <w:tcW w:w="704" w:type="dxa"/>
            <w:tcBorders>
              <w:top w:val="nil"/>
              <w:left w:val="nil"/>
              <w:bottom w:val="single" w:sz="8" w:space="0" w:color="auto"/>
              <w:right w:val="single" w:sz="8" w:space="0" w:color="auto"/>
            </w:tcBorders>
            <w:shd w:val="clear" w:color="auto" w:fill="auto"/>
            <w:vAlign w:val="center"/>
            <w:hideMark/>
          </w:tcPr>
          <w:p w14:paraId="02D36696" w14:textId="77777777" w:rsidR="00934AB0" w:rsidRPr="00B93DFE" w:rsidRDefault="00934AB0" w:rsidP="005E14B0">
            <w:pPr>
              <w:jc w:val="center"/>
              <w:rPr>
                <w:rFonts w:cs="Calibri"/>
                <w:sz w:val="20"/>
                <w:szCs w:val="20"/>
              </w:rPr>
            </w:pPr>
            <w:r w:rsidRPr="00B93DFE">
              <w:rPr>
                <w:rFonts w:cs="Calibri"/>
                <w:sz w:val="20"/>
                <w:szCs w:val="20"/>
              </w:rPr>
              <w:t>3,08</w:t>
            </w:r>
          </w:p>
        </w:tc>
        <w:tc>
          <w:tcPr>
            <w:tcW w:w="709" w:type="dxa"/>
            <w:tcBorders>
              <w:top w:val="nil"/>
              <w:left w:val="nil"/>
              <w:bottom w:val="single" w:sz="8" w:space="0" w:color="auto"/>
              <w:right w:val="single" w:sz="8" w:space="0" w:color="auto"/>
            </w:tcBorders>
            <w:shd w:val="clear" w:color="auto" w:fill="auto"/>
            <w:vAlign w:val="center"/>
            <w:hideMark/>
          </w:tcPr>
          <w:p w14:paraId="0313312F" w14:textId="77777777" w:rsidR="00934AB0" w:rsidRPr="00B93DFE" w:rsidRDefault="00934AB0" w:rsidP="005E14B0">
            <w:pPr>
              <w:jc w:val="center"/>
              <w:rPr>
                <w:rFonts w:cs="Calibri"/>
                <w:sz w:val="20"/>
                <w:szCs w:val="20"/>
              </w:rPr>
            </w:pPr>
            <w:r w:rsidRPr="00B93DFE">
              <w:rPr>
                <w:rFonts w:cs="Calibri"/>
                <w:sz w:val="20"/>
                <w:szCs w:val="20"/>
              </w:rPr>
              <w:t>3,64</w:t>
            </w:r>
          </w:p>
        </w:tc>
        <w:tc>
          <w:tcPr>
            <w:tcW w:w="709" w:type="dxa"/>
            <w:tcBorders>
              <w:top w:val="nil"/>
              <w:left w:val="nil"/>
              <w:bottom w:val="single" w:sz="8" w:space="0" w:color="auto"/>
              <w:right w:val="single" w:sz="8" w:space="0" w:color="auto"/>
            </w:tcBorders>
            <w:shd w:val="clear" w:color="auto" w:fill="auto"/>
            <w:vAlign w:val="center"/>
            <w:hideMark/>
          </w:tcPr>
          <w:p w14:paraId="12527D65" w14:textId="77777777" w:rsidR="00934AB0" w:rsidRPr="00B93DFE" w:rsidRDefault="00934AB0" w:rsidP="005E14B0">
            <w:pPr>
              <w:jc w:val="center"/>
              <w:rPr>
                <w:rFonts w:cs="Calibri"/>
                <w:sz w:val="20"/>
                <w:szCs w:val="20"/>
              </w:rPr>
            </w:pPr>
            <w:r w:rsidRPr="00B93DFE">
              <w:rPr>
                <w:rFonts w:cs="Calibri"/>
                <w:sz w:val="20"/>
                <w:szCs w:val="20"/>
              </w:rPr>
              <w:t>4,20</w:t>
            </w:r>
          </w:p>
        </w:tc>
        <w:tc>
          <w:tcPr>
            <w:tcW w:w="850" w:type="dxa"/>
            <w:tcBorders>
              <w:top w:val="nil"/>
              <w:left w:val="nil"/>
              <w:bottom w:val="single" w:sz="8" w:space="0" w:color="auto"/>
              <w:right w:val="single" w:sz="8" w:space="0" w:color="auto"/>
            </w:tcBorders>
            <w:shd w:val="clear" w:color="auto" w:fill="auto"/>
            <w:vAlign w:val="center"/>
            <w:hideMark/>
          </w:tcPr>
          <w:p w14:paraId="01A14157" w14:textId="77777777" w:rsidR="00934AB0" w:rsidRPr="00B93DFE" w:rsidRDefault="00934AB0" w:rsidP="005E14B0">
            <w:pPr>
              <w:jc w:val="center"/>
              <w:rPr>
                <w:rFonts w:cs="Calibri"/>
                <w:sz w:val="20"/>
                <w:szCs w:val="20"/>
              </w:rPr>
            </w:pPr>
            <w:r w:rsidRPr="00B93DFE">
              <w:rPr>
                <w:rFonts w:cs="Calibri"/>
                <w:sz w:val="20"/>
                <w:szCs w:val="20"/>
              </w:rPr>
              <w:t>4,90</w:t>
            </w:r>
          </w:p>
        </w:tc>
        <w:tc>
          <w:tcPr>
            <w:tcW w:w="851" w:type="dxa"/>
            <w:tcBorders>
              <w:top w:val="nil"/>
              <w:left w:val="nil"/>
              <w:bottom w:val="nil"/>
              <w:right w:val="nil"/>
            </w:tcBorders>
            <w:shd w:val="clear" w:color="000000" w:fill="808080"/>
            <w:vAlign w:val="center"/>
            <w:hideMark/>
          </w:tcPr>
          <w:p w14:paraId="2254548F"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nil"/>
              <w:right w:val="single" w:sz="4" w:space="0" w:color="auto"/>
            </w:tcBorders>
            <w:shd w:val="clear" w:color="000000" w:fill="7F7F7F"/>
            <w:vAlign w:val="center"/>
            <w:hideMark/>
          </w:tcPr>
          <w:p w14:paraId="183CAAD8"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444EAB81"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51FECF3C" w14:textId="77777777" w:rsidR="00934AB0" w:rsidRPr="00B93DFE" w:rsidRDefault="00934AB0" w:rsidP="005E14B0">
            <w:pPr>
              <w:rPr>
                <w:rFonts w:cs="Calibri"/>
                <w:sz w:val="20"/>
                <w:szCs w:val="20"/>
              </w:rPr>
            </w:pPr>
            <w:r w:rsidRPr="00B93DFE">
              <w:rPr>
                <w:rFonts w:cs="Calibri"/>
                <w:sz w:val="20"/>
                <w:szCs w:val="20"/>
              </w:rPr>
              <w:t>Levelező</w:t>
            </w:r>
          </w:p>
        </w:tc>
        <w:tc>
          <w:tcPr>
            <w:tcW w:w="619" w:type="dxa"/>
            <w:tcBorders>
              <w:top w:val="nil"/>
              <w:left w:val="nil"/>
              <w:bottom w:val="single" w:sz="8" w:space="0" w:color="auto"/>
              <w:right w:val="single" w:sz="8" w:space="0" w:color="auto"/>
            </w:tcBorders>
            <w:shd w:val="clear" w:color="auto" w:fill="auto"/>
            <w:vAlign w:val="center"/>
            <w:hideMark/>
          </w:tcPr>
          <w:p w14:paraId="37612516" w14:textId="77777777" w:rsidR="00934AB0" w:rsidRPr="00B93DFE" w:rsidRDefault="00934AB0" w:rsidP="005E14B0">
            <w:pPr>
              <w:jc w:val="center"/>
              <w:rPr>
                <w:rFonts w:cs="Calibri"/>
                <w:sz w:val="20"/>
                <w:szCs w:val="20"/>
              </w:rPr>
            </w:pPr>
            <w:r w:rsidRPr="00B93DFE">
              <w:rPr>
                <w:rFonts w:cs="Calibri"/>
                <w:sz w:val="20"/>
                <w:szCs w:val="20"/>
              </w:rPr>
              <w:t>3,09</w:t>
            </w:r>
          </w:p>
        </w:tc>
        <w:tc>
          <w:tcPr>
            <w:tcW w:w="704" w:type="dxa"/>
            <w:tcBorders>
              <w:top w:val="nil"/>
              <w:left w:val="nil"/>
              <w:bottom w:val="single" w:sz="8" w:space="0" w:color="auto"/>
              <w:right w:val="single" w:sz="8" w:space="0" w:color="auto"/>
            </w:tcBorders>
            <w:shd w:val="clear" w:color="auto" w:fill="auto"/>
            <w:vAlign w:val="center"/>
            <w:hideMark/>
          </w:tcPr>
          <w:p w14:paraId="24D8933D" w14:textId="77777777" w:rsidR="00934AB0" w:rsidRPr="00B93DFE" w:rsidRDefault="00934AB0" w:rsidP="005E14B0">
            <w:pPr>
              <w:jc w:val="center"/>
              <w:rPr>
                <w:rFonts w:cs="Calibri"/>
                <w:sz w:val="20"/>
                <w:szCs w:val="20"/>
              </w:rPr>
            </w:pPr>
            <w:r w:rsidRPr="00B93DFE">
              <w:rPr>
                <w:rFonts w:cs="Calibri"/>
                <w:sz w:val="20"/>
                <w:szCs w:val="20"/>
              </w:rPr>
              <w:t>3,40</w:t>
            </w:r>
          </w:p>
        </w:tc>
        <w:tc>
          <w:tcPr>
            <w:tcW w:w="709" w:type="dxa"/>
            <w:tcBorders>
              <w:top w:val="nil"/>
              <w:left w:val="nil"/>
              <w:bottom w:val="single" w:sz="8" w:space="0" w:color="auto"/>
              <w:right w:val="single" w:sz="8" w:space="0" w:color="auto"/>
            </w:tcBorders>
            <w:shd w:val="clear" w:color="auto" w:fill="auto"/>
            <w:vAlign w:val="center"/>
            <w:hideMark/>
          </w:tcPr>
          <w:p w14:paraId="23954143" w14:textId="77777777" w:rsidR="00934AB0" w:rsidRPr="00B93DFE" w:rsidRDefault="00934AB0" w:rsidP="005E14B0">
            <w:pPr>
              <w:jc w:val="center"/>
              <w:rPr>
                <w:rFonts w:cs="Calibri"/>
                <w:sz w:val="20"/>
                <w:szCs w:val="20"/>
              </w:rPr>
            </w:pPr>
            <w:r w:rsidRPr="00B93DFE">
              <w:rPr>
                <w:rFonts w:cs="Calibri"/>
                <w:sz w:val="20"/>
                <w:szCs w:val="20"/>
              </w:rPr>
              <w:t>4,02</w:t>
            </w:r>
          </w:p>
        </w:tc>
        <w:tc>
          <w:tcPr>
            <w:tcW w:w="709" w:type="dxa"/>
            <w:tcBorders>
              <w:top w:val="nil"/>
              <w:left w:val="nil"/>
              <w:bottom w:val="single" w:sz="8" w:space="0" w:color="auto"/>
              <w:right w:val="single" w:sz="8" w:space="0" w:color="auto"/>
            </w:tcBorders>
            <w:shd w:val="clear" w:color="auto" w:fill="auto"/>
            <w:vAlign w:val="center"/>
            <w:hideMark/>
          </w:tcPr>
          <w:p w14:paraId="2FF5605D" w14:textId="77777777" w:rsidR="00934AB0" w:rsidRPr="00B93DFE" w:rsidRDefault="00934AB0" w:rsidP="005E14B0">
            <w:pPr>
              <w:jc w:val="center"/>
              <w:rPr>
                <w:rFonts w:cs="Calibri"/>
                <w:sz w:val="20"/>
                <w:szCs w:val="20"/>
              </w:rPr>
            </w:pPr>
            <w:r w:rsidRPr="00B93DFE">
              <w:rPr>
                <w:rFonts w:cs="Calibri"/>
                <w:sz w:val="20"/>
                <w:szCs w:val="20"/>
              </w:rPr>
              <w:t>4,64</w:t>
            </w:r>
          </w:p>
        </w:tc>
        <w:tc>
          <w:tcPr>
            <w:tcW w:w="850" w:type="dxa"/>
            <w:tcBorders>
              <w:top w:val="nil"/>
              <w:left w:val="nil"/>
              <w:bottom w:val="single" w:sz="8" w:space="0" w:color="auto"/>
              <w:right w:val="single" w:sz="8" w:space="0" w:color="auto"/>
            </w:tcBorders>
            <w:shd w:val="clear" w:color="auto" w:fill="auto"/>
            <w:vAlign w:val="center"/>
            <w:hideMark/>
          </w:tcPr>
          <w:p w14:paraId="737E8C06" w14:textId="77777777" w:rsidR="00934AB0" w:rsidRPr="00B93DFE" w:rsidRDefault="00934AB0" w:rsidP="005E14B0">
            <w:pPr>
              <w:jc w:val="center"/>
              <w:rPr>
                <w:rFonts w:cs="Calibri"/>
                <w:sz w:val="20"/>
                <w:szCs w:val="20"/>
              </w:rPr>
            </w:pPr>
            <w:r w:rsidRPr="00B93DFE">
              <w:rPr>
                <w:rFonts w:cs="Calibri"/>
                <w:sz w:val="20"/>
                <w:szCs w:val="20"/>
              </w:rPr>
              <w:t>5,41</w:t>
            </w:r>
          </w:p>
        </w:tc>
        <w:tc>
          <w:tcPr>
            <w:tcW w:w="851" w:type="dxa"/>
            <w:tcBorders>
              <w:top w:val="nil"/>
              <w:left w:val="nil"/>
              <w:bottom w:val="nil"/>
              <w:right w:val="nil"/>
            </w:tcBorders>
            <w:shd w:val="clear" w:color="000000" w:fill="808080"/>
            <w:vAlign w:val="center"/>
            <w:hideMark/>
          </w:tcPr>
          <w:p w14:paraId="58CEC3E1"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nil"/>
              <w:right w:val="single" w:sz="4" w:space="0" w:color="auto"/>
            </w:tcBorders>
            <w:shd w:val="clear" w:color="000000" w:fill="7F7F7F"/>
            <w:vAlign w:val="center"/>
            <w:hideMark/>
          </w:tcPr>
          <w:p w14:paraId="0F3D78C4"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5E4AC4DD" w14:textId="77777777" w:rsidTr="005E14B0">
        <w:trPr>
          <w:trHeight w:val="300"/>
          <w:jc w:val="center"/>
        </w:trPr>
        <w:tc>
          <w:tcPr>
            <w:tcW w:w="3345" w:type="dxa"/>
            <w:tcBorders>
              <w:top w:val="nil"/>
              <w:left w:val="single" w:sz="4" w:space="0" w:color="auto"/>
              <w:bottom w:val="single" w:sz="8" w:space="0" w:color="auto"/>
              <w:right w:val="single" w:sz="8" w:space="0" w:color="auto"/>
            </w:tcBorders>
            <w:shd w:val="clear" w:color="auto" w:fill="auto"/>
            <w:vAlign w:val="center"/>
            <w:hideMark/>
          </w:tcPr>
          <w:p w14:paraId="19164577" w14:textId="77777777" w:rsidR="00934AB0" w:rsidRPr="00B93DFE" w:rsidRDefault="00934AB0" w:rsidP="005E14B0">
            <w:pPr>
              <w:rPr>
                <w:rFonts w:cs="Calibri"/>
                <w:sz w:val="20"/>
                <w:szCs w:val="20"/>
              </w:rPr>
            </w:pPr>
            <w:r w:rsidRPr="00B93DFE">
              <w:rPr>
                <w:rFonts w:cs="Calibri"/>
                <w:sz w:val="20"/>
                <w:szCs w:val="20"/>
              </w:rPr>
              <w:t>Idegen nyelven</w:t>
            </w:r>
          </w:p>
        </w:tc>
        <w:tc>
          <w:tcPr>
            <w:tcW w:w="619" w:type="dxa"/>
            <w:tcBorders>
              <w:top w:val="nil"/>
              <w:left w:val="nil"/>
              <w:bottom w:val="single" w:sz="8" w:space="0" w:color="auto"/>
              <w:right w:val="single" w:sz="8" w:space="0" w:color="auto"/>
            </w:tcBorders>
            <w:shd w:val="clear" w:color="auto" w:fill="auto"/>
            <w:vAlign w:val="center"/>
            <w:hideMark/>
          </w:tcPr>
          <w:p w14:paraId="0673924B" w14:textId="77777777" w:rsidR="00934AB0" w:rsidRPr="00B93DFE" w:rsidRDefault="00934AB0" w:rsidP="005E14B0">
            <w:pPr>
              <w:jc w:val="center"/>
              <w:rPr>
                <w:rFonts w:cs="Calibri"/>
                <w:sz w:val="20"/>
                <w:szCs w:val="20"/>
              </w:rPr>
            </w:pPr>
            <w:r w:rsidRPr="00B93DFE">
              <w:rPr>
                <w:rFonts w:cs="Calibri"/>
                <w:sz w:val="20"/>
                <w:szCs w:val="20"/>
              </w:rPr>
              <w:t>4,20</w:t>
            </w:r>
          </w:p>
        </w:tc>
        <w:tc>
          <w:tcPr>
            <w:tcW w:w="704" w:type="dxa"/>
            <w:tcBorders>
              <w:top w:val="nil"/>
              <w:left w:val="nil"/>
              <w:bottom w:val="single" w:sz="8" w:space="0" w:color="auto"/>
              <w:right w:val="single" w:sz="8" w:space="0" w:color="auto"/>
            </w:tcBorders>
            <w:shd w:val="clear" w:color="auto" w:fill="auto"/>
            <w:vAlign w:val="center"/>
            <w:hideMark/>
          </w:tcPr>
          <w:p w14:paraId="1ABFF33B" w14:textId="77777777" w:rsidR="00934AB0" w:rsidRPr="00B93DFE" w:rsidRDefault="00934AB0" w:rsidP="005E14B0">
            <w:pPr>
              <w:jc w:val="center"/>
              <w:rPr>
                <w:rFonts w:cs="Calibri"/>
                <w:sz w:val="20"/>
                <w:szCs w:val="20"/>
              </w:rPr>
            </w:pPr>
            <w:r w:rsidRPr="00B93DFE">
              <w:rPr>
                <w:rFonts w:cs="Calibri"/>
                <w:sz w:val="20"/>
                <w:szCs w:val="20"/>
              </w:rPr>
              <w:t>4,62</w:t>
            </w:r>
          </w:p>
        </w:tc>
        <w:tc>
          <w:tcPr>
            <w:tcW w:w="709" w:type="dxa"/>
            <w:tcBorders>
              <w:top w:val="nil"/>
              <w:left w:val="nil"/>
              <w:bottom w:val="single" w:sz="8" w:space="0" w:color="auto"/>
              <w:right w:val="single" w:sz="8" w:space="0" w:color="auto"/>
            </w:tcBorders>
            <w:shd w:val="clear" w:color="auto" w:fill="auto"/>
            <w:vAlign w:val="center"/>
            <w:hideMark/>
          </w:tcPr>
          <w:p w14:paraId="50E2E9D0" w14:textId="77777777" w:rsidR="00934AB0" w:rsidRPr="00B93DFE" w:rsidRDefault="00934AB0" w:rsidP="005E14B0">
            <w:pPr>
              <w:jc w:val="center"/>
              <w:rPr>
                <w:rFonts w:cs="Calibri"/>
                <w:sz w:val="20"/>
                <w:szCs w:val="20"/>
              </w:rPr>
            </w:pPr>
            <w:r w:rsidRPr="00B93DFE">
              <w:rPr>
                <w:rFonts w:cs="Calibri"/>
                <w:sz w:val="20"/>
                <w:szCs w:val="20"/>
              </w:rPr>
              <w:t>5,46</w:t>
            </w:r>
          </w:p>
        </w:tc>
        <w:tc>
          <w:tcPr>
            <w:tcW w:w="709" w:type="dxa"/>
            <w:tcBorders>
              <w:top w:val="nil"/>
              <w:left w:val="nil"/>
              <w:bottom w:val="single" w:sz="8" w:space="0" w:color="auto"/>
              <w:right w:val="single" w:sz="8" w:space="0" w:color="auto"/>
            </w:tcBorders>
            <w:shd w:val="clear" w:color="auto" w:fill="auto"/>
            <w:vAlign w:val="center"/>
            <w:hideMark/>
          </w:tcPr>
          <w:p w14:paraId="2C30A010" w14:textId="77777777" w:rsidR="00934AB0" w:rsidRPr="00B93DFE" w:rsidRDefault="00934AB0" w:rsidP="005E14B0">
            <w:pPr>
              <w:jc w:val="center"/>
              <w:rPr>
                <w:rFonts w:cs="Calibri"/>
                <w:sz w:val="20"/>
                <w:szCs w:val="20"/>
              </w:rPr>
            </w:pPr>
            <w:r w:rsidRPr="00B93DFE">
              <w:rPr>
                <w:rFonts w:cs="Calibri"/>
                <w:sz w:val="20"/>
                <w:szCs w:val="20"/>
              </w:rPr>
              <w:t>6,30</w:t>
            </w:r>
          </w:p>
        </w:tc>
        <w:tc>
          <w:tcPr>
            <w:tcW w:w="850" w:type="dxa"/>
            <w:tcBorders>
              <w:top w:val="nil"/>
              <w:left w:val="nil"/>
              <w:bottom w:val="single" w:sz="8" w:space="0" w:color="auto"/>
              <w:right w:val="single" w:sz="8" w:space="0" w:color="auto"/>
            </w:tcBorders>
            <w:shd w:val="clear" w:color="auto" w:fill="auto"/>
            <w:vAlign w:val="center"/>
            <w:hideMark/>
          </w:tcPr>
          <w:p w14:paraId="607954EF" w14:textId="77777777" w:rsidR="00934AB0" w:rsidRPr="00B93DFE" w:rsidRDefault="00934AB0" w:rsidP="005E14B0">
            <w:pPr>
              <w:jc w:val="center"/>
              <w:rPr>
                <w:rFonts w:cs="Calibri"/>
                <w:sz w:val="20"/>
                <w:szCs w:val="20"/>
              </w:rPr>
            </w:pPr>
            <w:r w:rsidRPr="00B93DFE">
              <w:rPr>
                <w:rFonts w:cs="Calibri"/>
                <w:sz w:val="20"/>
                <w:szCs w:val="20"/>
              </w:rPr>
              <w:t>7,35</w:t>
            </w:r>
          </w:p>
        </w:tc>
        <w:tc>
          <w:tcPr>
            <w:tcW w:w="851" w:type="dxa"/>
            <w:tcBorders>
              <w:top w:val="nil"/>
              <w:left w:val="nil"/>
              <w:bottom w:val="nil"/>
              <w:right w:val="nil"/>
            </w:tcBorders>
            <w:shd w:val="clear" w:color="000000" w:fill="808080"/>
            <w:vAlign w:val="center"/>
            <w:hideMark/>
          </w:tcPr>
          <w:p w14:paraId="29BC4DD6"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nil"/>
              <w:right w:val="single" w:sz="4" w:space="0" w:color="auto"/>
            </w:tcBorders>
            <w:shd w:val="clear" w:color="000000" w:fill="7F7F7F"/>
            <w:vAlign w:val="center"/>
            <w:hideMark/>
          </w:tcPr>
          <w:p w14:paraId="3802CBA2" w14:textId="77777777" w:rsidR="00934AB0" w:rsidRPr="00B93DFE" w:rsidRDefault="00934AB0" w:rsidP="005E14B0">
            <w:pPr>
              <w:rPr>
                <w:rFonts w:cs="Calibri"/>
                <w:sz w:val="20"/>
                <w:szCs w:val="20"/>
              </w:rPr>
            </w:pPr>
            <w:r w:rsidRPr="00B93DFE">
              <w:rPr>
                <w:rFonts w:cs="Calibri"/>
                <w:sz w:val="20"/>
                <w:szCs w:val="20"/>
              </w:rPr>
              <w:t> </w:t>
            </w:r>
          </w:p>
        </w:tc>
      </w:tr>
      <w:tr w:rsidR="00934AB0" w:rsidRPr="00B93DFE" w14:paraId="4D8E7435" w14:textId="77777777" w:rsidTr="005E14B0">
        <w:trPr>
          <w:trHeight w:val="300"/>
          <w:jc w:val="center"/>
        </w:trPr>
        <w:tc>
          <w:tcPr>
            <w:tcW w:w="3345" w:type="dxa"/>
            <w:tcBorders>
              <w:top w:val="nil"/>
              <w:left w:val="single" w:sz="4" w:space="0" w:color="auto"/>
              <w:bottom w:val="single" w:sz="4" w:space="0" w:color="auto"/>
              <w:right w:val="single" w:sz="8" w:space="0" w:color="auto"/>
            </w:tcBorders>
            <w:shd w:val="clear" w:color="auto" w:fill="auto"/>
            <w:vAlign w:val="center"/>
            <w:hideMark/>
          </w:tcPr>
          <w:p w14:paraId="756F4945" w14:textId="77777777" w:rsidR="00934AB0" w:rsidRPr="00B93DFE" w:rsidRDefault="00934AB0" w:rsidP="005E14B0">
            <w:pPr>
              <w:rPr>
                <w:rFonts w:cs="Calibri"/>
                <w:sz w:val="20"/>
                <w:szCs w:val="20"/>
              </w:rPr>
            </w:pPr>
            <w:r w:rsidRPr="00B93DFE">
              <w:rPr>
                <w:rFonts w:cs="Calibri"/>
                <w:sz w:val="20"/>
                <w:szCs w:val="20"/>
              </w:rPr>
              <w:t>MBA képzés (részidős, magyar)</w:t>
            </w:r>
          </w:p>
        </w:tc>
        <w:tc>
          <w:tcPr>
            <w:tcW w:w="619" w:type="dxa"/>
            <w:tcBorders>
              <w:top w:val="nil"/>
              <w:left w:val="nil"/>
              <w:bottom w:val="single" w:sz="4" w:space="0" w:color="auto"/>
              <w:right w:val="single" w:sz="8" w:space="0" w:color="auto"/>
            </w:tcBorders>
            <w:shd w:val="clear" w:color="auto" w:fill="auto"/>
            <w:vAlign w:val="center"/>
            <w:hideMark/>
          </w:tcPr>
          <w:p w14:paraId="495AC6FD" w14:textId="77777777" w:rsidR="00934AB0" w:rsidRPr="00B93DFE" w:rsidRDefault="00934AB0" w:rsidP="005E14B0">
            <w:pPr>
              <w:jc w:val="center"/>
              <w:rPr>
                <w:rFonts w:cs="Calibri"/>
                <w:sz w:val="20"/>
                <w:szCs w:val="20"/>
              </w:rPr>
            </w:pPr>
            <w:r w:rsidRPr="00B93DFE">
              <w:rPr>
                <w:rFonts w:cs="Calibri"/>
                <w:sz w:val="20"/>
                <w:szCs w:val="20"/>
              </w:rPr>
              <w:t>3,71</w:t>
            </w:r>
          </w:p>
        </w:tc>
        <w:tc>
          <w:tcPr>
            <w:tcW w:w="704" w:type="dxa"/>
            <w:tcBorders>
              <w:top w:val="nil"/>
              <w:left w:val="nil"/>
              <w:bottom w:val="single" w:sz="4" w:space="0" w:color="auto"/>
              <w:right w:val="single" w:sz="8" w:space="0" w:color="auto"/>
            </w:tcBorders>
            <w:shd w:val="clear" w:color="auto" w:fill="auto"/>
            <w:vAlign w:val="center"/>
            <w:hideMark/>
          </w:tcPr>
          <w:p w14:paraId="3A90B98B" w14:textId="77777777" w:rsidR="00934AB0" w:rsidRPr="00B93DFE" w:rsidRDefault="00934AB0" w:rsidP="005E14B0">
            <w:pPr>
              <w:jc w:val="center"/>
              <w:rPr>
                <w:rFonts w:cs="Calibri"/>
                <w:sz w:val="20"/>
                <w:szCs w:val="20"/>
              </w:rPr>
            </w:pPr>
            <w:r w:rsidRPr="00B93DFE">
              <w:rPr>
                <w:rFonts w:cs="Calibri"/>
                <w:sz w:val="20"/>
                <w:szCs w:val="20"/>
              </w:rPr>
              <w:t>4,08</w:t>
            </w:r>
          </w:p>
        </w:tc>
        <w:tc>
          <w:tcPr>
            <w:tcW w:w="709" w:type="dxa"/>
            <w:tcBorders>
              <w:top w:val="nil"/>
              <w:left w:val="nil"/>
              <w:bottom w:val="single" w:sz="4" w:space="0" w:color="auto"/>
              <w:right w:val="single" w:sz="8" w:space="0" w:color="auto"/>
            </w:tcBorders>
            <w:shd w:val="clear" w:color="auto" w:fill="auto"/>
            <w:vAlign w:val="center"/>
            <w:hideMark/>
          </w:tcPr>
          <w:p w14:paraId="5D2AD6F8" w14:textId="77777777" w:rsidR="00934AB0" w:rsidRPr="00B93DFE" w:rsidRDefault="00934AB0" w:rsidP="005E14B0">
            <w:pPr>
              <w:jc w:val="center"/>
              <w:rPr>
                <w:rFonts w:cs="Calibri"/>
                <w:sz w:val="20"/>
                <w:szCs w:val="20"/>
              </w:rPr>
            </w:pPr>
            <w:r w:rsidRPr="00B93DFE">
              <w:rPr>
                <w:rFonts w:cs="Calibri"/>
                <w:sz w:val="20"/>
                <w:szCs w:val="20"/>
              </w:rPr>
              <w:t>4,83</w:t>
            </w:r>
          </w:p>
        </w:tc>
        <w:tc>
          <w:tcPr>
            <w:tcW w:w="709" w:type="dxa"/>
            <w:tcBorders>
              <w:top w:val="nil"/>
              <w:left w:val="nil"/>
              <w:bottom w:val="single" w:sz="4" w:space="0" w:color="auto"/>
              <w:right w:val="nil"/>
            </w:tcBorders>
            <w:shd w:val="clear" w:color="000000" w:fill="808080"/>
            <w:vAlign w:val="center"/>
            <w:hideMark/>
          </w:tcPr>
          <w:p w14:paraId="4F85E141"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single" w:sz="4" w:space="0" w:color="auto"/>
              <w:right w:val="nil"/>
            </w:tcBorders>
            <w:shd w:val="clear" w:color="000000" w:fill="808080"/>
            <w:vAlign w:val="center"/>
            <w:hideMark/>
          </w:tcPr>
          <w:p w14:paraId="5E1F4970" w14:textId="77777777" w:rsidR="00934AB0" w:rsidRPr="00B93DFE" w:rsidRDefault="00934AB0" w:rsidP="005E14B0">
            <w:pPr>
              <w:rPr>
                <w:rFonts w:cs="Calibri"/>
                <w:sz w:val="20"/>
                <w:szCs w:val="20"/>
              </w:rPr>
            </w:pPr>
            <w:r w:rsidRPr="00B93DFE">
              <w:rPr>
                <w:rFonts w:cs="Calibri"/>
                <w:sz w:val="20"/>
                <w:szCs w:val="20"/>
              </w:rPr>
              <w:t> </w:t>
            </w:r>
          </w:p>
        </w:tc>
        <w:tc>
          <w:tcPr>
            <w:tcW w:w="851" w:type="dxa"/>
            <w:tcBorders>
              <w:top w:val="nil"/>
              <w:left w:val="nil"/>
              <w:bottom w:val="single" w:sz="4" w:space="0" w:color="auto"/>
              <w:right w:val="nil"/>
            </w:tcBorders>
            <w:shd w:val="clear" w:color="000000" w:fill="808080"/>
            <w:vAlign w:val="center"/>
            <w:hideMark/>
          </w:tcPr>
          <w:p w14:paraId="71512AD2" w14:textId="77777777" w:rsidR="00934AB0" w:rsidRPr="00B93DFE" w:rsidRDefault="00934AB0" w:rsidP="005E14B0">
            <w:pPr>
              <w:rPr>
                <w:rFonts w:cs="Calibri"/>
                <w:sz w:val="20"/>
                <w:szCs w:val="20"/>
              </w:rPr>
            </w:pPr>
            <w:r w:rsidRPr="00B93DFE">
              <w:rPr>
                <w:rFonts w:cs="Calibri"/>
                <w:sz w:val="20"/>
                <w:szCs w:val="20"/>
              </w:rPr>
              <w:t> </w:t>
            </w:r>
          </w:p>
        </w:tc>
        <w:tc>
          <w:tcPr>
            <w:tcW w:w="850" w:type="dxa"/>
            <w:tcBorders>
              <w:top w:val="nil"/>
              <w:left w:val="nil"/>
              <w:bottom w:val="single" w:sz="4" w:space="0" w:color="auto"/>
              <w:right w:val="single" w:sz="4" w:space="0" w:color="auto"/>
            </w:tcBorders>
            <w:shd w:val="clear" w:color="000000" w:fill="7F7F7F"/>
            <w:vAlign w:val="center"/>
            <w:hideMark/>
          </w:tcPr>
          <w:p w14:paraId="51E4B206" w14:textId="77777777" w:rsidR="00934AB0" w:rsidRPr="00B93DFE" w:rsidRDefault="00934AB0" w:rsidP="005E14B0">
            <w:pPr>
              <w:rPr>
                <w:rFonts w:cs="Calibri"/>
                <w:sz w:val="20"/>
                <w:szCs w:val="20"/>
              </w:rPr>
            </w:pPr>
            <w:r w:rsidRPr="00B93DFE">
              <w:rPr>
                <w:rFonts w:cs="Calibri"/>
                <w:sz w:val="20"/>
                <w:szCs w:val="20"/>
              </w:rPr>
              <w:t> </w:t>
            </w:r>
          </w:p>
        </w:tc>
      </w:tr>
    </w:tbl>
    <w:p w14:paraId="6D0D01E6" w14:textId="77777777" w:rsidR="00934AB0" w:rsidRPr="00B93DFE" w:rsidRDefault="00934AB0" w:rsidP="00934AB0">
      <w:pPr>
        <w:keepNext/>
        <w:tabs>
          <w:tab w:val="left" w:pos="3355"/>
          <w:tab w:val="left" w:pos="4040"/>
          <w:tab w:val="left" w:pos="5000"/>
        </w:tabs>
        <w:ind w:left="284"/>
        <w:rPr>
          <w:sz w:val="20"/>
          <w:szCs w:val="20"/>
        </w:rPr>
      </w:pPr>
      <w:r w:rsidRPr="00B93DFE">
        <w:rPr>
          <w:sz w:val="20"/>
          <w:szCs w:val="20"/>
        </w:rPr>
        <w:t>*FOKSZ képzés esetében csak szakirányú órák szerepelnek ezen a soron. Az alapképzéssel közösen hallgatott tárgyak esetében a számbavétel az alapképzéses létszámmal összevontan, azzal megegyező pontszámmal történik.</w:t>
      </w:r>
    </w:p>
    <w:p w14:paraId="270EBCEF" w14:textId="77777777" w:rsidR="00934AB0" w:rsidRPr="00B93DFE" w:rsidRDefault="00934AB0" w:rsidP="00934AB0"/>
    <w:p w14:paraId="7B72D158" w14:textId="77777777" w:rsidR="00934AB0" w:rsidRPr="00B93DFE" w:rsidRDefault="00934AB0" w:rsidP="00934AB0">
      <w:pPr>
        <w:jc w:val="both"/>
        <w:rPr>
          <w:sz w:val="22"/>
          <w:szCs w:val="22"/>
        </w:rPr>
      </w:pPr>
      <w:r w:rsidRPr="00B93DFE">
        <w:rPr>
          <w:sz w:val="22"/>
          <w:szCs w:val="22"/>
        </w:rPr>
        <w:t xml:space="preserve">A létszám-kategóriákhoz rendelt pontszámok 11-30 fő </w:t>
      </w:r>
      <w:proofErr w:type="gramStart"/>
      <w:r w:rsidRPr="00B93DFE">
        <w:rPr>
          <w:sz w:val="22"/>
          <w:szCs w:val="22"/>
        </w:rPr>
        <w:t>kategóriában</w:t>
      </w:r>
      <w:proofErr w:type="gramEnd"/>
      <w:r w:rsidRPr="00B93DFE">
        <w:rPr>
          <w:sz w:val="22"/>
          <w:szCs w:val="22"/>
        </w:rPr>
        <w:t xml:space="preserve"> 10%, a 31-50 fő kategóriájában 30%, az 51-100 fő kategóriában 50 %; a 101-200 fő kategóriában 75%, a 201-350 fő kategóriában 110%, míg a 350 fő feletti kategóriában 150% többletértékkel bírnak a kiscsoportokhoz (0-10 fő) képest. (A graduális képzésben „főszabályként” 5 fő alatt nem indul </w:t>
      </w:r>
      <w:proofErr w:type="gramStart"/>
      <w:r w:rsidRPr="00B93DFE">
        <w:rPr>
          <w:sz w:val="22"/>
          <w:szCs w:val="22"/>
        </w:rPr>
        <w:t>kurzus</w:t>
      </w:r>
      <w:proofErr w:type="gramEnd"/>
      <w:r w:rsidRPr="00B93DFE">
        <w:rPr>
          <w:sz w:val="22"/>
          <w:szCs w:val="22"/>
        </w:rPr>
        <w:t xml:space="preserve">.) Az alapképzés és a mesterképzés azonos </w:t>
      </w:r>
      <w:proofErr w:type="gramStart"/>
      <w:r w:rsidRPr="00B93DFE">
        <w:rPr>
          <w:sz w:val="22"/>
          <w:szCs w:val="22"/>
        </w:rPr>
        <w:t>kategóriáiban</w:t>
      </w:r>
      <w:proofErr w:type="gramEnd"/>
      <w:r w:rsidRPr="00B93DFE">
        <w:rPr>
          <w:sz w:val="22"/>
          <w:szCs w:val="22"/>
        </w:rPr>
        <w:t xml:space="preserve"> 40% felárral kalkuláltunk, ami egyrészt a magasabb minőségi szint, másrészt az eltérő finanszírozás következménye. Az idegen nyelv felára 50%. A levelező képzések a nappali képzésekből akként </w:t>
      </w:r>
      <w:proofErr w:type="gramStart"/>
      <w:r w:rsidRPr="00B93DFE">
        <w:rPr>
          <w:sz w:val="22"/>
          <w:szCs w:val="22"/>
        </w:rPr>
        <w:t>kalkulálódnak</w:t>
      </w:r>
      <w:proofErr w:type="gramEnd"/>
      <w:r w:rsidRPr="00B93DFE">
        <w:rPr>
          <w:sz w:val="22"/>
          <w:szCs w:val="22"/>
        </w:rPr>
        <w:t>, hogy a -15%-</w:t>
      </w:r>
      <w:proofErr w:type="spellStart"/>
      <w:r w:rsidRPr="00B93DFE">
        <w:rPr>
          <w:sz w:val="22"/>
          <w:szCs w:val="22"/>
        </w:rPr>
        <w:t>os</w:t>
      </w:r>
      <w:proofErr w:type="spellEnd"/>
      <w:r w:rsidRPr="00B93DFE">
        <w:rPr>
          <w:sz w:val="22"/>
          <w:szCs w:val="22"/>
        </w:rPr>
        <w:t xml:space="preserve"> oktatástechnikai korrekció mellett 30% hétvégi felárral kalkuláltunk. Az MBA-képzés felára (az eltérő kredit/óraszám és hallgatói költségtérítési arányok miatt) 20%-</w:t>
      </w:r>
      <w:proofErr w:type="spellStart"/>
      <w:r w:rsidRPr="00B93DFE">
        <w:rPr>
          <w:sz w:val="22"/>
          <w:szCs w:val="22"/>
        </w:rPr>
        <w:t>os</w:t>
      </w:r>
      <w:proofErr w:type="spellEnd"/>
      <w:r w:rsidRPr="00B93DFE">
        <w:rPr>
          <w:sz w:val="22"/>
          <w:szCs w:val="22"/>
        </w:rPr>
        <w:t xml:space="preserve"> a levelező mesterképzésekhez képest. A (szak</w:t>
      </w:r>
      <w:proofErr w:type="gramStart"/>
      <w:r w:rsidRPr="00B93DFE">
        <w:rPr>
          <w:sz w:val="22"/>
          <w:szCs w:val="22"/>
        </w:rPr>
        <w:t>)nyelvi</w:t>
      </w:r>
      <w:proofErr w:type="gramEnd"/>
      <w:r w:rsidRPr="00B93DFE">
        <w:rPr>
          <w:sz w:val="22"/>
          <w:szCs w:val="22"/>
        </w:rPr>
        <w:t xml:space="preserve"> órák a felsőoktatási szakképzéssel azonos módon értékelődnek. Az átoktatásban megvalósult, társkaron kifejtett oktatások az oktató önbevallása alapján, a kari </w:t>
      </w:r>
      <w:proofErr w:type="gramStart"/>
      <w:r w:rsidRPr="00B93DFE">
        <w:rPr>
          <w:sz w:val="22"/>
          <w:szCs w:val="22"/>
        </w:rPr>
        <w:t>kurzusokkal</w:t>
      </w:r>
      <w:proofErr w:type="gramEnd"/>
      <w:r w:rsidRPr="00B93DFE">
        <w:rPr>
          <w:sz w:val="22"/>
          <w:szCs w:val="22"/>
        </w:rPr>
        <w:t xml:space="preserve"> azonos módon (az 1. sz. táblázat alapján) kerülnek értékelésre. A doktori (PhD) képzéseken jelentkező oktatói teljesítmények számbavétele a többi képzési szinttől elkülönítetten történik. </w:t>
      </w:r>
    </w:p>
    <w:p w14:paraId="7ED629D5" w14:textId="77777777" w:rsidR="00934AB0" w:rsidRPr="00B93DFE" w:rsidRDefault="00934AB0" w:rsidP="00934AB0">
      <w:pPr>
        <w:jc w:val="both"/>
        <w:rPr>
          <w:i/>
          <w:sz w:val="22"/>
          <w:szCs w:val="22"/>
        </w:rPr>
      </w:pPr>
      <w:r w:rsidRPr="00B93DFE">
        <w:rPr>
          <w:sz w:val="22"/>
          <w:szCs w:val="22"/>
        </w:rPr>
        <w:t xml:space="preserve">Az 1. táblázatban szereplő értékek a kontaktóra mellett már a felmerülő hallgatói számonkérési és </w:t>
      </w:r>
      <w:proofErr w:type="gramStart"/>
      <w:r w:rsidRPr="00B93DFE">
        <w:rPr>
          <w:sz w:val="22"/>
          <w:szCs w:val="22"/>
        </w:rPr>
        <w:t>adminisztrációs</w:t>
      </w:r>
      <w:proofErr w:type="gramEnd"/>
      <w:r w:rsidRPr="00B93DFE">
        <w:rPr>
          <w:sz w:val="22"/>
          <w:szCs w:val="22"/>
        </w:rPr>
        <w:t xml:space="preserve"> feladatokat (pl. vizsgáztatás, dolgozatok értékelése, NEPTUN, stb.) is számba veszik. A táblázat segítségével minden </w:t>
      </w:r>
      <w:proofErr w:type="gramStart"/>
      <w:r w:rsidRPr="00B93DFE">
        <w:rPr>
          <w:sz w:val="22"/>
          <w:szCs w:val="22"/>
        </w:rPr>
        <w:t>kurzus</w:t>
      </w:r>
      <w:proofErr w:type="gramEnd"/>
      <w:r w:rsidRPr="00B93DFE">
        <w:rPr>
          <w:sz w:val="22"/>
          <w:szCs w:val="22"/>
        </w:rPr>
        <w:t xml:space="preserve"> egyértelműen pontozható, így természetesen minden kolléga két féléves oktatási „portfoliója” is precízen értékelhető, és előre is tervezhető.</w:t>
      </w:r>
    </w:p>
    <w:p w14:paraId="790FBCCC" w14:textId="77777777" w:rsidR="00934AB0" w:rsidRPr="00B93DFE" w:rsidRDefault="00934AB0" w:rsidP="00934AB0">
      <w:pPr>
        <w:jc w:val="both"/>
        <w:rPr>
          <w:sz w:val="22"/>
          <w:szCs w:val="22"/>
        </w:rPr>
      </w:pPr>
    </w:p>
    <w:p w14:paraId="6BCAD804" w14:textId="77777777" w:rsidR="00934AB0" w:rsidRPr="00B93DFE" w:rsidRDefault="00934AB0" w:rsidP="00934AB0">
      <w:pPr>
        <w:spacing w:after="60"/>
        <w:jc w:val="both"/>
        <w:rPr>
          <w:rFonts w:eastAsia="Calibri"/>
          <w:i/>
          <w:sz w:val="22"/>
          <w:szCs w:val="22"/>
        </w:rPr>
      </w:pPr>
      <w:r w:rsidRPr="00B93DFE">
        <w:rPr>
          <w:rFonts w:eastAsia="Calibri"/>
          <w:sz w:val="22"/>
          <w:szCs w:val="22"/>
        </w:rPr>
        <w:t xml:space="preserve">1.2. Az 1. táblázatban szereplő értékek a kontaktóra mellett már a felmerülő hallgatói számonkérési és </w:t>
      </w:r>
      <w:proofErr w:type="gramStart"/>
      <w:r w:rsidRPr="00B93DFE">
        <w:rPr>
          <w:rFonts w:eastAsia="Calibri"/>
          <w:sz w:val="22"/>
          <w:szCs w:val="22"/>
        </w:rPr>
        <w:t>adminisztrációs</w:t>
      </w:r>
      <w:proofErr w:type="gramEnd"/>
      <w:r w:rsidRPr="00B93DFE">
        <w:rPr>
          <w:rFonts w:eastAsia="Calibri"/>
          <w:sz w:val="22"/>
          <w:szCs w:val="22"/>
        </w:rPr>
        <w:t xml:space="preserve"> feladatokat (pl. vizsgáztatás, dolgozatok értékelése, NEPTUN, stb.) is számba veszik. A táblázat segítségével minden </w:t>
      </w:r>
      <w:proofErr w:type="gramStart"/>
      <w:r w:rsidRPr="00B93DFE">
        <w:rPr>
          <w:rFonts w:eastAsia="Calibri"/>
          <w:sz w:val="22"/>
          <w:szCs w:val="22"/>
        </w:rPr>
        <w:t>kurzus</w:t>
      </w:r>
      <w:proofErr w:type="gramEnd"/>
      <w:r w:rsidRPr="00B93DFE">
        <w:rPr>
          <w:rFonts w:eastAsia="Calibri"/>
          <w:sz w:val="22"/>
          <w:szCs w:val="22"/>
        </w:rPr>
        <w:t xml:space="preserve"> egyértelműen pontozható, segítségével minden oktató két féléves oktatási „portfoliója” is precízen értékelhető, és előre is tervezhető.</w:t>
      </w:r>
    </w:p>
    <w:p w14:paraId="5FCDFFAC" w14:textId="77777777" w:rsidR="00934AB0" w:rsidRPr="00B93DFE" w:rsidRDefault="00934AB0" w:rsidP="00934AB0">
      <w:pPr>
        <w:rPr>
          <w:rFonts w:eastAsia="Calibri"/>
          <w:sz w:val="22"/>
          <w:szCs w:val="22"/>
        </w:rPr>
      </w:pPr>
    </w:p>
    <w:p w14:paraId="7CD64AD0" w14:textId="77777777" w:rsidR="00934AB0" w:rsidRPr="00B93DFE" w:rsidRDefault="00934AB0" w:rsidP="00934AB0">
      <w:pPr>
        <w:rPr>
          <w:rFonts w:eastAsia="Calibri"/>
          <w:sz w:val="22"/>
          <w:szCs w:val="22"/>
        </w:rPr>
      </w:pPr>
      <w:r w:rsidRPr="00B93DFE">
        <w:rPr>
          <w:rFonts w:eastAsia="Calibri"/>
          <w:sz w:val="22"/>
          <w:szCs w:val="22"/>
        </w:rPr>
        <w:t>2. Egyéb oktatási tevékenység</w:t>
      </w:r>
    </w:p>
    <w:p w14:paraId="44010BE4" w14:textId="77777777" w:rsidR="00934AB0" w:rsidRPr="00B93DFE" w:rsidRDefault="00934AB0" w:rsidP="00934AB0">
      <w:pPr>
        <w:ind w:left="360"/>
        <w:rPr>
          <w:rFonts w:eastAsia="Calibri"/>
          <w:i/>
          <w:sz w:val="22"/>
          <w:szCs w:val="22"/>
        </w:rPr>
      </w:pPr>
    </w:p>
    <w:p w14:paraId="77320D41" w14:textId="77777777" w:rsidR="00934AB0" w:rsidRPr="00B93DFE" w:rsidRDefault="00934AB0" w:rsidP="00934AB0">
      <w:pPr>
        <w:jc w:val="both"/>
        <w:rPr>
          <w:rFonts w:eastAsia="Calibri"/>
          <w:sz w:val="22"/>
          <w:szCs w:val="22"/>
        </w:rPr>
      </w:pPr>
      <w:r w:rsidRPr="00B93DFE">
        <w:rPr>
          <w:rFonts w:eastAsia="Calibri"/>
          <w:sz w:val="22"/>
          <w:szCs w:val="22"/>
        </w:rPr>
        <w:t xml:space="preserve">2.1. Az egyéb oktatási tevékenység körében értékelendő tevékenységcsoportba </w:t>
      </w:r>
      <w:r w:rsidRPr="00B93DFE">
        <w:rPr>
          <w:sz w:val="22"/>
          <w:szCs w:val="22"/>
        </w:rPr>
        <w:t xml:space="preserve">a PhD képzés kivételével </w:t>
      </w:r>
      <w:r w:rsidRPr="00B93DFE">
        <w:rPr>
          <w:rFonts w:eastAsia="Calibri"/>
          <w:sz w:val="22"/>
          <w:szCs w:val="22"/>
        </w:rPr>
        <w:t>minden oktatással kapcsolatos kiegészítő tevékenység beletartozik, amely nem szerepel az 1</w:t>
      </w:r>
      <w:proofErr w:type="gramStart"/>
      <w:r w:rsidRPr="00B93DFE">
        <w:rPr>
          <w:rFonts w:eastAsia="Calibri"/>
          <w:sz w:val="22"/>
          <w:szCs w:val="22"/>
        </w:rPr>
        <w:t>.sz.</w:t>
      </w:r>
      <w:proofErr w:type="gramEnd"/>
      <w:r w:rsidRPr="00B93DFE">
        <w:rPr>
          <w:rFonts w:eastAsia="Calibri"/>
          <w:sz w:val="22"/>
          <w:szCs w:val="22"/>
        </w:rPr>
        <w:t xml:space="preserve"> táblázatban:</w:t>
      </w:r>
    </w:p>
    <w:p w14:paraId="5633783D" w14:textId="77777777" w:rsidR="00934AB0" w:rsidRPr="00B93DFE" w:rsidRDefault="00934AB0" w:rsidP="00934AB0">
      <w:pPr>
        <w:jc w:val="both"/>
        <w:rPr>
          <w:rFonts w:eastAsia="Calibri"/>
          <w:sz w:val="22"/>
          <w:szCs w:val="22"/>
        </w:rPr>
      </w:pPr>
    </w:p>
    <w:p w14:paraId="0F989F4B" w14:textId="77777777" w:rsidR="00934AB0" w:rsidRPr="00B93DFE" w:rsidRDefault="00934AB0" w:rsidP="00934AB0">
      <w:pPr>
        <w:spacing w:after="240"/>
        <w:jc w:val="center"/>
        <w:rPr>
          <w:rFonts w:eastAsia="Calibri"/>
          <w:b/>
          <w:sz w:val="22"/>
          <w:szCs w:val="22"/>
        </w:rPr>
      </w:pPr>
      <w:r w:rsidRPr="00B93DFE">
        <w:rPr>
          <w:rFonts w:eastAsia="Calibri"/>
          <w:b/>
          <w:sz w:val="22"/>
          <w:szCs w:val="22"/>
        </w:rPr>
        <w:t xml:space="preserve">2. sz. táblázat: Egyéb oktatáshoz kapcsolódó tevékenység </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8"/>
        <w:gridCol w:w="635"/>
        <w:gridCol w:w="2181"/>
      </w:tblGrid>
      <w:tr w:rsidR="00934AB0" w:rsidRPr="00B93DFE" w14:paraId="362BF653" w14:textId="77777777" w:rsidTr="005E14B0">
        <w:trPr>
          <w:trHeight w:val="255"/>
          <w:jc w:val="center"/>
        </w:trPr>
        <w:tc>
          <w:tcPr>
            <w:tcW w:w="5658" w:type="dxa"/>
            <w:shd w:val="clear" w:color="auto" w:fill="auto"/>
            <w:noWrap/>
            <w:vAlign w:val="bottom"/>
          </w:tcPr>
          <w:p w14:paraId="6D23BFA2"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t>Fogadóóra</w:t>
            </w:r>
            <w:r w:rsidRPr="00B93DFE">
              <w:rPr>
                <w:rFonts w:eastAsia="Calibri"/>
                <w:sz w:val="22"/>
                <w:szCs w:val="22"/>
                <w:vertAlign w:val="superscript"/>
              </w:rPr>
              <w:t>1</w:t>
            </w:r>
          </w:p>
        </w:tc>
        <w:tc>
          <w:tcPr>
            <w:tcW w:w="635" w:type="dxa"/>
            <w:shd w:val="clear" w:color="auto" w:fill="auto"/>
            <w:noWrap/>
            <w:vAlign w:val="bottom"/>
          </w:tcPr>
          <w:p w14:paraId="0F7B9D52"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1,00</w:t>
            </w:r>
          </w:p>
        </w:tc>
        <w:tc>
          <w:tcPr>
            <w:tcW w:w="2181" w:type="dxa"/>
            <w:shd w:val="clear" w:color="auto" w:fill="auto"/>
            <w:noWrap/>
            <w:vAlign w:val="bottom"/>
          </w:tcPr>
          <w:p w14:paraId="144F02D2" w14:textId="77777777" w:rsidR="00934AB0" w:rsidRPr="00B93DFE" w:rsidRDefault="00934AB0" w:rsidP="005E14B0">
            <w:pPr>
              <w:spacing w:before="40" w:after="40"/>
              <w:rPr>
                <w:rFonts w:eastAsia="Calibri"/>
                <w:sz w:val="22"/>
                <w:szCs w:val="22"/>
              </w:rPr>
            </w:pPr>
            <w:r w:rsidRPr="00B93DFE">
              <w:rPr>
                <w:rFonts w:eastAsia="Calibri"/>
                <w:sz w:val="22"/>
                <w:szCs w:val="22"/>
              </w:rPr>
              <w:t>Pontszám/óra</w:t>
            </w:r>
          </w:p>
        </w:tc>
      </w:tr>
      <w:tr w:rsidR="00934AB0" w:rsidRPr="00B93DFE" w14:paraId="36F6AC43" w14:textId="77777777" w:rsidTr="005E14B0">
        <w:trPr>
          <w:trHeight w:val="255"/>
          <w:jc w:val="center"/>
        </w:trPr>
        <w:tc>
          <w:tcPr>
            <w:tcW w:w="5658" w:type="dxa"/>
            <w:shd w:val="clear" w:color="auto" w:fill="auto"/>
            <w:noWrap/>
            <w:vAlign w:val="bottom"/>
          </w:tcPr>
          <w:p w14:paraId="4F95A54B" w14:textId="77777777" w:rsidR="00934AB0" w:rsidRPr="00B93DFE" w:rsidRDefault="00934AB0" w:rsidP="005E14B0">
            <w:pPr>
              <w:spacing w:before="40" w:after="40"/>
              <w:rPr>
                <w:rFonts w:eastAsia="Calibri"/>
                <w:sz w:val="22"/>
                <w:szCs w:val="22"/>
              </w:rPr>
            </w:pPr>
            <w:r w:rsidRPr="00B93DFE">
              <w:rPr>
                <w:rFonts w:eastAsia="Calibri"/>
                <w:sz w:val="22"/>
                <w:szCs w:val="22"/>
              </w:rPr>
              <w:t>Záróvizsgáztatás</w:t>
            </w:r>
          </w:p>
        </w:tc>
        <w:tc>
          <w:tcPr>
            <w:tcW w:w="635" w:type="dxa"/>
            <w:shd w:val="clear" w:color="auto" w:fill="auto"/>
            <w:noWrap/>
            <w:vAlign w:val="bottom"/>
          </w:tcPr>
          <w:p w14:paraId="3AF3119A"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0,60</w:t>
            </w:r>
          </w:p>
        </w:tc>
        <w:tc>
          <w:tcPr>
            <w:tcW w:w="2181" w:type="dxa"/>
            <w:shd w:val="clear" w:color="auto" w:fill="auto"/>
            <w:noWrap/>
            <w:vAlign w:val="bottom"/>
          </w:tcPr>
          <w:p w14:paraId="19F7153E"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2EDA0616" w14:textId="77777777" w:rsidTr="005E14B0">
        <w:trPr>
          <w:trHeight w:val="255"/>
          <w:jc w:val="center"/>
        </w:trPr>
        <w:tc>
          <w:tcPr>
            <w:tcW w:w="5658" w:type="dxa"/>
            <w:shd w:val="clear" w:color="auto" w:fill="auto"/>
            <w:noWrap/>
            <w:vAlign w:val="bottom"/>
          </w:tcPr>
          <w:p w14:paraId="303B5DC8" w14:textId="77777777" w:rsidR="00934AB0" w:rsidRPr="00B93DFE" w:rsidRDefault="00934AB0" w:rsidP="005E14B0">
            <w:pPr>
              <w:spacing w:before="40" w:after="40"/>
              <w:rPr>
                <w:rFonts w:eastAsia="Calibri"/>
                <w:sz w:val="22"/>
                <w:szCs w:val="22"/>
              </w:rPr>
            </w:pPr>
            <w:r w:rsidRPr="00B93DFE">
              <w:rPr>
                <w:rFonts w:eastAsia="Calibri"/>
                <w:sz w:val="22"/>
                <w:szCs w:val="22"/>
              </w:rPr>
              <w:t>Felvételi elbeszélgetés</w:t>
            </w:r>
          </w:p>
        </w:tc>
        <w:tc>
          <w:tcPr>
            <w:tcW w:w="635" w:type="dxa"/>
            <w:shd w:val="clear" w:color="auto" w:fill="auto"/>
            <w:noWrap/>
            <w:vAlign w:val="bottom"/>
          </w:tcPr>
          <w:p w14:paraId="70899A85"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0,30</w:t>
            </w:r>
          </w:p>
        </w:tc>
        <w:tc>
          <w:tcPr>
            <w:tcW w:w="2181" w:type="dxa"/>
            <w:shd w:val="clear" w:color="auto" w:fill="auto"/>
            <w:noWrap/>
            <w:vAlign w:val="bottom"/>
          </w:tcPr>
          <w:p w14:paraId="69F9CA7D"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3B2B5CE1" w14:textId="77777777" w:rsidTr="005E14B0">
        <w:trPr>
          <w:trHeight w:val="255"/>
          <w:jc w:val="center"/>
        </w:trPr>
        <w:tc>
          <w:tcPr>
            <w:tcW w:w="5658" w:type="dxa"/>
            <w:shd w:val="clear" w:color="auto" w:fill="auto"/>
            <w:noWrap/>
            <w:vAlign w:val="bottom"/>
          </w:tcPr>
          <w:p w14:paraId="7D284A50"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t xml:space="preserve">Szakdolgozat </w:t>
            </w:r>
            <w:proofErr w:type="gramStart"/>
            <w:r w:rsidRPr="00B93DFE">
              <w:rPr>
                <w:rFonts w:eastAsia="Calibri"/>
                <w:sz w:val="22"/>
                <w:szCs w:val="22"/>
              </w:rPr>
              <w:t>konzultáció</w:t>
            </w:r>
            <w:proofErr w:type="gramEnd"/>
            <w:r w:rsidRPr="00B93DFE">
              <w:rPr>
                <w:rFonts w:eastAsia="Calibri"/>
                <w:sz w:val="22"/>
                <w:szCs w:val="22"/>
              </w:rPr>
              <w:t xml:space="preserve"> (</w:t>
            </w:r>
            <w:proofErr w:type="spellStart"/>
            <w:r w:rsidRPr="00B93DFE">
              <w:rPr>
                <w:rFonts w:eastAsia="Calibri"/>
                <w:sz w:val="22"/>
                <w:szCs w:val="22"/>
              </w:rPr>
              <w:t>BSc</w:t>
            </w:r>
            <w:proofErr w:type="spellEnd"/>
            <w:r w:rsidRPr="00B93DFE">
              <w:rPr>
                <w:rFonts w:eastAsia="Calibri"/>
                <w:sz w:val="22"/>
                <w:szCs w:val="22"/>
              </w:rPr>
              <w:t>)</w:t>
            </w:r>
            <w:r w:rsidRPr="00B93DFE">
              <w:rPr>
                <w:rFonts w:eastAsia="Calibri"/>
                <w:sz w:val="22"/>
                <w:szCs w:val="22"/>
                <w:vertAlign w:val="superscript"/>
              </w:rPr>
              <w:t>2</w:t>
            </w:r>
          </w:p>
        </w:tc>
        <w:tc>
          <w:tcPr>
            <w:tcW w:w="635" w:type="dxa"/>
            <w:shd w:val="clear" w:color="auto" w:fill="auto"/>
            <w:noWrap/>
            <w:vAlign w:val="bottom"/>
          </w:tcPr>
          <w:p w14:paraId="0DB7D47B"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3,00</w:t>
            </w:r>
          </w:p>
        </w:tc>
        <w:tc>
          <w:tcPr>
            <w:tcW w:w="2181" w:type="dxa"/>
            <w:shd w:val="clear" w:color="auto" w:fill="auto"/>
            <w:noWrap/>
            <w:vAlign w:val="bottom"/>
          </w:tcPr>
          <w:p w14:paraId="605F1812"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233D428E" w14:textId="77777777" w:rsidTr="005E14B0">
        <w:trPr>
          <w:trHeight w:val="255"/>
          <w:jc w:val="center"/>
        </w:trPr>
        <w:tc>
          <w:tcPr>
            <w:tcW w:w="5658" w:type="dxa"/>
            <w:shd w:val="clear" w:color="auto" w:fill="auto"/>
            <w:noWrap/>
            <w:vAlign w:val="bottom"/>
          </w:tcPr>
          <w:p w14:paraId="099704A0"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Diploma </w:t>
            </w:r>
            <w:proofErr w:type="gramStart"/>
            <w:r w:rsidRPr="00B93DFE">
              <w:rPr>
                <w:rFonts w:eastAsia="Calibri"/>
                <w:sz w:val="22"/>
                <w:szCs w:val="22"/>
              </w:rPr>
              <w:t>konzultáció</w:t>
            </w:r>
            <w:proofErr w:type="gramEnd"/>
            <w:r w:rsidRPr="00B93DFE">
              <w:rPr>
                <w:rFonts w:eastAsia="Calibri"/>
                <w:sz w:val="22"/>
                <w:szCs w:val="22"/>
              </w:rPr>
              <w:t xml:space="preserve"> (</w:t>
            </w:r>
            <w:proofErr w:type="spellStart"/>
            <w:r w:rsidRPr="00B93DFE">
              <w:rPr>
                <w:rFonts w:eastAsia="Calibri"/>
                <w:sz w:val="22"/>
                <w:szCs w:val="22"/>
              </w:rPr>
              <w:t>MSc</w:t>
            </w:r>
            <w:proofErr w:type="spellEnd"/>
            <w:r w:rsidRPr="00B93DFE">
              <w:rPr>
                <w:rFonts w:eastAsia="Calibri"/>
                <w:sz w:val="22"/>
                <w:szCs w:val="22"/>
              </w:rPr>
              <w:t>)</w:t>
            </w:r>
            <w:r w:rsidRPr="00B93DFE">
              <w:rPr>
                <w:rFonts w:eastAsia="Calibri"/>
                <w:sz w:val="22"/>
                <w:szCs w:val="22"/>
                <w:vertAlign w:val="superscript"/>
              </w:rPr>
              <w:t>2</w:t>
            </w:r>
            <w:r w:rsidRPr="00B93DFE">
              <w:rPr>
                <w:rFonts w:eastAsia="Calibri"/>
                <w:sz w:val="22"/>
                <w:szCs w:val="22"/>
              </w:rPr>
              <w:t xml:space="preserve"> </w:t>
            </w:r>
          </w:p>
        </w:tc>
        <w:tc>
          <w:tcPr>
            <w:tcW w:w="635" w:type="dxa"/>
            <w:shd w:val="clear" w:color="auto" w:fill="auto"/>
            <w:noWrap/>
            <w:vAlign w:val="bottom"/>
          </w:tcPr>
          <w:p w14:paraId="01991C49"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5,00</w:t>
            </w:r>
          </w:p>
        </w:tc>
        <w:tc>
          <w:tcPr>
            <w:tcW w:w="2181" w:type="dxa"/>
            <w:shd w:val="clear" w:color="auto" w:fill="auto"/>
            <w:noWrap/>
            <w:vAlign w:val="bottom"/>
          </w:tcPr>
          <w:p w14:paraId="69DECBCC"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41F122BA" w14:textId="77777777" w:rsidTr="005E14B0">
        <w:trPr>
          <w:trHeight w:val="255"/>
          <w:jc w:val="center"/>
        </w:trPr>
        <w:tc>
          <w:tcPr>
            <w:tcW w:w="5658" w:type="dxa"/>
            <w:shd w:val="clear" w:color="auto" w:fill="auto"/>
            <w:noWrap/>
            <w:vAlign w:val="bottom"/>
          </w:tcPr>
          <w:p w14:paraId="002F00AE"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t>Szakdolgozat másodbírálat (</w:t>
            </w:r>
            <w:proofErr w:type="spellStart"/>
            <w:r w:rsidRPr="00B93DFE">
              <w:rPr>
                <w:rFonts w:eastAsia="Calibri"/>
                <w:sz w:val="22"/>
                <w:szCs w:val="22"/>
              </w:rPr>
              <w:t>BSc</w:t>
            </w:r>
            <w:proofErr w:type="spellEnd"/>
            <w:proofErr w:type="gramStart"/>
            <w:r w:rsidRPr="00B93DFE">
              <w:rPr>
                <w:rFonts w:eastAsia="Calibri"/>
                <w:sz w:val="22"/>
                <w:szCs w:val="22"/>
              </w:rPr>
              <w:t>)</w:t>
            </w:r>
            <w:r w:rsidRPr="00B93DFE">
              <w:rPr>
                <w:rFonts w:eastAsia="Calibri"/>
                <w:sz w:val="22"/>
                <w:szCs w:val="22"/>
                <w:vertAlign w:val="superscript"/>
              </w:rPr>
              <w:t>3</w:t>
            </w:r>
            <w:proofErr w:type="gramEnd"/>
          </w:p>
        </w:tc>
        <w:tc>
          <w:tcPr>
            <w:tcW w:w="635" w:type="dxa"/>
            <w:shd w:val="clear" w:color="auto" w:fill="auto"/>
            <w:noWrap/>
            <w:vAlign w:val="bottom"/>
          </w:tcPr>
          <w:p w14:paraId="2639C471"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1,00</w:t>
            </w:r>
          </w:p>
        </w:tc>
        <w:tc>
          <w:tcPr>
            <w:tcW w:w="2181" w:type="dxa"/>
            <w:shd w:val="clear" w:color="auto" w:fill="auto"/>
            <w:noWrap/>
            <w:vAlign w:val="bottom"/>
          </w:tcPr>
          <w:p w14:paraId="1131E37E"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5E8971A5" w14:textId="77777777" w:rsidTr="005E14B0">
        <w:trPr>
          <w:trHeight w:val="255"/>
          <w:jc w:val="center"/>
        </w:trPr>
        <w:tc>
          <w:tcPr>
            <w:tcW w:w="5658" w:type="dxa"/>
            <w:shd w:val="clear" w:color="auto" w:fill="auto"/>
            <w:noWrap/>
            <w:vAlign w:val="bottom"/>
          </w:tcPr>
          <w:p w14:paraId="5ACE1E1F"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t>Diploma másodbírálat (</w:t>
            </w:r>
            <w:proofErr w:type="spellStart"/>
            <w:r w:rsidRPr="00B93DFE">
              <w:rPr>
                <w:rFonts w:eastAsia="Calibri"/>
                <w:sz w:val="22"/>
                <w:szCs w:val="22"/>
              </w:rPr>
              <w:t>MSc</w:t>
            </w:r>
            <w:proofErr w:type="spellEnd"/>
            <w:proofErr w:type="gramStart"/>
            <w:r w:rsidRPr="00B93DFE">
              <w:rPr>
                <w:rFonts w:eastAsia="Calibri"/>
                <w:sz w:val="22"/>
                <w:szCs w:val="22"/>
              </w:rPr>
              <w:t>)</w:t>
            </w:r>
            <w:r w:rsidRPr="00B93DFE">
              <w:rPr>
                <w:rFonts w:eastAsia="Calibri"/>
                <w:sz w:val="22"/>
                <w:szCs w:val="22"/>
                <w:vertAlign w:val="superscript"/>
              </w:rPr>
              <w:t>3</w:t>
            </w:r>
            <w:proofErr w:type="gramEnd"/>
          </w:p>
        </w:tc>
        <w:tc>
          <w:tcPr>
            <w:tcW w:w="635" w:type="dxa"/>
            <w:shd w:val="clear" w:color="auto" w:fill="auto"/>
            <w:noWrap/>
            <w:vAlign w:val="bottom"/>
          </w:tcPr>
          <w:p w14:paraId="30668253"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1,50</w:t>
            </w:r>
          </w:p>
        </w:tc>
        <w:tc>
          <w:tcPr>
            <w:tcW w:w="2181" w:type="dxa"/>
            <w:shd w:val="clear" w:color="auto" w:fill="auto"/>
            <w:noWrap/>
            <w:vAlign w:val="bottom"/>
          </w:tcPr>
          <w:p w14:paraId="67A275AE"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5816C406" w14:textId="77777777" w:rsidTr="005E14B0">
        <w:trPr>
          <w:trHeight w:val="255"/>
          <w:jc w:val="center"/>
        </w:trPr>
        <w:tc>
          <w:tcPr>
            <w:tcW w:w="5658" w:type="dxa"/>
            <w:shd w:val="clear" w:color="auto" w:fill="auto"/>
            <w:noWrap/>
            <w:vAlign w:val="bottom"/>
          </w:tcPr>
          <w:p w14:paraId="59D9B430"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lastRenderedPageBreak/>
              <w:t>BEDC-, ill. Tehetségpont-mentor</w:t>
            </w:r>
            <w:r w:rsidRPr="00B93DFE">
              <w:rPr>
                <w:rFonts w:eastAsia="Calibri"/>
                <w:sz w:val="22"/>
                <w:szCs w:val="22"/>
                <w:vertAlign w:val="superscript"/>
              </w:rPr>
              <w:t>4</w:t>
            </w:r>
          </w:p>
        </w:tc>
        <w:tc>
          <w:tcPr>
            <w:tcW w:w="635" w:type="dxa"/>
            <w:shd w:val="clear" w:color="auto" w:fill="auto"/>
            <w:noWrap/>
            <w:vAlign w:val="bottom"/>
          </w:tcPr>
          <w:p w14:paraId="0FE268D6"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6,00</w:t>
            </w:r>
          </w:p>
        </w:tc>
        <w:tc>
          <w:tcPr>
            <w:tcW w:w="2181" w:type="dxa"/>
            <w:shd w:val="clear" w:color="auto" w:fill="auto"/>
            <w:noWrap/>
            <w:vAlign w:val="bottom"/>
          </w:tcPr>
          <w:p w14:paraId="7BDC9395"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419618D7" w14:textId="77777777" w:rsidTr="005E14B0">
        <w:trPr>
          <w:trHeight w:val="255"/>
          <w:jc w:val="center"/>
        </w:trPr>
        <w:tc>
          <w:tcPr>
            <w:tcW w:w="5658" w:type="dxa"/>
            <w:shd w:val="clear" w:color="auto" w:fill="auto"/>
            <w:noWrap/>
          </w:tcPr>
          <w:p w14:paraId="7C6AEE9F" w14:textId="77777777" w:rsidR="00934AB0" w:rsidRPr="00B93DFE" w:rsidRDefault="00934AB0" w:rsidP="005E14B0">
            <w:pPr>
              <w:spacing w:before="40" w:after="40"/>
              <w:rPr>
                <w:rFonts w:eastAsia="Calibri"/>
                <w:sz w:val="22"/>
                <w:szCs w:val="22"/>
                <w:vertAlign w:val="superscript"/>
              </w:rPr>
            </w:pPr>
            <w:r w:rsidRPr="00B93DFE">
              <w:rPr>
                <w:rFonts w:eastAsia="Calibri"/>
                <w:sz w:val="22"/>
                <w:szCs w:val="22"/>
              </w:rPr>
              <w:t>OTDK-n díjazott dolgozat tutorálása</w:t>
            </w:r>
            <w:r w:rsidRPr="00B93DFE">
              <w:rPr>
                <w:rFonts w:eastAsia="Calibri"/>
                <w:sz w:val="22"/>
                <w:szCs w:val="22"/>
                <w:vertAlign w:val="superscript"/>
              </w:rPr>
              <w:t>5</w:t>
            </w:r>
          </w:p>
        </w:tc>
        <w:tc>
          <w:tcPr>
            <w:tcW w:w="635" w:type="dxa"/>
            <w:shd w:val="clear" w:color="auto" w:fill="auto"/>
            <w:noWrap/>
            <w:vAlign w:val="bottom"/>
          </w:tcPr>
          <w:p w14:paraId="2D513ECD"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10,00</w:t>
            </w:r>
          </w:p>
        </w:tc>
        <w:tc>
          <w:tcPr>
            <w:tcW w:w="2181" w:type="dxa"/>
            <w:shd w:val="clear" w:color="auto" w:fill="auto"/>
            <w:noWrap/>
            <w:vAlign w:val="bottom"/>
          </w:tcPr>
          <w:p w14:paraId="20E30DD3"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r w:rsidR="00934AB0" w:rsidRPr="00B93DFE" w14:paraId="53E7A02A" w14:textId="77777777" w:rsidTr="005E14B0">
        <w:trPr>
          <w:trHeight w:val="255"/>
          <w:jc w:val="center"/>
        </w:trPr>
        <w:tc>
          <w:tcPr>
            <w:tcW w:w="5658" w:type="dxa"/>
            <w:shd w:val="clear" w:color="auto" w:fill="auto"/>
            <w:noWrap/>
          </w:tcPr>
          <w:p w14:paraId="3643CAFF" w14:textId="77777777" w:rsidR="00934AB0" w:rsidRPr="00B93DFE" w:rsidRDefault="00934AB0" w:rsidP="005E14B0">
            <w:pPr>
              <w:spacing w:before="40" w:after="40"/>
              <w:rPr>
                <w:rFonts w:eastAsia="Calibri"/>
                <w:sz w:val="22"/>
                <w:szCs w:val="22"/>
              </w:rPr>
            </w:pPr>
            <w:r w:rsidRPr="00B93DFE">
              <w:rPr>
                <w:rFonts w:eastAsia="Calibri"/>
                <w:sz w:val="22"/>
                <w:szCs w:val="22"/>
              </w:rPr>
              <w:t>Kari TDK-n díjazott dolgozat tutorálása</w:t>
            </w:r>
            <w:r w:rsidRPr="00B93DFE">
              <w:rPr>
                <w:rFonts w:eastAsia="Calibri"/>
                <w:sz w:val="22"/>
                <w:szCs w:val="22"/>
                <w:vertAlign w:val="superscript"/>
              </w:rPr>
              <w:t>5</w:t>
            </w:r>
          </w:p>
        </w:tc>
        <w:tc>
          <w:tcPr>
            <w:tcW w:w="635" w:type="dxa"/>
            <w:shd w:val="clear" w:color="auto" w:fill="auto"/>
            <w:noWrap/>
            <w:vAlign w:val="bottom"/>
          </w:tcPr>
          <w:p w14:paraId="61CF58C6" w14:textId="77777777" w:rsidR="00934AB0" w:rsidRPr="00B93DFE" w:rsidRDefault="00934AB0" w:rsidP="005E14B0">
            <w:pPr>
              <w:spacing w:before="40" w:after="40"/>
              <w:jc w:val="right"/>
              <w:rPr>
                <w:rFonts w:eastAsia="Calibri"/>
                <w:sz w:val="22"/>
                <w:szCs w:val="22"/>
              </w:rPr>
            </w:pPr>
            <w:r w:rsidRPr="00B93DFE">
              <w:rPr>
                <w:rFonts w:eastAsia="Calibri"/>
                <w:sz w:val="22"/>
                <w:szCs w:val="22"/>
              </w:rPr>
              <w:t>3,00</w:t>
            </w:r>
          </w:p>
        </w:tc>
        <w:tc>
          <w:tcPr>
            <w:tcW w:w="2181" w:type="dxa"/>
            <w:shd w:val="clear" w:color="auto" w:fill="auto"/>
            <w:noWrap/>
            <w:vAlign w:val="bottom"/>
          </w:tcPr>
          <w:p w14:paraId="6A8D9059" w14:textId="77777777" w:rsidR="00934AB0" w:rsidRPr="00B93DFE" w:rsidRDefault="00934AB0" w:rsidP="005E14B0">
            <w:pPr>
              <w:spacing w:before="40" w:after="40"/>
              <w:rPr>
                <w:rFonts w:eastAsia="Calibri"/>
                <w:sz w:val="22"/>
                <w:szCs w:val="22"/>
              </w:rPr>
            </w:pPr>
            <w:r w:rsidRPr="00B93DFE">
              <w:rPr>
                <w:rFonts w:eastAsia="Calibri"/>
                <w:sz w:val="22"/>
                <w:szCs w:val="22"/>
              </w:rPr>
              <w:t>Pontszám/hallgató</w:t>
            </w:r>
          </w:p>
        </w:tc>
      </w:tr>
    </w:tbl>
    <w:p w14:paraId="77F8526E" w14:textId="77777777" w:rsidR="00934AB0" w:rsidRPr="00B93DFE" w:rsidRDefault="00934AB0" w:rsidP="00934AB0">
      <w:pPr>
        <w:rPr>
          <w:rFonts w:eastAsia="Calibri"/>
          <w:sz w:val="20"/>
          <w:szCs w:val="22"/>
        </w:rPr>
      </w:pPr>
      <w:r w:rsidRPr="00B93DFE">
        <w:rPr>
          <w:rFonts w:eastAsia="Calibri"/>
          <w:sz w:val="20"/>
          <w:szCs w:val="22"/>
          <w:vertAlign w:val="superscript"/>
        </w:rPr>
        <w:t>1</w:t>
      </w:r>
      <w:r w:rsidRPr="00B93DFE">
        <w:rPr>
          <w:rFonts w:eastAsia="Calibri"/>
          <w:sz w:val="20"/>
          <w:szCs w:val="22"/>
        </w:rPr>
        <w:t>: az oktatási hetekkel arányban maximum évi 56 óra (28 hét * 2 óra/hét) számolható el</w:t>
      </w:r>
    </w:p>
    <w:p w14:paraId="0C7F4ABD" w14:textId="77777777" w:rsidR="00934AB0" w:rsidRPr="00B93DFE" w:rsidRDefault="00934AB0" w:rsidP="00934AB0">
      <w:pPr>
        <w:rPr>
          <w:rFonts w:eastAsia="Calibri"/>
          <w:sz w:val="20"/>
          <w:szCs w:val="22"/>
        </w:rPr>
      </w:pPr>
      <w:r w:rsidRPr="00B93DFE">
        <w:rPr>
          <w:rFonts w:eastAsia="Calibri"/>
          <w:sz w:val="20"/>
          <w:szCs w:val="22"/>
          <w:vertAlign w:val="superscript"/>
        </w:rPr>
        <w:t>2</w:t>
      </w:r>
      <w:r w:rsidRPr="00B93DFE">
        <w:rPr>
          <w:rFonts w:eastAsia="Calibri"/>
          <w:sz w:val="20"/>
          <w:szCs w:val="22"/>
        </w:rPr>
        <w:t xml:space="preserve">: </w:t>
      </w:r>
      <w:proofErr w:type="spellStart"/>
      <w:r w:rsidRPr="00B93DFE">
        <w:rPr>
          <w:rFonts w:eastAsia="Calibri"/>
          <w:sz w:val="20"/>
          <w:szCs w:val="22"/>
        </w:rPr>
        <w:t>BSc</w:t>
      </w:r>
      <w:proofErr w:type="spellEnd"/>
      <w:r w:rsidRPr="00B93DFE">
        <w:rPr>
          <w:rFonts w:eastAsia="Calibri"/>
          <w:sz w:val="20"/>
          <w:szCs w:val="22"/>
        </w:rPr>
        <w:t xml:space="preserve"> és </w:t>
      </w:r>
      <w:proofErr w:type="spellStart"/>
      <w:r w:rsidRPr="00B93DFE">
        <w:rPr>
          <w:rFonts w:eastAsia="Calibri"/>
          <w:sz w:val="20"/>
          <w:szCs w:val="22"/>
        </w:rPr>
        <w:t>MSc</w:t>
      </w:r>
      <w:proofErr w:type="spellEnd"/>
      <w:r w:rsidRPr="00B93DFE">
        <w:rPr>
          <w:rFonts w:eastAsia="Calibri"/>
          <w:sz w:val="20"/>
          <w:szCs w:val="22"/>
        </w:rPr>
        <w:t xml:space="preserve"> </w:t>
      </w:r>
      <w:proofErr w:type="gramStart"/>
      <w:r w:rsidRPr="00B93DFE">
        <w:rPr>
          <w:rFonts w:eastAsia="Calibri"/>
          <w:sz w:val="20"/>
          <w:szCs w:val="22"/>
        </w:rPr>
        <w:t>szinten</w:t>
      </w:r>
      <w:proofErr w:type="gramEnd"/>
      <w:r w:rsidRPr="00B93DFE">
        <w:rPr>
          <w:rFonts w:eastAsia="Calibri"/>
          <w:sz w:val="20"/>
          <w:szCs w:val="22"/>
        </w:rPr>
        <w:t xml:space="preserve"> együttesen legfeljebb 12 konzultáció tanévenként</w:t>
      </w:r>
    </w:p>
    <w:p w14:paraId="0A62E30B" w14:textId="77777777" w:rsidR="00934AB0" w:rsidRPr="00B93DFE" w:rsidRDefault="00934AB0" w:rsidP="00934AB0">
      <w:pPr>
        <w:rPr>
          <w:rFonts w:eastAsia="Calibri"/>
          <w:sz w:val="20"/>
          <w:szCs w:val="22"/>
        </w:rPr>
      </w:pPr>
      <w:r w:rsidRPr="00B93DFE">
        <w:rPr>
          <w:rFonts w:eastAsia="Calibri"/>
          <w:sz w:val="20"/>
          <w:szCs w:val="22"/>
          <w:vertAlign w:val="superscript"/>
        </w:rPr>
        <w:t>3</w:t>
      </w:r>
      <w:r w:rsidRPr="00B93DFE">
        <w:rPr>
          <w:rFonts w:eastAsia="Calibri"/>
          <w:sz w:val="20"/>
          <w:szCs w:val="22"/>
        </w:rPr>
        <w:t xml:space="preserve">: </w:t>
      </w:r>
      <w:proofErr w:type="spellStart"/>
      <w:r w:rsidRPr="00B93DFE">
        <w:rPr>
          <w:rFonts w:eastAsia="Calibri"/>
          <w:sz w:val="20"/>
          <w:szCs w:val="22"/>
        </w:rPr>
        <w:t>BSc</w:t>
      </w:r>
      <w:proofErr w:type="spellEnd"/>
      <w:r w:rsidRPr="00B93DFE">
        <w:rPr>
          <w:rFonts w:eastAsia="Calibri"/>
          <w:sz w:val="20"/>
          <w:szCs w:val="22"/>
        </w:rPr>
        <w:t xml:space="preserve"> és </w:t>
      </w:r>
      <w:proofErr w:type="spellStart"/>
      <w:r w:rsidRPr="00B93DFE">
        <w:rPr>
          <w:rFonts w:eastAsia="Calibri"/>
          <w:sz w:val="20"/>
          <w:szCs w:val="22"/>
        </w:rPr>
        <w:t>MSc</w:t>
      </w:r>
      <w:proofErr w:type="spellEnd"/>
      <w:r w:rsidRPr="00B93DFE">
        <w:rPr>
          <w:rFonts w:eastAsia="Calibri"/>
          <w:sz w:val="20"/>
          <w:szCs w:val="22"/>
        </w:rPr>
        <w:t xml:space="preserve"> </w:t>
      </w:r>
      <w:proofErr w:type="gramStart"/>
      <w:r w:rsidRPr="00B93DFE">
        <w:rPr>
          <w:rFonts w:eastAsia="Calibri"/>
          <w:sz w:val="20"/>
          <w:szCs w:val="22"/>
        </w:rPr>
        <w:t>szinten</w:t>
      </w:r>
      <w:proofErr w:type="gramEnd"/>
      <w:r w:rsidRPr="00B93DFE">
        <w:rPr>
          <w:rFonts w:eastAsia="Calibri"/>
          <w:sz w:val="20"/>
          <w:szCs w:val="22"/>
        </w:rPr>
        <w:t xml:space="preserve"> együttesen legfeljebb 12 másodbírálat tanévenként</w:t>
      </w:r>
    </w:p>
    <w:p w14:paraId="0EACE12F" w14:textId="77777777" w:rsidR="00934AB0" w:rsidRPr="00B93DFE" w:rsidRDefault="00934AB0" w:rsidP="00934AB0">
      <w:pPr>
        <w:rPr>
          <w:rFonts w:eastAsia="Calibri"/>
          <w:sz w:val="20"/>
          <w:szCs w:val="22"/>
        </w:rPr>
      </w:pPr>
      <w:r w:rsidRPr="00B93DFE">
        <w:rPr>
          <w:rFonts w:eastAsia="Calibri"/>
          <w:sz w:val="20"/>
          <w:szCs w:val="22"/>
          <w:vertAlign w:val="superscript"/>
        </w:rPr>
        <w:t>4</w:t>
      </w:r>
      <w:r w:rsidRPr="00B93DFE">
        <w:rPr>
          <w:rFonts w:eastAsia="Calibri"/>
          <w:sz w:val="20"/>
          <w:szCs w:val="22"/>
        </w:rPr>
        <w:t>: együttesen legfeljebb 8 hallgató/tanév</w:t>
      </w:r>
    </w:p>
    <w:p w14:paraId="194786CB" w14:textId="77777777" w:rsidR="00934AB0" w:rsidRPr="00B93DFE" w:rsidRDefault="00934AB0" w:rsidP="00934AB0">
      <w:pPr>
        <w:rPr>
          <w:rFonts w:eastAsia="Calibri"/>
          <w:sz w:val="20"/>
          <w:szCs w:val="22"/>
        </w:rPr>
      </w:pPr>
      <w:r w:rsidRPr="00B93DFE">
        <w:rPr>
          <w:rFonts w:eastAsia="Calibri"/>
          <w:sz w:val="20"/>
          <w:szCs w:val="22"/>
          <w:vertAlign w:val="superscript"/>
        </w:rPr>
        <w:t>5</w:t>
      </w:r>
      <w:r w:rsidRPr="00B93DFE">
        <w:rPr>
          <w:rFonts w:eastAsia="Calibri"/>
          <w:sz w:val="20"/>
          <w:szCs w:val="22"/>
        </w:rPr>
        <w:t xml:space="preserve">: I-III. </w:t>
      </w:r>
      <w:proofErr w:type="gramStart"/>
      <w:r w:rsidRPr="00B93DFE">
        <w:rPr>
          <w:rFonts w:eastAsia="Calibri"/>
          <w:sz w:val="20"/>
          <w:szCs w:val="22"/>
        </w:rPr>
        <w:t>helyezés</w:t>
      </w:r>
      <w:proofErr w:type="gramEnd"/>
      <w:r w:rsidRPr="00B93DFE">
        <w:rPr>
          <w:rFonts w:eastAsia="Calibri"/>
          <w:sz w:val="20"/>
          <w:szCs w:val="22"/>
        </w:rPr>
        <w:t xml:space="preserve"> vagy különdíj az értékelésre kerülő tanévben  </w:t>
      </w:r>
    </w:p>
    <w:p w14:paraId="680ACE7E" w14:textId="77777777" w:rsidR="00934AB0" w:rsidRPr="00B93DFE" w:rsidRDefault="00934AB0" w:rsidP="00934AB0">
      <w:pPr>
        <w:rPr>
          <w:rFonts w:eastAsia="Calibri"/>
          <w:sz w:val="22"/>
          <w:szCs w:val="22"/>
        </w:rPr>
      </w:pPr>
    </w:p>
    <w:p w14:paraId="01A0B32F" w14:textId="77777777" w:rsidR="00934AB0" w:rsidRPr="00B93DFE" w:rsidRDefault="00934AB0" w:rsidP="00934AB0">
      <w:pPr>
        <w:rPr>
          <w:rFonts w:eastAsia="Calibri"/>
          <w:sz w:val="22"/>
          <w:szCs w:val="22"/>
        </w:rPr>
      </w:pPr>
      <w:r w:rsidRPr="00B93DFE">
        <w:rPr>
          <w:rFonts w:eastAsia="Calibri"/>
          <w:sz w:val="22"/>
          <w:szCs w:val="22"/>
        </w:rPr>
        <w:t>2.2. Az egyéb oktatáshoz kapcsolódó teljesítmény évente összegezve kerül a rendszerbe.</w:t>
      </w:r>
    </w:p>
    <w:p w14:paraId="0D06CBC6" w14:textId="77777777" w:rsidR="00934AB0" w:rsidRPr="00B93DFE" w:rsidRDefault="00934AB0" w:rsidP="00934AB0">
      <w:pPr>
        <w:rPr>
          <w:rFonts w:eastAsia="Calibri"/>
          <w:sz w:val="22"/>
          <w:szCs w:val="22"/>
        </w:rPr>
      </w:pPr>
    </w:p>
    <w:p w14:paraId="58C41929" w14:textId="77777777" w:rsidR="00934AB0" w:rsidRPr="00B93DFE" w:rsidRDefault="00934AB0" w:rsidP="00934AB0">
      <w:pPr>
        <w:jc w:val="both"/>
        <w:rPr>
          <w:rFonts w:eastAsia="Calibri"/>
          <w:sz w:val="22"/>
          <w:szCs w:val="22"/>
        </w:rPr>
      </w:pPr>
      <w:r w:rsidRPr="00B93DFE">
        <w:rPr>
          <w:rFonts w:eastAsia="Calibri"/>
          <w:sz w:val="22"/>
          <w:szCs w:val="22"/>
        </w:rPr>
        <w:t>(3) A kontakt óratartási tevékenység (1.</w:t>
      </w:r>
      <w:r w:rsidRPr="00B93DFE" w:rsidDel="00AB52DF">
        <w:rPr>
          <w:rFonts w:eastAsia="Calibri"/>
          <w:sz w:val="22"/>
          <w:szCs w:val="22"/>
        </w:rPr>
        <w:t xml:space="preserve"> </w:t>
      </w:r>
      <w:r w:rsidRPr="00B93DFE">
        <w:rPr>
          <w:rFonts w:eastAsia="Calibri"/>
          <w:sz w:val="22"/>
          <w:szCs w:val="22"/>
        </w:rPr>
        <w:t xml:space="preserve">sz. táblázat) személyenként két félévre összesített pontszámait tudományos minősítések szerinti súlyokkal láttuk el. Az alkalmazott súlyok az oktatói </w:t>
      </w:r>
      <w:proofErr w:type="gramStart"/>
      <w:r w:rsidRPr="00B93DFE">
        <w:rPr>
          <w:rFonts w:eastAsia="Calibri"/>
          <w:sz w:val="22"/>
          <w:szCs w:val="22"/>
        </w:rPr>
        <w:t>kategóriák</w:t>
      </w:r>
      <w:proofErr w:type="gramEnd"/>
      <w:r w:rsidRPr="00B93DFE">
        <w:rPr>
          <w:rFonts w:eastAsia="Calibri"/>
          <w:sz w:val="22"/>
          <w:szCs w:val="22"/>
        </w:rPr>
        <w:t xml:space="preserve"> alapilletményi besorolási különbözeteit követik, azaz a következőképpen alakulnak:</w:t>
      </w:r>
    </w:p>
    <w:p w14:paraId="76062201" w14:textId="77777777" w:rsidR="00934AB0" w:rsidRPr="00B93DFE" w:rsidRDefault="00934AB0" w:rsidP="00934AB0">
      <w:pPr>
        <w:rPr>
          <w:rFonts w:eastAsia="Calibri"/>
          <w:sz w:val="22"/>
          <w:szCs w:val="22"/>
        </w:rPr>
      </w:pPr>
    </w:p>
    <w:p w14:paraId="64537C4B" w14:textId="77777777" w:rsidR="00934AB0" w:rsidRPr="00B93DFE" w:rsidRDefault="00934AB0" w:rsidP="00934AB0">
      <w:pPr>
        <w:jc w:val="center"/>
        <w:rPr>
          <w:rFonts w:eastAsia="Calibri"/>
          <w:b/>
          <w:sz w:val="22"/>
          <w:szCs w:val="22"/>
        </w:rPr>
      </w:pPr>
      <w:r w:rsidRPr="00B93DFE">
        <w:rPr>
          <w:rFonts w:eastAsia="Calibri"/>
          <w:b/>
          <w:sz w:val="22"/>
          <w:szCs w:val="22"/>
        </w:rPr>
        <w:t>3.1. sz. táblázat: Minősítési szorzó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1"/>
      </w:tblGrid>
      <w:tr w:rsidR="00934AB0" w:rsidRPr="00B93DFE" w14:paraId="6C51FECE" w14:textId="77777777" w:rsidTr="005E14B0">
        <w:trPr>
          <w:jc w:val="center"/>
        </w:trPr>
        <w:tc>
          <w:tcPr>
            <w:tcW w:w="0" w:type="auto"/>
            <w:shd w:val="clear" w:color="auto" w:fill="auto"/>
          </w:tcPr>
          <w:p w14:paraId="71D433DE" w14:textId="77777777" w:rsidR="00934AB0" w:rsidRPr="00B93DFE" w:rsidRDefault="00934AB0" w:rsidP="005E14B0">
            <w:pPr>
              <w:spacing w:before="40" w:after="40"/>
              <w:rPr>
                <w:rFonts w:eastAsia="Calibri"/>
                <w:sz w:val="22"/>
                <w:szCs w:val="22"/>
              </w:rPr>
            </w:pPr>
            <w:proofErr w:type="spellStart"/>
            <w:r w:rsidRPr="00B93DFE">
              <w:rPr>
                <w:rFonts w:eastAsia="Calibri"/>
                <w:sz w:val="22"/>
                <w:szCs w:val="22"/>
              </w:rPr>
              <w:t>DSc</w:t>
            </w:r>
            <w:proofErr w:type="spellEnd"/>
            <w:r w:rsidRPr="00B93DFE">
              <w:rPr>
                <w:rFonts w:eastAsia="Calibri"/>
                <w:sz w:val="22"/>
                <w:szCs w:val="22"/>
              </w:rPr>
              <w:t>, MTA doktora</w:t>
            </w:r>
          </w:p>
        </w:tc>
        <w:tc>
          <w:tcPr>
            <w:tcW w:w="0" w:type="auto"/>
            <w:shd w:val="clear" w:color="auto" w:fill="auto"/>
          </w:tcPr>
          <w:p w14:paraId="74D6B7B1" w14:textId="77777777" w:rsidR="00934AB0" w:rsidRPr="00B93DFE" w:rsidRDefault="00934AB0" w:rsidP="005E14B0">
            <w:pPr>
              <w:spacing w:before="40" w:after="40"/>
              <w:rPr>
                <w:rFonts w:eastAsia="Calibri"/>
                <w:sz w:val="22"/>
                <w:szCs w:val="22"/>
              </w:rPr>
            </w:pPr>
            <w:r w:rsidRPr="00B93DFE">
              <w:rPr>
                <w:rFonts w:eastAsia="Calibri"/>
                <w:sz w:val="22"/>
                <w:szCs w:val="22"/>
              </w:rPr>
              <w:t>1,00</w:t>
            </w:r>
          </w:p>
        </w:tc>
      </w:tr>
      <w:tr w:rsidR="00934AB0" w:rsidRPr="00B93DFE" w14:paraId="45D50D95" w14:textId="77777777" w:rsidTr="005E14B0">
        <w:trPr>
          <w:jc w:val="center"/>
        </w:trPr>
        <w:tc>
          <w:tcPr>
            <w:tcW w:w="0" w:type="auto"/>
            <w:shd w:val="clear" w:color="auto" w:fill="auto"/>
          </w:tcPr>
          <w:p w14:paraId="20A90845"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Habilitált </w:t>
            </w:r>
          </w:p>
        </w:tc>
        <w:tc>
          <w:tcPr>
            <w:tcW w:w="0" w:type="auto"/>
            <w:shd w:val="clear" w:color="auto" w:fill="auto"/>
          </w:tcPr>
          <w:p w14:paraId="0FAEF40B" w14:textId="77777777" w:rsidR="00934AB0" w:rsidRPr="00B93DFE" w:rsidRDefault="00934AB0" w:rsidP="005E14B0">
            <w:pPr>
              <w:spacing w:before="40" w:after="40"/>
              <w:rPr>
                <w:rFonts w:eastAsia="Calibri"/>
                <w:sz w:val="22"/>
                <w:szCs w:val="22"/>
              </w:rPr>
            </w:pPr>
            <w:r w:rsidRPr="00B93DFE">
              <w:rPr>
                <w:rFonts w:eastAsia="Calibri"/>
                <w:sz w:val="22"/>
                <w:szCs w:val="22"/>
              </w:rPr>
              <w:t>0,80</w:t>
            </w:r>
          </w:p>
        </w:tc>
      </w:tr>
      <w:tr w:rsidR="00934AB0" w:rsidRPr="00B93DFE" w14:paraId="752F128E" w14:textId="77777777" w:rsidTr="005E14B0">
        <w:trPr>
          <w:jc w:val="center"/>
        </w:trPr>
        <w:tc>
          <w:tcPr>
            <w:tcW w:w="0" w:type="auto"/>
            <w:shd w:val="clear" w:color="auto" w:fill="auto"/>
          </w:tcPr>
          <w:p w14:paraId="1976E0D4" w14:textId="77777777" w:rsidR="00934AB0" w:rsidRPr="00B93DFE" w:rsidRDefault="00934AB0" w:rsidP="005E14B0">
            <w:pPr>
              <w:spacing w:before="40" w:after="40"/>
              <w:rPr>
                <w:rFonts w:eastAsia="Calibri"/>
                <w:sz w:val="22"/>
                <w:szCs w:val="22"/>
              </w:rPr>
            </w:pPr>
            <w:proofErr w:type="spellStart"/>
            <w:r w:rsidRPr="00B93DFE">
              <w:rPr>
                <w:rFonts w:eastAsia="Calibri"/>
                <w:sz w:val="22"/>
                <w:szCs w:val="22"/>
              </w:rPr>
              <w:t>CSc</w:t>
            </w:r>
            <w:proofErr w:type="spellEnd"/>
            <w:r w:rsidRPr="00B93DFE">
              <w:rPr>
                <w:rFonts w:eastAsia="Calibri"/>
                <w:sz w:val="22"/>
                <w:szCs w:val="22"/>
              </w:rPr>
              <w:t>, PhD</w:t>
            </w:r>
          </w:p>
        </w:tc>
        <w:tc>
          <w:tcPr>
            <w:tcW w:w="0" w:type="auto"/>
            <w:shd w:val="clear" w:color="auto" w:fill="auto"/>
          </w:tcPr>
          <w:p w14:paraId="009BD460" w14:textId="77777777" w:rsidR="00934AB0" w:rsidRPr="00B93DFE" w:rsidRDefault="00934AB0" w:rsidP="005E14B0">
            <w:pPr>
              <w:spacing w:before="40" w:after="40"/>
              <w:rPr>
                <w:rFonts w:eastAsia="Calibri"/>
                <w:sz w:val="22"/>
                <w:szCs w:val="22"/>
              </w:rPr>
            </w:pPr>
            <w:r w:rsidRPr="00B93DFE">
              <w:rPr>
                <w:rFonts w:eastAsia="Calibri"/>
                <w:sz w:val="22"/>
                <w:szCs w:val="22"/>
              </w:rPr>
              <w:t>0,60</w:t>
            </w:r>
          </w:p>
        </w:tc>
      </w:tr>
      <w:tr w:rsidR="00934AB0" w:rsidRPr="00B93DFE" w14:paraId="0797265C" w14:textId="77777777" w:rsidTr="005E14B0">
        <w:trPr>
          <w:jc w:val="center"/>
        </w:trPr>
        <w:tc>
          <w:tcPr>
            <w:tcW w:w="0" w:type="auto"/>
            <w:shd w:val="clear" w:color="auto" w:fill="auto"/>
          </w:tcPr>
          <w:p w14:paraId="29E7CDD2"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Tudományos fokozat nélkül  </w:t>
            </w:r>
          </w:p>
        </w:tc>
        <w:tc>
          <w:tcPr>
            <w:tcW w:w="0" w:type="auto"/>
            <w:shd w:val="clear" w:color="auto" w:fill="auto"/>
          </w:tcPr>
          <w:p w14:paraId="3CCFB673" w14:textId="77777777" w:rsidR="00934AB0" w:rsidRPr="00B93DFE" w:rsidRDefault="00934AB0" w:rsidP="005E14B0">
            <w:pPr>
              <w:spacing w:before="40" w:after="40"/>
              <w:rPr>
                <w:rFonts w:eastAsia="Calibri"/>
                <w:sz w:val="22"/>
                <w:szCs w:val="22"/>
              </w:rPr>
            </w:pPr>
            <w:r w:rsidRPr="00B93DFE">
              <w:rPr>
                <w:rFonts w:eastAsia="Calibri"/>
                <w:sz w:val="22"/>
                <w:szCs w:val="22"/>
              </w:rPr>
              <w:t>0,40</w:t>
            </w:r>
          </w:p>
        </w:tc>
      </w:tr>
    </w:tbl>
    <w:p w14:paraId="4CA73CF6" w14:textId="77777777" w:rsidR="00934AB0" w:rsidRPr="00B93DFE" w:rsidRDefault="00934AB0" w:rsidP="00934AB0">
      <w:pPr>
        <w:spacing w:before="120"/>
        <w:jc w:val="both"/>
        <w:rPr>
          <w:rFonts w:eastAsia="Calibri"/>
          <w:sz w:val="20"/>
          <w:szCs w:val="22"/>
        </w:rPr>
      </w:pPr>
      <w:r w:rsidRPr="00B93DFE">
        <w:rPr>
          <w:rFonts w:eastAsia="Calibri"/>
          <w:sz w:val="20"/>
          <w:szCs w:val="22"/>
        </w:rPr>
        <w:t xml:space="preserve">A legmagasabb tudományos fokozat megszerzése óta a karon töltött oktatási idővel arányosan (a közalkalmazotti bérskála mintájára) többletszorzó alkalmazandó az alábbi módon: nyelvtanár, mestertanár, mesteroktató, </w:t>
      </w:r>
      <w:proofErr w:type="spellStart"/>
      <w:r w:rsidRPr="00B93DFE">
        <w:rPr>
          <w:rFonts w:eastAsia="Calibri"/>
          <w:sz w:val="20"/>
          <w:szCs w:val="22"/>
        </w:rPr>
        <w:t>CSc</w:t>
      </w:r>
      <w:proofErr w:type="spellEnd"/>
      <w:r w:rsidRPr="00B93DFE">
        <w:rPr>
          <w:rFonts w:eastAsia="Calibri"/>
          <w:sz w:val="20"/>
          <w:szCs w:val="22"/>
        </w:rPr>
        <w:t xml:space="preserve">/PhD esetében 10 évente, dr. habil és </w:t>
      </w:r>
      <w:proofErr w:type="spellStart"/>
      <w:r w:rsidRPr="00B93DFE">
        <w:rPr>
          <w:rFonts w:eastAsia="Calibri"/>
          <w:sz w:val="20"/>
          <w:szCs w:val="22"/>
        </w:rPr>
        <w:t>DSc</w:t>
      </w:r>
      <w:proofErr w:type="spellEnd"/>
      <w:r w:rsidRPr="00B93DFE">
        <w:rPr>
          <w:rFonts w:eastAsia="Calibri"/>
          <w:sz w:val="20"/>
          <w:szCs w:val="22"/>
        </w:rPr>
        <w:t xml:space="preserve">/MTA doktora esetében 5 évente 0,05-tel emelkedő szorzószám (legfeljebb kétszer, </w:t>
      </w:r>
      <w:proofErr w:type="gramStart"/>
      <w:r w:rsidRPr="00B93DFE">
        <w:rPr>
          <w:rFonts w:eastAsia="Calibri"/>
          <w:sz w:val="20"/>
          <w:szCs w:val="22"/>
        </w:rPr>
        <w:t>kumulatív</w:t>
      </w:r>
      <w:proofErr w:type="gramEnd"/>
      <w:r w:rsidRPr="00B93DFE">
        <w:rPr>
          <w:rFonts w:eastAsia="Calibri"/>
          <w:sz w:val="20"/>
          <w:szCs w:val="22"/>
        </w:rPr>
        <w:t xml:space="preserve"> jelleggel). A fentieken felül az egyetemi tanári kinevezés és az MTA tagság elnyerése egyszeri, 0,1 szorzószám emelkedést eredményez. </w:t>
      </w:r>
    </w:p>
    <w:p w14:paraId="46DA8348" w14:textId="77777777" w:rsidR="00934AB0" w:rsidRPr="00B93DFE" w:rsidRDefault="00934AB0" w:rsidP="00934AB0">
      <w:pPr>
        <w:jc w:val="both"/>
        <w:rPr>
          <w:rFonts w:eastAsia="Calibri"/>
          <w:sz w:val="22"/>
          <w:szCs w:val="22"/>
        </w:rPr>
      </w:pPr>
    </w:p>
    <w:p w14:paraId="47EB39CC" w14:textId="77777777" w:rsidR="00934AB0" w:rsidRPr="00B93DFE" w:rsidRDefault="00934AB0" w:rsidP="00934AB0">
      <w:pPr>
        <w:jc w:val="both"/>
        <w:rPr>
          <w:rFonts w:eastAsia="Calibri"/>
          <w:sz w:val="22"/>
          <w:szCs w:val="22"/>
        </w:rPr>
      </w:pPr>
      <w:r w:rsidRPr="00B93DFE">
        <w:rPr>
          <w:rFonts w:eastAsia="Calibri"/>
          <w:sz w:val="22"/>
          <w:szCs w:val="22"/>
        </w:rPr>
        <w:t>(4) További, az oktatás minőségét jelző súlyszámként jelenítjük meg (a törvényi elvárásokra is tekintettel) az oktatók hallgatói véleményezését, a 3.2. számú táblázat szerint.</w:t>
      </w:r>
    </w:p>
    <w:p w14:paraId="26151C61" w14:textId="77777777" w:rsidR="00934AB0" w:rsidRPr="00B93DFE" w:rsidRDefault="00934AB0" w:rsidP="00934AB0">
      <w:pPr>
        <w:jc w:val="both"/>
        <w:rPr>
          <w:rFonts w:eastAsia="Calibri"/>
          <w:sz w:val="22"/>
          <w:szCs w:val="22"/>
        </w:rPr>
      </w:pPr>
    </w:p>
    <w:p w14:paraId="12EE83D7" w14:textId="77777777" w:rsidR="00934AB0" w:rsidRPr="00B93DFE" w:rsidRDefault="00934AB0" w:rsidP="00934AB0">
      <w:pPr>
        <w:jc w:val="center"/>
        <w:rPr>
          <w:rFonts w:eastAsia="Calibri"/>
          <w:b/>
          <w:sz w:val="22"/>
          <w:szCs w:val="22"/>
        </w:rPr>
      </w:pPr>
      <w:r w:rsidRPr="00B93DFE">
        <w:rPr>
          <w:rFonts w:eastAsia="Calibri"/>
          <w:b/>
          <w:sz w:val="22"/>
          <w:szCs w:val="22"/>
        </w:rPr>
        <w:t>3.2. sz. táblázat: Oktatók hallgatói véleményezése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1581"/>
      </w:tblGrid>
      <w:tr w:rsidR="00934AB0" w:rsidRPr="00B93DFE" w14:paraId="0362A894" w14:textId="77777777" w:rsidTr="005E14B0">
        <w:trPr>
          <w:jc w:val="center"/>
        </w:trPr>
        <w:tc>
          <w:tcPr>
            <w:tcW w:w="4793" w:type="dxa"/>
            <w:shd w:val="clear" w:color="auto" w:fill="auto"/>
          </w:tcPr>
          <w:p w14:paraId="63449756" w14:textId="77777777" w:rsidR="00934AB0" w:rsidRPr="00B93DFE" w:rsidRDefault="00934AB0" w:rsidP="005E14B0">
            <w:pPr>
              <w:spacing w:before="40" w:after="40"/>
              <w:rPr>
                <w:sz w:val="22"/>
                <w:szCs w:val="22"/>
              </w:rPr>
            </w:pPr>
            <w:r w:rsidRPr="00B93DFE">
              <w:rPr>
                <w:sz w:val="22"/>
                <w:szCs w:val="22"/>
              </w:rPr>
              <w:t xml:space="preserve">Arany </w:t>
            </w:r>
            <w:proofErr w:type="gramStart"/>
            <w:r w:rsidRPr="00B93DFE">
              <w:rPr>
                <w:sz w:val="22"/>
                <w:szCs w:val="22"/>
              </w:rPr>
              <w:t>katedra</w:t>
            </w:r>
            <w:proofErr w:type="gramEnd"/>
            <w:r w:rsidRPr="00B93DFE">
              <w:rPr>
                <w:sz w:val="22"/>
                <w:szCs w:val="22"/>
              </w:rPr>
              <w:t xml:space="preserve"> díj (tanévenként egy oktató)</w:t>
            </w:r>
          </w:p>
        </w:tc>
        <w:tc>
          <w:tcPr>
            <w:tcW w:w="1581" w:type="dxa"/>
            <w:shd w:val="clear" w:color="auto" w:fill="auto"/>
          </w:tcPr>
          <w:p w14:paraId="596E9BFA" w14:textId="77777777" w:rsidR="00934AB0" w:rsidRPr="00B93DFE" w:rsidRDefault="00934AB0" w:rsidP="005E14B0">
            <w:pPr>
              <w:spacing w:before="40" w:after="40"/>
              <w:jc w:val="center"/>
              <w:rPr>
                <w:sz w:val="22"/>
                <w:szCs w:val="22"/>
              </w:rPr>
            </w:pPr>
            <w:r w:rsidRPr="00B93DFE">
              <w:rPr>
                <w:sz w:val="22"/>
                <w:szCs w:val="22"/>
              </w:rPr>
              <w:t>1,15</w:t>
            </w:r>
          </w:p>
        </w:tc>
      </w:tr>
      <w:tr w:rsidR="00934AB0" w:rsidRPr="00B93DFE" w14:paraId="009AAA09" w14:textId="77777777" w:rsidTr="005E14B0">
        <w:trPr>
          <w:jc w:val="center"/>
        </w:trPr>
        <w:tc>
          <w:tcPr>
            <w:tcW w:w="4793" w:type="dxa"/>
            <w:shd w:val="clear" w:color="auto" w:fill="auto"/>
          </w:tcPr>
          <w:p w14:paraId="7AE9F8AC" w14:textId="77777777" w:rsidR="00934AB0" w:rsidRPr="00B93DFE" w:rsidRDefault="00934AB0" w:rsidP="005E14B0">
            <w:pPr>
              <w:spacing w:before="40" w:after="40"/>
              <w:rPr>
                <w:sz w:val="22"/>
                <w:szCs w:val="22"/>
              </w:rPr>
            </w:pPr>
            <w:r w:rsidRPr="00B93DFE">
              <w:rPr>
                <w:sz w:val="22"/>
                <w:szCs w:val="22"/>
              </w:rPr>
              <w:t>4,75 – 5,00 OMHV értékelés</w:t>
            </w:r>
          </w:p>
        </w:tc>
        <w:tc>
          <w:tcPr>
            <w:tcW w:w="1581" w:type="dxa"/>
            <w:shd w:val="clear" w:color="auto" w:fill="auto"/>
          </w:tcPr>
          <w:p w14:paraId="7CF5E68D" w14:textId="77777777" w:rsidR="00934AB0" w:rsidRPr="00B93DFE" w:rsidRDefault="00934AB0" w:rsidP="005E14B0">
            <w:pPr>
              <w:spacing w:before="40" w:after="40"/>
              <w:jc w:val="center"/>
              <w:rPr>
                <w:sz w:val="22"/>
                <w:szCs w:val="22"/>
              </w:rPr>
            </w:pPr>
            <w:r w:rsidRPr="00B93DFE">
              <w:rPr>
                <w:sz w:val="22"/>
                <w:szCs w:val="22"/>
              </w:rPr>
              <w:t>1,10</w:t>
            </w:r>
          </w:p>
        </w:tc>
      </w:tr>
      <w:tr w:rsidR="00934AB0" w:rsidRPr="00B93DFE" w14:paraId="65E6B77C" w14:textId="77777777" w:rsidTr="005E14B0">
        <w:trPr>
          <w:jc w:val="center"/>
        </w:trPr>
        <w:tc>
          <w:tcPr>
            <w:tcW w:w="4793" w:type="dxa"/>
            <w:shd w:val="clear" w:color="auto" w:fill="auto"/>
          </w:tcPr>
          <w:p w14:paraId="4879C3A8" w14:textId="77777777" w:rsidR="00934AB0" w:rsidRPr="00B93DFE" w:rsidRDefault="00934AB0" w:rsidP="005E14B0">
            <w:pPr>
              <w:spacing w:before="40" w:after="40"/>
              <w:rPr>
                <w:sz w:val="22"/>
                <w:szCs w:val="22"/>
              </w:rPr>
            </w:pPr>
            <w:r w:rsidRPr="00B93DFE">
              <w:rPr>
                <w:sz w:val="22"/>
                <w:szCs w:val="22"/>
              </w:rPr>
              <w:t>4,50 – 4,74 OMHV értékelés</w:t>
            </w:r>
          </w:p>
        </w:tc>
        <w:tc>
          <w:tcPr>
            <w:tcW w:w="1581" w:type="dxa"/>
            <w:shd w:val="clear" w:color="auto" w:fill="auto"/>
          </w:tcPr>
          <w:p w14:paraId="0253DA34" w14:textId="77777777" w:rsidR="00934AB0" w:rsidRPr="00B93DFE" w:rsidRDefault="00934AB0" w:rsidP="005E14B0">
            <w:pPr>
              <w:spacing w:before="40" w:after="40"/>
              <w:jc w:val="center"/>
              <w:rPr>
                <w:sz w:val="22"/>
                <w:szCs w:val="22"/>
              </w:rPr>
            </w:pPr>
            <w:r w:rsidRPr="00B93DFE">
              <w:rPr>
                <w:sz w:val="22"/>
                <w:szCs w:val="22"/>
              </w:rPr>
              <w:t>1,05</w:t>
            </w:r>
          </w:p>
        </w:tc>
      </w:tr>
      <w:tr w:rsidR="00934AB0" w:rsidRPr="00B93DFE" w14:paraId="0FB65900" w14:textId="77777777" w:rsidTr="005E14B0">
        <w:trPr>
          <w:jc w:val="center"/>
        </w:trPr>
        <w:tc>
          <w:tcPr>
            <w:tcW w:w="4793" w:type="dxa"/>
            <w:shd w:val="clear" w:color="auto" w:fill="auto"/>
          </w:tcPr>
          <w:p w14:paraId="5F19EB89" w14:textId="77777777" w:rsidR="00934AB0" w:rsidRPr="00B93DFE" w:rsidRDefault="00934AB0" w:rsidP="005E14B0">
            <w:pPr>
              <w:spacing w:before="40" w:after="40"/>
              <w:rPr>
                <w:sz w:val="22"/>
                <w:szCs w:val="22"/>
              </w:rPr>
            </w:pPr>
            <w:r w:rsidRPr="00B93DFE">
              <w:rPr>
                <w:sz w:val="22"/>
                <w:szCs w:val="22"/>
              </w:rPr>
              <w:t>4,00 – 4,49 OMHV értékelés</w:t>
            </w:r>
          </w:p>
        </w:tc>
        <w:tc>
          <w:tcPr>
            <w:tcW w:w="1581" w:type="dxa"/>
            <w:shd w:val="clear" w:color="auto" w:fill="auto"/>
          </w:tcPr>
          <w:p w14:paraId="006DCF4C" w14:textId="77777777" w:rsidR="00934AB0" w:rsidRPr="00B93DFE" w:rsidRDefault="00934AB0" w:rsidP="005E14B0">
            <w:pPr>
              <w:spacing w:before="40" w:after="40"/>
              <w:jc w:val="center"/>
              <w:rPr>
                <w:sz w:val="22"/>
                <w:szCs w:val="22"/>
              </w:rPr>
            </w:pPr>
            <w:r w:rsidRPr="00B93DFE">
              <w:rPr>
                <w:sz w:val="22"/>
                <w:szCs w:val="22"/>
              </w:rPr>
              <w:t>1,00</w:t>
            </w:r>
          </w:p>
        </w:tc>
      </w:tr>
      <w:tr w:rsidR="00934AB0" w:rsidRPr="00B93DFE" w14:paraId="38CB727E" w14:textId="77777777" w:rsidTr="005E14B0">
        <w:trPr>
          <w:jc w:val="center"/>
        </w:trPr>
        <w:tc>
          <w:tcPr>
            <w:tcW w:w="4793" w:type="dxa"/>
            <w:shd w:val="clear" w:color="auto" w:fill="auto"/>
          </w:tcPr>
          <w:p w14:paraId="618105ED" w14:textId="77777777" w:rsidR="00934AB0" w:rsidRPr="00B93DFE" w:rsidRDefault="00934AB0" w:rsidP="005E14B0">
            <w:pPr>
              <w:spacing w:before="40" w:after="40"/>
              <w:rPr>
                <w:sz w:val="22"/>
                <w:szCs w:val="22"/>
              </w:rPr>
            </w:pPr>
            <w:r w:rsidRPr="00B93DFE">
              <w:rPr>
                <w:sz w:val="22"/>
                <w:szCs w:val="22"/>
              </w:rPr>
              <w:t>3,50 – 3,99 OMHV értékelés</w:t>
            </w:r>
          </w:p>
        </w:tc>
        <w:tc>
          <w:tcPr>
            <w:tcW w:w="1581" w:type="dxa"/>
            <w:shd w:val="clear" w:color="auto" w:fill="auto"/>
          </w:tcPr>
          <w:p w14:paraId="2DCD51E4" w14:textId="77777777" w:rsidR="00934AB0" w:rsidRPr="00B93DFE" w:rsidRDefault="00934AB0" w:rsidP="005E14B0">
            <w:pPr>
              <w:spacing w:before="40" w:after="40"/>
              <w:jc w:val="center"/>
              <w:rPr>
                <w:sz w:val="22"/>
                <w:szCs w:val="22"/>
              </w:rPr>
            </w:pPr>
            <w:r w:rsidRPr="00B93DFE">
              <w:rPr>
                <w:sz w:val="22"/>
                <w:szCs w:val="22"/>
              </w:rPr>
              <w:t>0,95</w:t>
            </w:r>
          </w:p>
        </w:tc>
      </w:tr>
      <w:tr w:rsidR="00934AB0" w:rsidRPr="00B93DFE" w14:paraId="3B2C7E2C" w14:textId="77777777" w:rsidTr="005E14B0">
        <w:trPr>
          <w:jc w:val="center"/>
        </w:trPr>
        <w:tc>
          <w:tcPr>
            <w:tcW w:w="4793" w:type="dxa"/>
            <w:shd w:val="clear" w:color="auto" w:fill="auto"/>
          </w:tcPr>
          <w:p w14:paraId="6FF41D5E" w14:textId="77777777" w:rsidR="00934AB0" w:rsidRPr="00B93DFE" w:rsidRDefault="00934AB0" w:rsidP="005E14B0">
            <w:pPr>
              <w:spacing w:before="40" w:after="40"/>
              <w:rPr>
                <w:sz w:val="22"/>
                <w:szCs w:val="22"/>
              </w:rPr>
            </w:pPr>
            <w:r w:rsidRPr="00B93DFE">
              <w:rPr>
                <w:sz w:val="22"/>
                <w:szCs w:val="22"/>
              </w:rPr>
              <w:t>3,50 alatti OMHV értékelés</w:t>
            </w:r>
          </w:p>
        </w:tc>
        <w:tc>
          <w:tcPr>
            <w:tcW w:w="1581" w:type="dxa"/>
            <w:shd w:val="clear" w:color="auto" w:fill="auto"/>
          </w:tcPr>
          <w:p w14:paraId="031797F0" w14:textId="77777777" w:rsidR="00934AB0" w:rsidRPr="00B93DFE" w:rsidRDefault="00934AB0" w:rsidP="005E14B0">
            <w:pPr>
              <w:spacing w:before="40" w:after="40"/>
              <w:jc w:val="center"/>
              <w:rPr>
                <w:sz w:val="22"/>
                <w:szCs w:val="22"/>
              </w:rPr>
            </w:pPr>
            <w:r w:rsidRPr="00B93DFE">
              <w:rPr>
                <w:sz w:val="22"/>
                <w:szCs w:val="22"/>
              </w:rPr>
              <w:t>0,90</w:t>
            </w:r>
          </w:p>
        </w:tc>
      </w:tr>
    </w:tbl>
    <w:p w14:paraId="34F1295E" w14:textId="77777777" w:rsidR="00934AB0" w:rsidRDefault="00934AB0" w:rsidP="00934AB0">
      <w:pPr>
        <w:jc w:val="both"/>
        <w:rPr>
          <w:rFonts w:eastAsia="Calibri"/>
          <w:sz w:val="22"/>
          <w:szCs w:val="22"/>
        </w:rPr>
      </w:pPr>
    </w:p>
    <w:p w14:paraId="22CCBB4A" w14:textId="77777777" w:rsidR="00934AB0" w:rsidRPr="00B93DFE" w:rsidRDefault="00934AB0" w:rsidP="00934AB0">
      <w:pPr>
        <w:jc w:val="both"/>
        <w:rPr>
          <w:rFonts w:eastAsia="Calibri"/>
          <w:sz w:val="22"/>
          <w:szCs w:val="22"/>
        </w:rPr>
      </w:pPr>
    </w:p>
    <w:p w14:paraId="2339CBF1" w14:textId="77777777" w:rsidR="00934AB0" w:rsidRPr="00B93DFE" w:rsidRDefault="00934AB0" w:rsidP="00934AB0">
      <w:pPr>
        <w:jc w:val="both"/>
        <w:rPr>
          <w:rFonts w:eastAsia="Calibri"/>
          <w:b/>
          <w:sz w:val="22"/>
          <w:szCs w:val="22"/>
        </w:rPr>
      </w:pPr>
      <w:r w:rsidRPr="00B93DFE">
        <w:rPr>
          <w:rFonts w:eastAsia="Calibri"/>
          <w:sz w:val="22"/>
          <w:szCs w:val="22"/>
        </w:rPr>
        <w:t xml:space="preserve">(5) A 3.2. számú táblázatban </w:t>
      </w:r>
      <w:proofErr w:type="gramStart"/>
      <w:r w:rsidRPr="00B93DFE">
        <w:rPr>
          <w:rFonts w:eastAsia="Calibri"/>
          <w:sz w:val="22"/>
          <w:szCs w:val="22"/>
        </w:rPr>
        <w:t>szereplő szorzók</w:t>
      </w:r>
      <w:proofErr w:type="gramEnd"/>
      <w:r w:rsidRPr="00B93DFE">
        <w:rPr>
          <w:rFonts w:eastAsia="Calibri"/>
          <w:sz w:val="22"/>
          <w:szCs w:val="22"/>
        </w:rPr>
        <w:t xml:space="preserve"> a 3.1. számú táblázat minőségszorzóit korrigálják abban az esetben, ha az oktatási teljesítmény (a 3.1 táblázat korrekcióját követően) eléri az adott kategóriához tartozó minimális</w:t>
      </w:r>
      <w:r>
        <w:rPr>
          <w:rFonts w:eastAsia="Calibri"/>
          <w:sz w:val="22"/>
          <w:szCs w:val="22"/>
        </w:rPr>
        <w:t>an</w:t>
      </w:r>
      <w:r w:rsidRPr="00B93DFE">
        <w:rPr>
          <w:rFonts w:eastAsia="Calibri"/>
          <w:sz w:val="22"/>
          <w:szCs w:val="22"/>
        </w:rPr>
        <w:t xml:space="preserve"> elvárt teljesítményt (lásd 9. számú táblázat). </w:t>
      </w:r>
      <w:r w:rsidRPr="00B93DFE">
        <w:rPr>
          <w:sz w:val="22"/>
          <w:szCs w:val="22"/>
        </w:rPr>
        <w:t>Az OMHV értékelés a teljes tanévre vonatkozóan, azaz két félév átlagában kerül megállapításra.</w:t>
      </w:r>
      <w:r w:rsidRPr="00B93DFE">
        <w:rPr>
          <w:rFonts w:eastAsia="Calibri"/>
          <w:sz w:val="22"/>
          <w:szCs w:val="22"/>
        </w:rPr>
        <w:t xml:space="preserve"> </w:t>
      </w:r>
    </w:p>
    <w:p w14:paraId="7B51B005" w14:textId="77777777" w:rsidR="00934AB0" w:rsidRPr="00B93DFE" w:rsidRDefault="00934AB0" w:rsidP="00934AB0">
      <w:pPr>
        <w:jc w:val="both"/>
        <w:rPr>
          <w:rFonts w:eastAsia="Calibri"/>
          <w:b/>
          <w:sz w:val="22"/>
          <w:szCs w:val="22"/>
        </w:rPr>
      </w:pPr>
    </w:p>
    <w:p w14:paraId="07DA96FF" w14:textId="77777777" w:rsidR="00934AB0" w:rsidRPr="00B93DFE" w:rsidRDefault="00934AB0" w:rsidP="00934AB0">
      <w:pPr>
        <w:rPr>
          <w:rFonts w:eastAsia="Calibri"/>
          <w:sz w:val="22"/>
          <w:szCs w:val="22"/>
        </w:rPr>
      </w:pPr>
      <w:r w:rsidRPr="00B93DFE">
        <w:rPr>
          <w:rFonts w:eastAsia="Calibri"/>
          <w:sz w:val="22"/>
          <w:szCs w:val="22"/>
        </w:rPr>
        <w:t>(6) Az oktatási teljesítmény megítélése az intézetvezető írásos előterjesztése alapján dékáni hatáskör.</w:t>
      </w:r>
    </w:p>
    <w:p w14:paraId="67DF6CC2" w14:textId="77777777" w:rsidR="00934AB0" w:rsidRPr="00B93DFE" w:rsidRDefault="00934AB0" w:rsidP="00934AB0">
      <w:pPr>
        <w:rPr>
          <w:rFonts w:eastAsia="Calibri"/>
          <w:sz w:val="22"/>
          <w:szCs w:val="22"/>
        </w:rPr>
      </w:pPr>
    </w:p>
    <w:p w14:paraId="015C2A31" w14:textId="77777777" w:rsidR="00934AB0" w:rsidRPr="00B93DFE" w:rsidRDefault="00934AB0" w:rsidP="00934AB0">
      <w:pPr>
        <w:jc w:val="center"/>
        <w:rPr>
          <w:rFonts w:eastAsia="Calibri"/>
          <w:b/>
          <w:sz w:val="22"/>
          <w:szCs w:val="22"/>
        </w:rPr>
      </w:pPr>
      <w:r w:rsidRPr="00B93DFE">
        <w:rPr>
          <w:rFonts w:eastAsia="Calibri"/>
          <w:b/>
          <w:sz w:val="22"/>
          <w:szCs w:val="22"/>
        </w:rPr>
        <w:t>Az intézmény-menedzsment és projekttevékenység mérési rendszere</w:t>
      </w:r>
    </w:p>
    <w:p w14:paraId="47CB59DD" w14:textId="77777777" w:rsidR="00934AB0" w:rsidRPr="00B93DFE" w:rsidRDefault="00934AB0" w:rsidP="00934AB0">
      <w:pPr>
        <w:contextualSpacing/>
        <w:jc w:val="both"/>
        <w:rPr>
          <w:rFonts w:eastAsia="Calibri"/>
          <w:sz w:val="22"/>
          <w:szCs w:val="22"/>
        </w:rPr>
      </w:pPr>
    </w:p>
    <w:p w14:paraId="5F4358BD" w14:textId="77777777" w:rsidR="00934AB0" w:rsidRPr="00B93DFE" w:rsidRDefault="00934AB0" w:rsidP="00934AB0">
      <w:pPr>
        <w:ind w:left="-11"/>
        <w:jc w:val="both"/>
        <w:rPr>
          <w:rFonts w:eastAsia="Calibri"/>
          <w:sz w:val="22"/>
          <w:szCs w:val="22"/>
        </w:rPr>
      </w:pPr>
      <w:r w:rsidRPr="00B93DFE">
        <w:rPr>
          <w:rFonts w:eastAsia="Calibri"/>
          <w:b/>
          <w:sz w:val="22"/>
          <w:szCs w:val="22"/>
        </w:rPr>
        <w:t>4. §</w:t>
      </w:r>
      <w:r w:rsidRPr="00B93DFE">
        <w:rPr>
          <w:rFonts w:eastAsia="Calibri"/>
          <w:sz w:val="22"/>
          <w:szCs w:val="22"/>
        </w:rPr>
        <w:t xml:space="preserve"> (1) Az intézmény-menedzsment tevékenységet az alábbi területekre bontottuk:</w:t>
      </w:r>
    </w:p>
    <w:p w14:paraId="35B02DB7" w14:textId="77777777" w:rsidR="00934AB0" w:rsidRPr="00B93DFE" w:rsidRDefault="00934AB0" w:rsidP="00F83E93">
      <w:pPr>
        <w:numPr>
          <w:ilvl w:val="0"/>
          <w:numId w:val="155"/>
        </w:numPr>
        <w:jc w:val="both"/>
        <w:rPr>
          <w:rFonts w:eastAsia="Calibri"/>
          <w:sz w:val="22"/>
          <w:szCs w:val="22"/>
        </w:rPr>
      </w:pPr>
      <w:r w:rsidRPr="00B93DFE">
        <w:rPr>
          <w:rFonts w:eastAsia="Calibri"/>
          <w:sz w:val="22"/>
          <w:szCs w:val="22"/>
        </w:rPr>
        <w:t>a PTE szabályzataiban tételesen nevesített vezetői feladatkörök,</w:t>
      </w:r>
    </w:p>
    <w:p w14:paraId="42D6A444" w14:textId="77777777" w:rsidR="00934AB0" w:rsidRPr="00B93DFE" w:rsidRDefault="00934AB0" w:rsidP="00F83E93">
      <w:pPr>
        <w:numPr>
          <w:ilvl w:val="0"/>
          <w:numId w:val="155"/>
        </w:numPr>
        <w:jc w:val="both"/>
        <w:rPr>
          <w:rFonts w:eastAsia="Calibri"/>
          <w:sz w:val="22"/>
          <w:szCs w:val="22"/>
        </w:rPr>
      </w:pPr>
      <w:r w:rsidRPr="00B93DFE">
        <w:rPr>
          <w:rFonts w:eastAsia="Calibri"/>
          <w:sz w:val="22"/>
          <w:szCs w:val="22"/>
        </w:rPr>
        <w:t>folyamatos munkavégzést igénylő kari tevékenységek,</w:t>
      </w:r>
    </w:p>
    <w:p w14:paraId="3F6895ED" w14:textId="77777777" w:rsidR="00934AB0" w:rsidRPr="00B93DFE" w:rsidRDefault="00934AB0" w:rsidP="00F83E93">
      <w:pPr>
        <w:numPr>
          <w:ilvl w:val="0"/>
          <w:numId w:val="155"/>
        </w:numPr>
        <w:jc w:val="both"/>
        <w:rPr>
          <w:rFonts w:eastAsia="Calibri"/>
          <w:sz w:val="22"/>
          <w:szCs w:val="22"/>
        </w:rPr>
      </w:pPr>
      <w:r w:rsidRPr="00B93DFE">
        <w:rPr>
          <w:rFonts w:eastAsia="Calibri"/>
          <w:sz w:val="22"/>
          <w:szCs w:val="22"/>
        </w:rPr>
        <w:lastRenderedPageBreak/>
        <w:t>eseti munkavégzést igénylő tevékenységek,</w:t>
      </w:r>
    </w:p>
    <w:p w14:paraId="2A4C7B0B" w14:textId="77777777" w:rsidR="00934AB0" w:rsidRPr="00B93DFE" w:rsidRDefault="00934AB0" w:rsidP="00F83E93">
      <w:pPr>
        <w:numPr>
          <w:ilvl w:val="0"/>
          <w:numId w:val="155"/>
        </w:numPr>
        <w:jc w:val="both"/>
        <w:rPr>
          <w:rFonts w:eastAsia="Calibri"/>
          <w:sz w:val="22"/>
          <w:szCs w:val="22"/>
        </w:rPr>
      </w:pPr>
      <w:r w:rsidRPr="00B93DFE">
        <w:rPr>
          <w:rFonts w:eastAsia="Calibri"/>
          <w:sz w:val="22"/>
          <w:szCs w:val="22"/>
        </w:rPr>
        <w:t>pályázati és egyéb bevételt termelő projektekben való közreműködés.</w:t>
      </w:r>
    </w:p>
    <w:p w14:paraId="53191595" w14:textId="77777777" w:rsidR="00934AB0" w:rsidRPr="00B93DFE" w:rsidRDefault="00934AB0" w:rsidP="00934AB0">
      <w:pPr>
        <w:ind w:left="720"/>
        <w:jc w:val="both"/>
        <w:rPr>
          <w:rFonts w:eastAsia="Calibri"/>
          <w:sz w:val="22"/>
          <w:szCs w:val="22"/>
        </w:rPr>
      </w:pPr>
    </w:p>
    <w:p w14:paraId="045DE500" w14:textId="77777777" w:rsidR="00934AB0" w:rsidRPr="00B93DFE" w:rsidRDefault="00934AB0" w:rsidP="00934AB0">
      <w:pPr>
        <w:jc w:val="both"/>
        <w:rPr>
          <w:rFonts w:eastAsia="Calibri"/>
          <w:sz w:val="22"/>
          <w:szCs w:val="22"/>
        </w:rPr>
      </w:pPr>
      <w:r w:rsidRPr="00B93DFE">
        <w:rPr>
          <w:rFonts w:eastAsia="Calibri"/>
          <w:sz w:val="22"/>
          <w:szCs w:val="22"/>
        </w:rPr>
        <w:t>(2) A PTE Foglalkoztatási követelményrendszerében nevesített vezetői megbízások az ugyanott meghatározott illetménykiegészítés és pótlék mellett folyamatosan kerülnek díjazásra.</w:t>
      </w:r>
    </w:p>
    <w:p w14:paraId="2126EBBF" w14:textId="77777777" w:rsidR="00934AB0" w:rsidRPr="00B93DFE" w:rsidRDefault="00934AB0" w:rsidP="00934AB0">
      <w:pPr>
        <w:jc w:val="both"/>
        <w:rPr>
          <w:rFonts w:eastAsia="Calibri"/>
          <w:sz w:val="22"/>
          <w:szCs w:val="22"/>
        </w:rPr>
      </w:pPr>
    </w:p>
    <w:p w14:paraId="6D2EC172" w14:textId="77777777" w:rsidR="00934AB0" w:rsidRPr="00B93DFE" w:rsidRDefault="00934AB0" w:rsidP="00934AB0">
      <w:pPr>
        <w:jc w:val="both"/>
        <w:rPr>
          <w:rFonts w:eastAsia="Calibri"/>
          <w:sz w:val="22"/>
          <w:szCs w:val="22"/>
        </w:rPr>
      </w:pPr>
      <w:r w:rsidRPr="00B93DFE">
        <w:rPr>
          <w:rFonts w:eastAsia="Calibri"/>
          <w:sz w:val="22"/>
          <w:szCs w:val="22"/>
        </w:rPr>
        <w:t xml:space="preserve">(3) A folyamatos munkavégzést igénylő kari tevékenységek egy tanévre előre viszonylag </w:t>
      </w:r>
      <w:proofErr w:type="gramStart"/>
      <w:r w:rsidRPr="00B93DFE">
        <w:rPr>
          <w:rFonts w:eastAsia="Calibri"/>
          <w:sz w:val="22"/>
          <w:szCs w:val="22"/>
        </w:rPr>
        <w:t>precízen</w:t>
      </w:r>
      <w:proofErr w:type="gramEnd"/>
      <w:r w:rsidRPr="00B93DFE">
        <w:rPr>
          <w:rFonts w:eastAsia="Calibri"/>
          <w:sz w:val="22"/>
          <w:szCs w:val="22"/>
        </w:rPr>
        <w:t xml:space="preserve"> tervezhetők, ezért ezek tekintetében a havi frekvenciájú értékelés és többletjavadalmazás is lehetséges a táblázatban megadott pontszámokkal arányosan, amennyiben az adott oktató tervezhető teljes pontszáma a maga oktatói kategóriájában előírtat meghaladja. A táblázatban szereplő pontszámok nem </w:t>
      </w:r>
      <w:proofErr w:type="gramStart"/>
      <w:r w:rsidRPr="00B93DFE">
        <w:rPr>
          <w:rFonts w:eastAsia="Calibri"/>
          <w:sz w:val="22"/>
          <w:szCs w:val="22"/>
        </w:rPr>
        <w:t>automatikusan</w:t>
      </w:r>
      <w:proofErr w:type="gramEnd"/>
      <w:r w:rsidRPr="00B93DFE">
        <w:rPr>
          <w:rFonts w:eastAsia="Calibri"/>
          <w:sz w:val="22"/>
          <w:szCs w:val="22"/>
        </w:rPr>
        <w:t xml:space="preserve"> járnak, hanem az elszámolható maximumot mutatják.</w:t>
      </w:r>
    </w:p>
    <w:p w14:paraId="35C0220F" w14:textId="77777777" w:rsidR="00934AB0" w:rsidRPr="00B93DFE" w:rsidRDefault="00934AB0" w:rsidP="00934AB0">
      <w:pPr>
        <w:jc w:val="both"/>
        <w:rPr>
          <w:rFonts w:eastAsia="Calibri"/>
          <w:sz w:val="22"/>
          <w:szCs w:val="22"/>
        </w:rPr>
      </w:pPr>
    </w:p>
    <w:p w14:paraId="26E765CE" w14:textId="77777777" w:rsidR="00934AB0" w:rsidRPr="00B93DFE" w:rsidRDefault="00934AB0" w:rsidP="00934AB0">
      <w:pPr>
        <w:jc w:val="both"/>
        <w:rPr>
          <w:rFonts w:eastAsia="Calibri"/>
          <w:sz w:val="22"/>
          <w:szCs w:val="22"/>
        </w:rPr>
      </w:pPr>
      <w:r w:rsidRPr="00B93DFE">
        <w:rPr>
          <w:rFonts w:eastAsia="Calibri"/>
          <w:sz w:val="22"/>
          <w:szCs w:val="22"/>
        </w:rPr>
        <w:t>(4) A diszkrecionális (eseti) munkavégzést igénylő, ill. fajlagosan kisebb munkaidő ráfordítású (≤50 óra) tevékenységek esetében az elszámolása jellemzően évente egyszer, a teljesítményértékelési folyamathoz kapcsolódóan, utólag történik meg. Amennyiben tanév közbeni elszámolás is történt, azt a bevallásnál külön szerepeltetni kell.</w:t>
      </w:r>
    </w:p>
    <w:p w14:paraId="163946D6" w14:textId="77777777" w:rsidR="00934AB0" w:rsidRPr="00B93DFE" w:rsidRDefault="00934AB0" w:rsidP="00934AB0">
      <w:pPr>
        <w:jc w:val="both"/>
        <w:rPr>
          <w:rFonts w:eastAsia="Calibri"/>
          <w:sz w:val="22"/>
          <w:szCs w:val="22"/>
        </w:rPr>
      </w:pPr>
    </w:p>
    <w:p w14:paraId="2E5F3FA8" w14:textId="77777777" w:rsidR="00934AB0" w:rsidRPr="00B93DFE" w:rsidRDefault="00934AB0" w:rsidP="00934AB0">
      <w:pPr>
        <w:jc w:val="both"/>
        <w:rPr>
          <w:rFonts w:eastAsia="Calibri"/>
          <w:sz w:val="22"/>
          <w:szCs w:val="22"/>
        </w:rPr>
      </w:pPr>
      <w:r w:rsidRPr="00B93DFE">
        <w:rPr>
          <w:rFonts w:eastAsia="Calibri"/>
          <w:sz w:val="22"/>
          <w:szCs w:val="22"/>
        </w:rPr>
        <w:t xml:space="preserve">(5) A 4. számú táblázat oszlopai mutatják az egyes </w:t>
      </w:r>
      <w:proofErr w:type="gramStart"/>
      <w:r w:rsidRPr="00B93DFE">
        <w:rPr>
          <w:rFonts w:eastAsia="Calibri"/>
          <w:sz w:val="22"/>
          <w:szCs w:val="22"/>
        </w:rPr>
        <w:t>funkciók</w:t>
      </w:r>
      <w:proofErr w:type="gramEnd"/>
      <w:r w:rsidRPr="00B93DFE">
        <w:rPr>
          <w:rFonts w:eastAsia="Calibri"/>
          <w:sz w:val="22"/>
          <w:szCs w:val="22"/>
        </w:rPr>
        <w:t xml:space="preserve"> és tevékenységek elismert éves adminisztrációs </w:t>
      </w:r>
      <w:proofErr w:type="spellStart"/>
      <w:r w:rsidRPr="00B93DFE">
        <w:rPr>
          <w:rFonts w:eastAsia="Calibri"/>
          <w:sz w:val="22"/>
          <w:szCs w:val="22"/>
        </w:rPr>
        <w:t>óraterheit</w:t>
      </w:r>
      <w:proofErr w:type="spellEnd"/>
      <w:r w:rsidRPr="00B93DFE">
        <w:rPr>
          <w:rFonts w:eastAsia="Calibri"/>
          <w:sz w:val="22"/>
          <w:szCs w:val="22"/>
        </w:rPr>
        <w:t xml:space="preserve">, emellett indikálják a munkavégzés jellegét és elszámolásának módját is. A közelebbről nem </w:t>
      </w:r>
      <w:proofErr w:type="gramStart"/>
      <w:r w:rsidRPr="00B93DFE">
        <w:rPr>
          <w:rFonts w:eastAsia="Calibri"/>
          <w:sz w:val="22"/>
          <w:szCs w:val="22"/>
        </w:rPr>
        <w:t>definiált</w:t>
      </w:r>
      <w:proofErr w:type="gramEnd"/>
      <w:r w:rsidRPr="00B93DFE">
        <w:rPr>
          <w:rFonts w:eastAsia="Calibri"/>
          <w:sz w:val="22"/>
          <w:szCs w:val="22"/>
        </w:rPr>
        <w:t>/definiálható, illetve nagy munkaidő-</w:t>
      </w:r>
      <w:proofErr w:type="spellStart"/>
      <w:r w:rsidRPr="00B93DFE">
        <w:rPr>
          <w:rFonts w:eastAsia="Calibri"/>
          <w:sz w:val="22"/>
          <w:szCs w:val="22"/>
        </w:rPr>
        <w:t>szóródású</w:t>
      </w:r>
      <w:proofErr w:type="spellEnd"/>
      <w:r w:rsidRPr="00B93DFE">
        <w:rPr>
          <w:rFonts w:eastAsia="Calibri"/>
          <w:sz w:val="22"/>
          <w:szCs w:val="22"/>
        </w:rPr>
        <w:t xml:space="preserve"> feladatok esetében a második oszlopban nem szerepel érték, ezek egyedi vezetői mérlegelést igényelnek éves gyakorisággal.</w:t>
      </w:r>
    </w:p>
    <w:p w14:paraId="1719E78D" w14:textId="77777777" w:rsidR="00934AB0" w:rsidRPr="00B93DFE" w:rsidRDefault="00934AB0" w:rsidP="00934AB0">
      <w:pPr>
        <w:rPr>
          <w:rFonts w:eastAsia="Calibri"/>
          <w:b/>
          <w:sz w:val="22"/>
          <w:szCs w:val="22"/>
        </w:rPr>
      </w:pPr>
    </w:p>
    <w:p w14:paraId="57D4C5B1" w14:textId="77777777" w:rsidR="00934AB0" w:rsidRPr="00B93DFE" w:rsidRDefault="00934AB0" w:rsidP="00934AB0">
      <w:pPr>
        <w:spacing w:after="240"/>
        <w:jc w:val="center"/>
        <w:rPr>
          <w:rFonts w:eastAsia="Calibri"/>
          <w:b/>
          <w:sz w:val="22"/>
          <w:szCs w:val="22"/>
        </w:rPr>
      </w:pPr>
      <w:r w:rsidRPr="00B93DFE">
        <w:rPr>
          <w:rFonts w:eastAsia="Calibri"/>
          <w:b/>
          <w:sz w:val="22"/>
          <w:szCs w:val="22"/>
        </w:rPr>
        <w:t>4. sz. táblázat: Az intézmény-menedzsment tevékenység számbavétele</w:t>
      </w:r>
    </w:p>
    <w:tbl>
      <w:tblPr>
        <w:tblW w:w="9006" w:type="dxa"/>
        <w:jc w:val="center"/>
        <w:tblCellMar>
          <w:left w:w="70" w:type="dxa"/>
          <w:right w:w="70" w:type="dxa"/>
        </w:tblCellMar>
        <w:tblLook w:val="0000" w:firstRow="0" w:lastRow="0" w:firstColumn="0" w:lastColumn="0" w:noHBand="0" w:noVBand="0"/>
      </w:tblPr>
      <w:tblGrid>
        <w:gridCol w:w="3681"/>
        <w:gridCol w:w="1258"/>
        <w:gridCol w:w="2141"/>
        <w:gridCol w:w="1926"/>
      </w:tblGrid>
      <w:tr w:rsidR="00934AB0" w:rsidRPr="00B93DFE" w14:paraId="48B7CA3C" w14:textId="77777777" w:rsidTr="005E14B0">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0FD5B"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Tevékenység</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58F44EAB"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Pont/tanév</w:t>
            </w:r>
          </w:p>
        </w:tc>
        <w:tc>
          <w:tcPr>
            <w:tcW w:w="2141" w:type="dxa"/>
            <w:tcBorders>
              <w:top w:val="single" w:sz="4" w:space="0" w:color="auto"/>
              <w:left w:val="nil"/>
              <w:bottom w:val="single" w:sz="4" w:space="0" w:color="auto"/>
              <w:right w:val="single" w:sz="4" w:space="0" w:color="auto"/>
            </w:tcBorders>
          </w:tcPr>
          <w:p w14:paraId="2F7AE252"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Munkavégzés jellege</w:t>
            </w:r>
          </w:p>
        </w:tc>
        <w:tc>
          <w:tcPr>
            <w:tcW w:w="1926" w:type="dxa"/>
            <w:tcBorders>
              <w:top w:val="single" w:sz="4" w:space="0" w:color="auto"/>
              <w:left w:val="single" w:sz="4" w:space="0" w:color="auto"/>
              <w:bottom w:val="single" w:sz="4" w:space="0" w:color="auto"/>
              <w:right w:val="single" w:sz="4" w:space="0" w:color="auto"/>
            </w:tcBorders>
          </w:tcPr>
          <w:p w14:paraId="1849225B"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Elszámolás módja</w:t>
            </w:r>
          </w:p>
        </w:tc>
      </w:tr>
      <w:tr w:rsidR="00934AB0" w:rsidRPr="00B93DFE" w14:paraId="5C30A4BF"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4DD63D15" w14:textId="77777777" w:rsidR="00934AB0" w:rsidRPr="00B93DFE" w:rsidRDefault="00934AB0" w:rsidP="005E14B0">
            <w:pPr>
              <w:spacing w:before="40" w:after="40"/>
              <w:rPr>
                <w:rFonts w:eastAsia="Calibri"/>
                <w:sz w:val="22"/>
                <w:szCs w:val="22"/>
              </w:rPr>
            </w:pPr>
            <w:r w:rsidRPr="00B93DFE">
              <w:rPr>
                <w:rFonts w:eastAsia="Calibri"/>
                <w:sz w:val="22"/>
                <w:szCs w:val="22"/>
              </w:rPr>
              <w:t>Dékán</w:t>
            </w:r>
          </w:p>
        </w:tc>
        <w:tc>
          <w:tcPr>
            <w:tcW w:w="1258" w:type="dxa"/>
            <w:tcBorders>
              <w:top w:val="nil"/>
              <w:left w:val="nil"/>
              <w:bottom w:val="single" w:sz="4" w:space="0" w:color="auto"/>
              <w:right w:val="single" w:sz="4" w:space="0" w:color="auto"/>
            </w:tcBorders>
            <w:shd w:val="clear" w:color="auto" w:fill="auto"/>
            <w:noWrap/>
            <w:vAlign w:val="bottom"/>
          </w:tcPr>
          <w:p w14:paraId="2EF22DF0"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1600</w:t>
            </w:r>
          </w:p>
        </w:tc>
        <w:tc>
          <w:tcPr>
            <w:tcW w:w="2141" w:type="dxa"/>
            <w:tcBorders>
              <w:top w:val="nil"/>
              <w:left w:val="nil"/>
              <w:bottom w:val="single" w:sz="4" w:space="0" w:color="auto"/>
              <w:right w:val="single" w:sz="4" w:space="0" w:color="auto"/>
            </w:tcBorders>
          </w:tcPr>
          <w:p w14:paraId="1BD92BD4"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75731D1C"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FKR szerint</w:t>
            </w:r>
          </w:p>
        </w:tc>
      </w:tr>
      <w:tr w:rsidR="00934AB0" w:rsidRPr="00B93DFE" w14:paraId="5951D681"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512D0AAD" w14:textId="77777777" w:rsidR="00934AB0" w:rsidRPr="00B93DFE" w:rsidRDefault="00934AB0" w:rsidP="005E14B0">
            <w:pPr>
              <w:spacing w:before="40" w:after="40"/>
              <w:rPr>
                <w:rFonts w:eastAsia="Calibri"/>
                <w:sz w:val="22"/>
                <w:szCs w:val="22"/>
              </w:rPr>
            </w:pPr>
            <w:r w:rsidRPr="00B93DFE">
              <w:rPr>
                <w:rFonts w:eastAsia="Calibri"/>
                <w:sz w:val="22"/>
                <w:szCs w:val="22"/>
              </w:rPr>
              <w:t>Dékánhelyettes</w:t>
            </w:r>
          </w:p>
        </w:tc>
        <w:tc>
          <w:tcPr>
            <w:tcW w:w="1258" w:type="dxa"/>
            <w:tcBorders>
              <w:top w:val="nil"/>
              <w:left w:val="nil"/>
              <w:bottom w:val="single" w:sz="4" w:space="0" w:color="auto"/>
              <w:right w:val="single" w:sz="4" w:space="0" w:color="auto"/>
            </w:tcBorders>
            <w:shd w:val="clear" w:color="auto" w:fill="auto"/>
            <w:noWrap/>
            <w:vAlign w:val="bottom"/>
          </w:tcPr>
          <w:p w14:paraId="47FF8024"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800</w:t>
            </w:r>
          </w:p>
        </w:tc>
        <w:tc>
          <w:tcPr>
            <w:tcW w:w="2141" w:type="dxa"/>
            <w:tcBorders>
              <w:top w:val="nil"/>
              <w:left w:val="nil"/>
              <w:bottom w:val="single" w:sz="4" w:space="0" w:color="auto"/>
              <w:right w:val="single" w:sz="4" w:space="0" w:color="auto"/>
            </w:tcBorders>
          </w:tcPr>
          <w:p w14:paraId="2FE3B122"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4D0F26D7"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FKR szerint</w:t>
            </w:r>
          </w:p>
        </w:tc>
      </w:tr>
      <w:tr w:rsidR="00934AB0" w:rsidRPr="00B93DFE" w14:paraId="34CAD193"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339EE8E2" w14:textId="77777777" w:rsidR="00934AB0" w:rsidRPr="00B93DFE" w:rsidRDefault="00934AB0" w:rsidP="005E14B0">
            <w:pPr>
              <w:spacing w:before="40" w:after="40"/>
              <w:rPr>
                <w:rFonts w:eastAsia="Calibri"/>
                <w:sz w:val="22"/>
                <w:szCs w:val="22"/>
              </w:rPr>
            </w:pPr>
            <w:r w:rsidRPr="00B93DFE">
              <w:rPr>
                <w:rFonts w:eastAsia="Calibri"/>
                <w:sz w:val="22"/>
                <w:szCs w:val="22"/>
              </w:rPr>
              <w:t>Intézetvezető</w:t>
            </w:r>
          </w:p>
        </w:tc>
        <w:tc>
          <w:tcPr>
            <w:tcW w:w="1258" w:type="dxa"/>
            <w:tcBorders>
              <w:top w:val="nil"/>
              <w:left w:val="nil"/>
              <w:bottom w:val="single" w:sz="4" w:space="0" w:color="auto"/>
              <w:right w:val="single" w:sz="4" w:space="0" w:color="auto"/>
            </w:tcBorders>
            <w:shd w:val="clear" w:color="auto" w:fill="auto"/>
            <w:noWrap/>
            <w:vAlign w:val="bottom"/>
          </w:tcPr>
          <w:p w14:paraId="7258EDA8"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400</w:t>
            </w:r>
          </w:p>
        </w:tc>
        <w:tc>
          <w:tcPr>
            <w:tcW w:w="2141" w:type="dxa"/>
            <w:tcBorders>
              <w:top w:val="nil"/>
              <w:left w:val="nil"/>
              <w:bottom w:val="single" w:sz="4" w:space="0" w:color="auto"/>
              <w:right w:val="single" w:sz="4" w:space="0" w:color="auto"/>
            </w:tcBorders>
          </w:tcPr>
          <w:p w14:paraId="58A231C7"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615C80EC"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FKR szerint</w:t>
            </w:r>
          </w:p>
        </w:tc>
      </w:tr>
      <w:tr w:rsidR="00934AB0" w:rsidRPr="00B93DFE" w14:paraId="575E8CA1"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63D6C732" w14:textId="77777777" w:rsidR="00934AB0" w:rsidRPr="00B93DFE" w:rsidRDefault="00934AB0" w:rsidP="005E14B0">
            <w:pPr>
              <w:spacing w:before="40" w:after="40"/>
              <w:rPr>
                <w:rFonts w:eastAsia="Calibri"/>
                <w:sz w:val="22"/>
                <w:szCs w:val="22"/>
              </w:rPr>
            </w:pPr>
            <w:r w:rsidRPr="00B93DFE">
              <w:rPr>
                <w:rFonts w:eastAsia="Calibri"/>
                <w:sz w:val="22"/>
                <w:szCs w:val="22"/>
              </w:rPr>
              <w:t>Kari Tanács tagság (választott tag)</w:t>
            </w:r>
          </w:p>
        </w:tc>
        <w:tc>
          <w:tcPr>
            <w:tcW w:w="1258" w:type="dxa"/>
            <w:tcBorders>
              <w:top w:val="nil"/>
              <w:left w:val="nil"/>
              <w:bottom w:val="single" w:sz="4" w:space="0" w:color="auto"/>
              <w:right w:val="single" w:sz="4" w:space="0" w:color="auto"/>
            </w:tcBorders>
            <w:shd w:val="clear" w:color="auto" w:fill="auto"/>
            <w:noWrap/>
            <w:vAlign w:val="bottom"/>
          </w:tcPr>
          <w:p w14:paraId="41A4BE5A"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25</w:t>
            </w:r>
          </w:p>
        </w:tc>
        <w:tc>
          <w:tcPr>
            <w:tcW w:w="2141" w:type="dxa"/>
            <w:tcBorders>
              <w:top w:val="nil"/>
              <w:left w:val="nil"/>
              <w:bottom w:val="single" w:sz="4" w:space="0" w:color="auto"/>
              <w:right w:val="single" w:sz="4" w:space="0" w:color="auto"/>
            </w:tcBorders>
          </w:tcPr>
          <w:p w14:paraId="68275FD4"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49943FC0"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26EAC443"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6145DB32" w14:textId="77777777" w:rsidR="00934AB0" w:rsidRPr="00B93DFE" w:rsidRDefault="00934AB0" w:rsidP="005E14B0">
            <w:pPr>
              <w:spacing w:before="40" w:after="40"/>
              <w:rPr>
                <w:rFonts w:eastAsia="Calibri"/>
                <w:sz w:val="22"/>
                <w:szCs w:val="22"/>
              </w:rPr>
            </w:pPr>
            <w:r w:rsidRPr="00B93DFE">
              <w:rPr>
                <w:rFonts w:eastAsia="Calibri"/>
                <w:sz w:val="22"/>
                <w:szCs w:val="22"/>
              </w:rPr>
              <w:t>KT állandó bizottsági tag</w:t>
            </w:r>
          </w:p>
        </w:tc>
        <w:tc>
          <w:tcPr>
            <w:tcW w:w="1258" w:type="dxa"/>
            <w:tcBorders>
              <w:top w:val="nil"/>
              <w:left w:val="nil"/>
              <w:bottom w:val="single" w:sz="4" w:space="0" w:color="auto"/>
              <w:right w:val="single" w:sz="4" w:space="0" w:color="auto"/>
            </w:tcBorders>
            <w:shd w:val="clear" w:color="auto" w:fill="auto"/>
            <w:noWrap/>
            <w:vAlign w:val="bottom"/>
          </w:tcPr>
          <w:p w14:paraId="4FF6FDC8"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20</w:t>
            </w:r>
          </w:p>
        </w:tc>
        <w:tc>
          <w:tcPr>
            <w:tcW w:w="2141" w:type="dxa"/>
            <w:tcBorders>
              <w:top w:val="nil"/>
              <w:left w:val="nil"/>
              <w:bottom w:val="single" w:sz="4" w:space="0" w:color="auto"/>
              <w:right w:val="single" w:sz="4" w:space="0" w:color="auto"/>
            </w:tcBorders>
          </w:tcPr>
          <w:p w14:paraId="5172BBB8"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w:t>
            </w:r>
          </w:p>
        </w:tc>
        <w:tc>
          <w:tcPr>
            <w:tcW w:w="1926" w:type="dxa"/>
            <w:tcBorders>
              <w:top w:val="nil"/>
              <w:left w:val="single" w:sz="4" w:space="0" w:color="auto"/>
              <w:bottom w:val="single" w:sz="4" w:space="0" w:color="auto"/>
              <w:right w:val="single" w:sz="4" w:space="0" w:color="auto"/>
            </w:tcBorders>
          </w:tcPr>
          <w:p w14:paraId="3998686C"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67E7A676"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17780DB1" w14:textId="77777777" w:rsidR="00934AB0" w:rsidRPr="00B93DFE" w:rsidRDefault="00934AB0" w:rsidP="005E14B0">
            <w:pPr>
              <w:spacing w:before="40" w:after="40"/>
              <w:rPr>
                <w:rFonts w:eastAsia="Calibri"/>
                <w:sz w:val="22"/>
                <w:szCs w:val="22"/>
              </w:rPr>
            </w:pPr>
            <w:r w:rsidRPr="00B93DFE">
              <w:rPr>
                <w:rFonts w:eastAsia="Calibri"/>
                <w:sz w:val="22"/>
                <w:szCs w:val="22"/>
              </w:rPr>
              <w:t>KT állandó bizottsági elnök</w:t>
            </w:r>
          </w:p>
        </w:tc>
        <w:tc>
          <w:tcPr>
            <w:tcW w:w="1258" w:type="dxa"/>
            <w:tcBorders>
              <w:top w:val="nil"/>
              <w:left w:val="nil"/>
              <w:bottom w:val="single" w:sz="4" w:space="0" w:color="auto"/>
              <w:right w:val="single" w:sz="4" w:space="0" w:color="auto"/>
            </w:tcBorders>
            <w:shd w:val="clear" w:color="auto" w:fill="auto"/>
            <w:noWrap/>
            <w:vAlign w:val="bottom"/>
          </w:tcPr>
          <w:p w14:paraId="73B2007C"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50</w:t>
            </w:r>
          </w:p>
        </w:tc>
        <w:tc>
          <w:tcPr>
            <w:tcW w:w="2141" w:type="dxa"/>
            <w:tcBorders>
              <w:top w:val="nil"/>
              <w:left w:val="nil"/>
              <w:bottom w:val="single" w:sz="4" w:space="0" w:color="auto"/>
              <w:right w:val="single" w:sz="4" w:space="0" w:color="auto"/>
            </w:tcBorders>
          </w:tcPr>
          <w:p w14:paraId="0EC9964D"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w:t>
            </w:r>
          </w:p>
        </w:tc>
        <w:tc>
          <w:tcPr>
            <w:tcW w:w="1926" w:type="dxa"/>
            <w:tcBorders>
              <w:top w:val="nil"/>
              <w:left w:val="single" w:sz="4" w:space="0" w:color="auto"/>
              <w:bottom w:val="single" w:sz="4" w:space="0" w:color="auto"/>
              <w:right w:val="single" w:sz="4" w:space="0" w:color="auto"/>
            </w:tcBorders>
          </w:tcPr>
          <w:p w14:paraId="6697C82F"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3B7B409B"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3CE9F294" w14:textId="77777777" w:rsidR="00934AB0" w:rsidRPr="00B93DFE" w:rsidRDefault="00934AB0" w:rsidP="005E14B0">
            <w:pPr>
              <w:spacing w:before="40" w:after="40"/>
              <w:rPr>
                <w:rFonts w:cs="Arial"/>
                <w:sz w:val="22"/>
                <w:szCs w:val="22"/>
              </w:rPr>
            </w:pPr>
            <w:proofErr w:type="gramStart"/>
            <w:r w:rsidRPr="00B93DFE">
              <w:rPr>
                <w:rFonts w:cs="Arial"/>
                <w:sz w:val="22"/>
                <w:szCs w:val="22"/>
              </w:rPr>
              <w:t>Funkcionális</w:t>
            </w:r>
            <w:proofErr w:type="gramEnd"/>
            <w:r w:rsidRPr="00B93DFE">
              <w:rPr>
                <w:rFonts w:cs="Arial"/>
                <w:sz w:val="22"/>
                <w:szCs w:val="22"/>
              </w:rPr>
              <w:t xml:space="preserve"> igazgató</w:t>
            </w:r>
          </w:p>
        </w:tc>
        <w:tc>
          <w:tcPr>
            <w:tcW w:w="1258" w:type="dxa"/>
            <w:tcBorders>
              <w:top w:val="nil"/>
              <w:left w:val="nil"/>
              <w:bottom w:val="single" w:sz="4" w:space="0" w:color="auto"/>
              <w:right w:val="single" w:sz="4" w:space="0" w:color="auto"/>
            </w:tcBorders>
            <w:shd w:val="clear" w:color="auto" w:fill="auto"/>
            <w:noWrap/>
            <w:vAlign w:val="bottom"/>
          </w:tcPr>
          <w:p w14:paraId="760BFF50" w14:textId="77777777" w:rsidR="00934AB0" w:rsidRPr="00B93DFE" w:rsidRDefault="00934AB0" w:rsidP="005E14B0">
            <w:pPr>
              <w:spacing w:before="40" w:after="40"/>
              <w:jc w:val="center"/>
              <w:rPr>
                <w:rFonts w:cs="Arial"/>
                <w:sz w:val="22"/>
                <w:szCs w:val="22"/>
              </w:rPr>
            </w:pPr>
            <w:r w:rsidRPr="00B93DFE">
              <w:rPr>
                <w:rFonts w:cs="Arial"/>
                <w:sz w:val="22"/>
                <w:szCs w:val="22"/>
              </w:rPr>
              <w:t>200</w:t>
            </w:r>
          </w:p>
        </w:tc>
        <w:tc>
          <w:tcPr>
            <w:tcW w:w="2141" w:type="dxa"/>
            <w:tcBorders>
              <w:top w:val="nil"/>
              <w:left w:val="nil"/>
              <w:bottom w:val="single" w:sz="4" w:space="0" w:color="auto"/>
              <w:right w:val="single" w:sz="4" w:space="0" w:color="auto"/>
            </w:tcBorders>
          </w:tcPr>
          <w:p w14:paraId="454EA150" w14:textId="77777777" w:rsidR="00934AB0" w:rsidRPr="00B93DFE" w:rsidRDefault="00934AB0" w:rsidP="005E14B0">
            <w:pPr>
              <w:spacing w:before="40" w:after="40"/>
              <w:jc w:val="center"/>
              <w:rPr>
                <w:rFonts w:cs="Arial"/>
                <w:sz w:val="22"/>
                <w:szCs w:val="22"/>
              </w:rPr>
            </w:pPr>
            <w:r w:rsidRPr="00B93DFE">
              <w:rPr>
                <w:rFonts w:cs="Arial"/>
                <w:sz w:val="22"/>
                <w:szCs w:val="22"/>
              </w:rPr>
              <w:t>folyamatos</w:t>
            </w:r>
          </w:p>
        </w:tc>
        <w:tc>
          <w:tcPr>
            <w:tcW w:w="1926" w:type="dxa"/>
            <w:tcBorders>
              <w:top w:val="nil"/>
              <w:left w:val="single" w:sz="4" w:space="0" w:color="auto"/>
              <w:bottom w:val="single" w:sz="4" w:space="0" w:color="auto"/>
              <w:right w:val="single" w:sz="4" w:space="0" w:color="auto"/>
            </w:tcBorders>
          </w:tcPr>
          <w:p w14:paraId="748F60A3" w14:textId="77777777" w:rsidR="00934AB0" w:rsidRPr="00B93DFE" w:rsidRDefault="00934AB0" w:rsidP="005E14B0">
            <w:pPr>
              <w:spacing w:before="40" w:after="40"/>
              <w:jc w:val="center"/>
              <w:rPr>
                <w:rFonts w:cs="Arial"/>
                <w:sz w:val="22"/>
                <w:szCs w:val="22"/>
              </w:rPr>
            </w:pPr>
            <w:r w:rsidRPr="00B93DFE">
              <w:rPr>
                <w:rFonts w:cs="Arial"/>
                <w:sz w:val="22"/>
                <w:szCs w:val="22"/>
              </w:rPr>
              <w:t>havi</w:t>
            </w:r>
          </w:p>
        </w:tc>
      </w:tr>
      <w:tr w:rsidR="00934AB0" w:rsidRPr="00B93DFE" w14:paraId="6C3AFC6E"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026A49A9" w14:textId="77777777" w:rsidR="00934AB0" w:rsidRPr="00B93DFE" w:rsidRDefault="00934AB0" w:rsidP="005E14B0">
            <w:pPr>
              <w:spacing w:before="40" w:after="40"/>
              <w:rPr>
                <w:rFonts w:cs="Arial"/>
                <w:sz w:val="22"/>
                <w:szCs w:val="22"/>
              </w:rPr>
            </w:pPr>
            <w:r w:rsidRPr="00B93DFE">
              <w:rPr>
                <w:rFonts w:cs="Arial"/>
                <w:sz w:val="22"/>
                <w:szCs w:val="22"/>
              </w:rPr>
              <w:t>Központ vezetője</w:t>
            </w:r>
          </w:p>
        </w:tc>
        <w:tc>
          <w:tcPr>
            <w:tcW w:w="1258" w:type="dxa"/>
            <w:tcBorders>
              <w:top w:val="nil"/>
              <w:left w:val="nil"/>
              <w:bottom w:val="single" w:sz="4" w:space="0" w:color="auto"/>
              <w:right w:val="single" w:sz="4" w:space="0" w:color="auto"/>
            </w:tcBorders>
            <w:shd w:val="clear" w:color="auto" w:fill="auto"/>
            <w:noWrap/>
            <w:vAlign w:val="bottom"/>
          </w:tcPr>
          <w:p w14:paraId="42989995" w14:textId="77777777" w:rsidR="00934AB0" w:rsidRPr="00B93DFE" w:rsidRDefault="00934AB0" w:rsidP="005E14B0">
            <w:pPr>
              <w:spacing w:before="40" w:after="40"/>
              <w:jc w:val="center"/>
              <w:rPr>
                <w:rFonts w:cs="Arial"/>
                <w:sz w:val="22"/>
                <w:szCs w:val="22"/>
              </w:rPr>
            </w:pPr>
            <w:r w:rsidRPr="00B93DFE">
              <w:rPr>
                <w:rFonts w:cs="Arial"/>
                <w:sz w:val="22"/>
                <w:szCs w:val="22"/>
              </w:rPr>
              <w:t>100</w:t>
            </w:r>
          </w:p>
        </w:tc>
        <w:tc>
          <w:tcPr>
            <w:tcW w:w="2141" w:type="dxa"/>
            <w:tcBorders>
              <w:top w:val="nil"/>
              <w:left w:val="nil"/>
              <w:bottom w:val="single" w:sz="4" w:space="0" w:color="auto"/>
              <w:right w:val="single" w:sz="4" w:space="0" w:color="auto"/>
            </w:tcBorders>
          </w:tcPr>
          <w:p w14:paraId="7348C404" w14:textId="77777777" w:rsidR="00934AB0" w:rsidRPr="00B93DFE" w:rsidRDefault="00934AB0" w:rsidP="005E14B0">
            <w:pPr>
              <w:spacing w:before="40" w:after="40"/>
              <w:jc w:val="center"/>
              <w:rPr>
                <w:rFonts w:cs="Arial"/>
                <w:sz w:val="22"/>
                <w:szCs w:val="22"/>
              </w:rPr>
            </w:pPr>
            <w:r w:rsidRPr="00B93DFE">
              <w:rPr>
                <w:rFonts w:cs="Arial"/>
                <w:sz w:val="22"/>
                <w:szCs w:val="22"/>
              </w:rPr>
              <w:t>folyamatos</w:t>
            </w:r>
          </w:p>
        </w:tc>
        <w:tc>
          <w:tcPr>
            <w:tcW w:w="1926" w:type="dxa"/>
            <w:tcBorders>
              <w:top w:val="nil"/>
              <w:left w:val="single" w:sz="4" w:space="0" w:color="auto"/>
              <w:bottom w:val="single" w:sz="4" w:space="0" w:color="auto"/>
              <w:right w:val="single" w:sz="4" w:space="0" w:color="auto"/>
            </w:tcBorders>
          </w:tcPr>
          <w:p w14:paraId="4994CAF5" w14:textId="77777777" w:rsidR="00934AB0" w:rsidRPr="00B93DFE" w:rsidRDefault="00934AB0" w:rsidP="005E14B0">
            <w:pPr>
              <w:spacing w:before="40" w:after="40"/>
              <w:jc w:val="center"/>
              <w:rPr>
                <w:rFonts w:cs="Arial"/>
                <w:sz w:val="22"/>
                <w:szCs w:val="22"/>
              </w:rPr>
            </w:pPr>
            <w:r w:rsidRPr="00B93DFE">
              <w:rPr>
                <w:rFonts w:cs="Arial"/>
                <w:sz w:val="22"/>
                <w:szCs w:val="22"/>
              </w:rPr>
              <w:t>havi</w:t>
            </w:r>
          </w:p>
        </w:tc>
      </w:tr>
      <w:tr w:rsidR="00934AB0" w:rsidRPr="00B93DFE" w14:paraId="7ACF7B7A"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2DF30997"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Programvezető </w:t>
            </w:r>
            <w:r w:rsidRPr="00B93DFE">
              <w:rPr>
                <w:rFonts w:eastAsia="Calibri"/>
                <w:sz w:val="20"/>
                <w:szCs w:val="20"/>
              </w:rPr>
              <w:t>(kivéve PhD programok)</w:t>
            </w:r>
          </w:p>
        </w:tc>
        <w:tc>
          <w:tcPr>
            <w:tcW w:w="1258" w:type="dxa"/>
            <w:tcBorders>
              <w:top w:val="nil"/>
              <w:left w:val="nil"/>
              <w:bottom w:val="single" w:sz="4" w:space="0" w:color="auto"/>
              <w:right w:val="single" w:sz="4" w:space="0" w:color="auto"/>
            </w:tcBorders>
            <w:shd w:val="clear" w:color="auto" w:fill="auto"/>
            <w:noWrap/>
            <w:vAlign w:val="bottom"/>
          </w:tcPr>
          <w:p w14:paraId="5FC3A29F"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200</w:t>
            </w:r>
          </w:p>
        </w:tc>
        <w:tc>
          <w:tcPr>
            <w:tcW w:w="2141" w:type="dxa"/>
            <w:tcBorders>
              <w:top w:val="nil"/>
              <w:left w:val="nil"/>
              <w:bottom w:val="single" w:sz="4" w:space="0" w:color="auto"/>
              <w:right w:val="single" w:sz="4" w:space="0" w:color="auto"/>
            </w:tcBorders>
          </w:tcPr>
          <w:p w14:paraId="6F429383"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6821FC0D"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havi</w:t>
            </w:r>
          </w:p>
        </w:tc>
      </w:tr>
      <w:tr w:rsidR="00934AB0" w:rsidRPr="00B93DFE" w14:paraId="60663C88"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04C0E1B9" w14:textId="77777777" w:rsidR="00934AB0" w:rsidRPr="00B93DFE" w:rsidRDefault="00934AB0" w:rsidP="005E14B0">
            <w:pPr>
              <w:spacing w:before="40" w:after="40"/>
              <w:rPr>
                <w:rFonts w:eastAsia="Calibri"/>
                <w:sz w:val="22"/>
                <w:szCs w:val="22"/>
              </w:rPr>
            </w:pPr>
            <w:r w:rsidRPr="00B93DFE">
              <w:rPr>
                <w:rFonts w:eastAsia="Calibri"/>
                <w:sz w:val="22"/>
                <w:szCs w:val="22"/>
              </w:rPr>
              <w:t>Szenátusi tagság (választott tag)</w:t>
            </w:r>
          </w:p>
        </w:tc>
        <w:tc>
          <w:tcPr>
            <w:tcW w:w="1258" w:type="dxa"/>
            <w:tcBorders>
              <w:top w:val="nil"/>
              <w:left w:val="nil"/>
              <w:bottom w:val="single" w:sz="4" w:space="0" w:color="auto"/>
              <w:right w:val="single" w:sz="4" w:space="0" w:color="auto"/>
            </w:tcBorders>
            <w:shd w:val="clear" w:color="auto" w:fill="auto"/>
            <w:noWrap/>
            <w:vAlign w:val="bottom"/>
          </w:tcPr>
          <w:p w14:paraId="76A026F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60</w:t>
            </w:r>
          </w:p>
        </w:tc>
        <w:tc>
          <w:tcPr>
            <w:tcW w:w="2141" w:type="dxa"/>
            <w:tcBorders>
              <w:top w:val="nil"/>
              <w:left w:val="nil"/>
              <w:bottom w:val="single" w:sz="4" w:space="0" w:color="auto"/>
              <w:right w:val="single" w:sz="4" w:space="0" w:color="auto"/>
            </w:tcBorders>
          </w:tcPr>
          <w:p w14:paraId="790474E6"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w:t>
            </w:r>
          </w:p>
        </w:tc>
        <w:tc>
          <w:tcPr>
            <w:tcW w:w="1926" w:type="dxa"/>
            <w:tcBorders>
              <w:top w:val="nil"/>
              <w:left w:val="single" w:sz="4" w:space="0" w:color="auto"/>
              <w:bottom w:val="single" w:sz="4" w:space="0" w:color="auto"/>
              <w:right w:val="single" w:sz="4" w:space="0" w:color="auto"/>
            </w:tcBorders>
          </w:tcPr>
          <w:p w14:paraId="3B05965D"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havi</w:t>
            </w:r>
          </w:p>
        </w:tc>
      </w:tr>
      <w:tr w:rsidR="00934AB0" w:rsidRPr="00B93DFE" w14:paraId="2C4715FA"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4D2D29F0" w14:textId="77777777" w:rsidR="00934AB0" w:rsidRPr="00B93DFE" w:rsidRDefault="00934AB0" w:rsidP="005E14B0">
            <w:pPr>
              <w:spacing w:before="40" w:after="40"/>
              <w:rPr>
                <w:rFonts w:eastAsia="Calibri"/>
                <w:sz w:val="22"/>
                <w:szCs w:val="22"/>
              </w:rPr>
            </w:pPr>
            <w:r w:rsidRPr="00B93DFE">
              <w:rPr>
                <w:rFonts w:eastAsia="Calibri"/>
                <w:sz w:val="22"/>
                <w:szCs w:val="22"/>
              </w:rPr>
              <w:t>Szenátusi állandó bizottság tagja</w:t>
            </w:r>
          </w:p>
        </w:tc>
        <w:tc>
          <w:tcPr>
            <w:tcW w:w="1258" w:type="dxa"/>
            <w:tcBorders>
              <w:top w:val="nil"/>
              <w:left w:val="nil"/>
              <w:bottom w:val="single" w:sz="4" w:space="0" w:color="auto"/>
              <w:right w:val="single" w:sz="4" w:space="0" w:color="auto"/>
            </w:tcBorders>
            <w:shd w:val="clear" w:color="auto" w:fill="auto"/>
            <w:noWrap/>
            <w:vAlign w:val="bottom"/>
          </w:tcPr>
          <w:p w14:paraId="58AEB1AE"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20</w:t>
            </w:r>
          </w:p>
        </w:tc>
        <w:tc>
          <w:tcPr>
            <w:tcW w:w="2141" w:type="dxa"/>
            <w:tcBorders>
              <w:top w:val="nil"/>
              <w:left w:val="nil"/>
              <w:bottom w:val="single" w:sz="4" w:space="0" w:color="auto"/>
              <w:right w:val="single" w:sz="4" w:space="0" w:color="auto"/>
            </w:tcBorders>
          </w:tcPr>
          <w:p w14:paraId="40E343B7"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w:t>
            </w:r>
          </w:p>
        </w:tc>
        <w:tc>
          <w:tcPr>
            <w:tcW w:w="1926" w:type="dxa"/>
            <w:tcBorders>
              <w:top w:val="nil"/>
              <w:left w:val="single" w:sz="4" w:space="0" w:color="auto"/>
              <w:bottom w:val="single" w:sz="4" w:space="0" w:color="auto"/>
              <w:right w:val="single" w:sz="4" w:space="0" w:color="auto"/>
            </w:tcBorders>
          </w:tcPr>
          <w:p w14:paraId="69A9A5B6"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39E4168E"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3E22F003" w14:textId="77777777" w:rsidR="00934AB0" w:rsidRPr="00B93DFE" w:rsidRDefault="00934AB0" w:rsidP="005E14B0">
            <w:pPr>
              <w:spacing w:before="40" w:after="40"/>
              <w:rPr>
                <w:rFonts w:eastAsia="Calibri"/>
                <w:sz w:val="22"/>
                <w:szCs w:val="22"/>
              </w:rPr>
            </w:pPr>
            <w:r w:rsidRPr="00B93DFE">
              <w:rPr>
                <w:rFonts w:eastAsia="Calibri"/>
                <w:sz w:val="22"/>
                <w:szCs w:val="22"/>
              </w:rPr>
              <w:t>Szenátusi állandó bizottság elnöke</w:t>
            </w:r>
          </w:p>
        </w:tc>
        <w:tc>
          <w:tcPr>
            <w:tcW w:w="1258" w:type="dxa"/>
            <w:tcBorders>
              <w:top w:val="nil"/>
              <w:left w:val="nil"/>
              <w:bottom w:val="single" w:sz="4" w:space="0" w:color="auto"/>
              <w:right w:val="single" w:sz="4" w:space="0" w:color="auto"/>
            </w:tcBorders>
            <w:shd w:val="clear" w:color="auto" w:fill="auto"/>
            <w:noWrap/>
            <w:vAlign w:val="bottom"/>
          </w:tcPr>
          <w:p w14:paraId="5D5E74E9"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50</w:t>
            </w:r>
          </w:p>
        </w:tc>
        <w:tc>
          <w:tcPr>
            <w:tcW w:w="2141" w:type="dxa"/>
            <w:tcBorders>
              <w:top w:val="nil"/>
              <w:left w:val="nil"/>
              <w:bottom w:val="single" w:sz="4" w:space="0" w:color="auto"/>
              <w:right w:val="single" w:sz="4" w:space="0" w:color="auto"/>
            </w:tcBorders>
          </w:tcPr>
          <w:p w14:paraId="0BB7F5F9"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w:t>
            </w:r>
          </w:p>
        </w:tc>
        <w:tc>
          <w:tcPr>
            <w:tcW w:w="1926" w:type="dxa"/>
            <w:tcBorders>
              <w:top w:val="nil"/>
              <w:left w:val="single" w:sz="4" w:space="0" w:color="auto"/>
              <w:bottom w:val="single" w:sz="4" w:space="0" w:color="auto"/>
              <w:right w:val="single" w:sz="4" w:space="0" w:color="auto"/>
            </w:tcBorders>
          </w:tcPr>
          <w:p w14:paraId="2B641771"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601083A0"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7E420A84" w14:textId="77777777" w:rsidR="00934AB0" w:rsidRPr="00B93DFE" w:rsidRDefault="00934AB0" w:rsidP="005E14B0">
            <w:pPr>
              <w:spacing w:before="40" w:after="40"/>
              <w:rPr>
                <w:rFonts w:eastAsia="Calibri"/>
                <w:sz w:val="22"/>
                <w:szCs w:val="22"/>
              </w:rPr>
            </w:pPr>
            <w:r w:rsidRPr="00B93DFE">
              <w:rPr>
                <w:rFonts w:eastAsia="Calibri"/>
                <w:sz w:val="22"/>
                <w:szCs w:val="22"/>
              </w:rPr>
              <w:t>Ünnepségek, közéleti rendezvények</w:t>
            </w:r>
          </w:p>
        </w:tc>
        <w:tc>
          <w:tcPr>
            <w:tcW w:w="1258" w:type="dxa"/>
            <w:tcBorders>
              <w:top w:val="nil"/>
              <w:left w:val="nil"/>
              <w:bottom w:val="single" w:sz="4" w:space="0" w:color="auto"/>
              <w:right w:val="single" w:sz="4" w:space="0" w:color="auto"/>
            </w:tcBorders>
            <w:shd w:val="clear" w:color="auto" w:fill="auto"/>
            <w:noWrap/>
            <w:vAlign w:val="bottom"/>
          </w:tcPr>
          <w:p w14:paraId="469A6E5A"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50</w:t>
            </w:r>
          </w:p>
        </w:tc>
        <w:tc>
          <w:tcPr>
            <w:tcW w:w="2141" w:type="dxa"/>
            <w:tcBorders>
              <w:top w:val="nil"/>
              <w:left w:val="nil"/>
              <w:bottom w:val="single" w:sz="4" w:space="0" w:color="auto"/>
              <w:right w:val="single" w:sz="4" w:space="0" w:color="auto"/>
            </w:tcBorders>
          </w:tcPr>
          <w:p w14:paraId="2D884B0A"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w:t>
            </w:r>
          </w:p>
        </w:tc>
        <w:tc>
          <w:tcPr>
            <w:tcW w:w="1926" w:type="dxa"/>
            <w:tcBorders>
              <w:top w:val="nil"/>
              <w:left w:val="single" w:sz="4" w:space="0" w:color="auto"/>
              <w:bottom w:val="single" w:sz="4" w:space="0" w:color="auto"/>
              <w:right w:val="single" w:sz="4" w:space="0" w:color="auto"/>
            </w:tcBorders>
          </w:tcPr>
          <w:p w14:paraId="60B37807"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kimutatás szerint</w:t>
            </w:r>
          </w:p>
        </w:tc>
      </w:tr>
      <w:tr w:rsidR="00934AB0" w:rsidRPr="00B93DFE" w14:paraId="6C49A312"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74967E38" w14:textId="77777777" w:rsidR="00934AB0" w:rsidRPr="00B93DFE" w:rsidRDefault="00934AB0" w:rsidP="005E14B0">
            <w:pPr>
              <w:spacing w:before="40" w:after="40"/>
              <w:rPr>
                <w:rFonts w:cs="Arial"/>
                <w:sz w:val="20"/>
                <w:szCs w:val="20"/>
              </w:rPr>
            </w:pPr>
            <w:r w:rsidRPr="00B93DFE">
              <w:rPr>
                <w:rFonts w:cs="Arial"/>
                <w:sz w:val="20"/>
                <w:szCs w:val="20"/>
              </w:rPr>
              <w:t xml:space="preserve">World of </w:t>
            </w:r>
            <w:proofErr w:type="spellStart"/>
            <w:r w:rsidRPr="00B93DFE">
              <w:rPr>
                <w:rFonts w:cs="Arial"/>
                <w:sz w:val="20"/>
                <w:szCs w:val="20"/>
              </w:rPr>
              <w:t>Practice</w:t>
            </w:r>
            <w:proofErr w:type="spellEnd"/>
            <w:r w:rsidRPr="00B93DFE">
              <w:rPr>
                <w:rFonts w:cs="Arial"/>
                <w:sz w:val="20"/>
                <w:szCs w:val="20"/>
              </w:rPr>
              <w:t xml:space="preserve"> (</w:t>
            </w:r>
            <w:proofErr w:type="spellStart"/>
            <w:r w:rsidRPr="00B93DFE">
              <w:rPr>
                <w:rFonts w:cs="Arial"/>
                <w:sz w:val="20"/>
                <w:szCs w:val="20"/>
              </w:rPr>
              <w:t>WoP</w:t>
            </w:r>
            <w:proofErr w:type="spellEnd"/>
            <w:r w:rsidRPr="00B93DFE">
              <w:rPr>
                <w:rFonts w:cs="Arial"/>
                <w:sz w:val="20"/>
                <w:szCs w:val="20"/>
              </w:rPr>
              <w:t>) tevékenységek</w:t>
            </w:r>
          </w:p>
        </w:tc>
        <w:tc>
          <w:tcPr>
            <w:tcW w:w="1258" w:type="dxa"/>
            <w:tcBorders>
              <w:top w:val="nil"/>
              <w:left w:val="nil"/>
              <w:bottom w:val="single" w:sz="4" w:space="0" w:color="auto"/>
              <w:right w:val="single" w:sz="4" w:space="0" w:color="auto"/>
            </w:tcBorders>
            <w:shd w:val="clear" w:color="auto" w:fill="auto"/>
            <w:noWrap/>
            <w:vAlign w:val="bottom"/>
          </w:tcPr>
          <w:p w14:paraId="4C75162A" w14:textId="77777777" w:rsidR="00934AB0" w:rsidRPr="00B93DFE" w:rsidRDefault="00934AB0" w:rsidP="005E14B0">
            <w:pPr>
              <w:spacing w:before="40" w:after="40"/>
              <w:jc w:val="center"/>
              <w:rPr>
                <w:rFonts w:cs="Arial"/>
                <w:sz w:val="22"/>
                <w:szCs w:val="22"/>
              </w:rPr>
            </w:pPr>
            <w:r w:rsidRPr="00B93DFE">
              <w:rPr>
                <w:rFonts w:cs="Arial"/>
                <w:sz w:val="22"/>
                <w:szCs w:val="22"/>
              </w:rPr>
              <w:t>egyéni</w:t>
            </w:r>
          </w:p>
        </w:tc>
        <w:tc>
          <w:tcPr>
            <w:tcW w:w="2141" w:type="dxa"/>
            <w:tcBorders>
              <w:top w:val="nil"/>
              <w:left w:val="nil"/>
              <w:bottom w:val="single" w:sz="4" w:space="0" w:color="auto"/>
              <w:right w:val="single" w:sz="4" w:space="0" w:color="auto"/>
            </w:tcBorders>
          </w:tcPr>
          <w:p w14:paraId="42E031C8" w14:textId="77777777" w:rsidR="00934AB0" w:rsidRPr="00B93DFE" w:rsidRDefault="00934AB0" w:rsidP="005E14B0">
            <w:pPr>
              <w:spacing w:before="40" w:after="40"/>
              <w:jc w:val="center"/>
              <w:rPr>
                <w:rFonts w:cs="Arial"/>
                <w:sz w:val="22"/>
                <w:szCs w:val="22"/>
              </w:rPr>
            </w:pPr>
            <w:r w:rsidRPr="00B93DFE">
              <w:rPr>
                <w:rFonts w:cs="Arial"/>
                <w:sz w:val="22"/>
                <w:szCs w:val="22"/>
              </w:rPr>
              <w:t>folyamatos/eseti</w:t>
            </w:r>
          </w:p>
        </w:tc>
        <w:tc>
          <w:tcPr>
            <w:tcW w:w="1926" w:type="dxa"/>
            <w:tcBorders>
              <w:top w:val="nil"/>
              <w:left w:val="single" w:sz="4" w:space="0" w:color="auto"/>
              <w:bottom w:val="single" w:sz="4" w:space="0" w:color="auto"/>
              <w:right w:val="single" w:sz="4" w:space="0" w:color="auto"/>
            </w:tcBorders>
          </w:tcPr>
          <w:p w14:paraId="2DE2AE68" w14:textId="77777777" w:rsidR="00934AB0" w:rsidRPr="00B93DFE" w:rsidRDefault="00934AB0" w:rsidP="005E14B0">
            <w:pPr>
              <w:spacing w:before="40" w:after="40"/>
              <w:jc w:val="center"/>
              <w:rPr>
                <w:rFonts w:cs="Arial"/>
                <w:sz w:val="22"/>
                <w:szCs w:val="22"/>
              </w:rPr>
            </w:pPr>
            <w:r w:rsidRPr="00B93DFE">
              <w:rPr>
                <w:rFonts w:cs="Arial"/>
                <w:sz w:val="22"/>
                <w:szCs w:val="22"/>
              </w:rPr>
              <w:t>éves</w:t>
            </w:r>
          </w:p>
        </w:tc>
      </w:tr>
      <w:tr w:rsidR="00934AB0" w:rsidRPr="00B93DFE" w14:paraId="06A82A64" w14:textId="77777777" w:rsidTr="005E14B0">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6001DAD4"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Egyéb kari feladatok </w:t>
            </w:r>
          </w:p>
        </w:tc>
        <w:tc>
          <w:tcPr>
            <w:tcW w:w="1258" w:type="dxa"/>
            <w:tcBorders>
              <w:top w:val="nil"/>
              <w:left w:val="nil"/>
              <w:bottom w:val="single" w:sz="4" w:space="0" w:color="auto"/>
              <w:right w:val="single" w:sz="4" w:space="0" w:color="auto"/>
            </w:tcBorders>
            <w:shd w:val="clear" w:color="auto" w:fill="auto"/>
            <w:noWrap/>
            <w:vAlign w:val="bottom"/>
          </w:tcPr>
          <w:p w14:paraId="4234E96E"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egyéni</w:t>
            </w:r>
          </w:p>
        </w:tc>
        <w:tc>
          <w:tcPr>
            <w:tcW w:w="2141" w:type="dxa"/>
            <w:tcBorders>
              <w:top w:val="nil"/>
              <w:left w:val="nil"/>
              <w:bottom w:val="single" w:sz="4" w:space="0" w:color="auto"/>
              <w:right w:val="single" w:sz="4" w:space="0" w:color="auto"/>
            </w:tcBorders>
          </w:tcPr>
          <w:p w14:paraId="02EC08D1"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folyamatos/eseti</w:t>
            </w:r>
          </w:p>
        </w:tc>
        <w:tc>
          <w:tcPr>
            <w:tcW w:w="1926" w:type="dxa"/>
            <w:tcBorders>
              <w:top w:val="nil"/>
              <w:left w:val="single" w:sz="4" w:space="0" w:color="auto"/>
              <w:bottom w:val="single" w:sz="4" w:space="0" w:color="auto"/>
              <w:right w:val="single" w:sz="4" w:space="0" w:color="auto"/>
            </w:tcBorders>
          </w:tcPr>
          <w:p w14:paraId="341AE3F6"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r w:rsidR="00934AB0" w:rsidRPr="00B93DFE" w14:paraId="5ACD0403" w14:textId="77777777" w:rsidTr="005E14B0">
        <w:trPr>
          <w:trHeight w:val="255"/>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EF685"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Egyéb intézeti feladatok* </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47F4555C"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egyéni</w:t>
            </w:r>
          </w:p>
        </w:tc>
        <w:tc>
          <w:tcPr>
            <w:tcW w:w="2141" w:type="dxa"/>
            <w:tcBorders>
              <w:top w:val="single" w:sz="4" w:space="0" w:color="auto"/>
              <w:left w:val="nil"/>
              <w:bottom w:val="single" w:sz="4" w:space="0" w:color="auto"/>
              <w:right w:val="single" w:sz="4" w:space="0" w:color="auto"/>
            </w:tcBorders>
          </w:tcPr>
          <w:p w14:paraId="037B8CCF"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folyamatos/eseti</w:t>
            </w:r>
          </w:p>
        </w:tc>
        <w:tc>
          <w:tcPr>
            <w:tcW w:w="1926" w:type="dxa"/>
            <w:tcBorders>
              <w:top w:val="single" w:sz="4" w:space="0" w:color="auto"/>
              <w:left w:val="single" w:sz="4" w:space="0" w:color="auto"/>
              <w:bottom w:val="single" w:sz="4" w:space="0" w:color="auto"/>
              <w:right w:val="single" w:sz="4" w:space="0" w:color="auto"/>
            </w:tcBorders>
          </w:tcPr>
          <w:p w14:paraId="35D58145"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éves</w:t>
            </w:r>
          </w:p>
        </w:tc>
      </w:tr>
    </w:tbl>
    <w:p w14:paraId="061FE007" w14:textId="77777777" w:rsidR="00934AB0" w:rsidRPr="00B93DFE" w:rsidRDefault="00934AB0" w:rsidP="00934AB0">
      <w:pPr>
        <w:rPr>
          <w:rFonts w:eastAsia="Calibri"/>
          <w:sz w:val="20"/>
          <w:szCs w:val="22"/>
        </w:rPr>
      </w:pPr>
      <w:r w:rsidRPr="00B93DFE">
        <w:rPr>
          <w:rFonts w:eastAsia="Calibri"/>
          <w:sz w:val="20"/>
          <w:szCs w:val="22"/>
        </w:rPr>
        <w:t>*: Az egyéb intézeti feladatok a decentralizált intézeti bértömeg terhére rendelhetők, illetve számolhatók el.</w:t>
      </w:r>
    </w:p>
    <w:p w14:paraId="0FE22677" w14:textId="77777777" w:rsidR="00934AB0" w:rsidRPr="00B93DFE" w:rsidRDefault="00934AB0" w:rsidP="00934AB0">
      <w:pPr>
        <w:rPr>
          <w:rFonts w:eastAsia="Calibri"/>
          <w:sz w:val="22"/>
          <w:szCs w:val="22"/>
        </w:rPr>
      </w:pPr>
    </w:p>
    <w:p w14:paraId="71EA665D" w14:textId="77777777" w:rsidR="00934AB0" w:rsidRPr="00B93DFE" w:rsidRDefault="00934AB0" w:rsidP="00934AB0">
      <w:pPr>
        <w:jc w:val="both"/>
        <w:rPr>
          <w:rFonts w:eastAsia="Calibri"/>
          <w:sz w:val="22"/>
          <w:szCs w:val="22"/>
        </w:rPr>
      </w:pPr>
      <w:r w:rsidRPr="00B93DFE">
        <w:rPr>
          <w:rFonts w:eastAsia="Calibri"/>
          <w:sz w:val="22"/>
          <w:szCs w:val="22"/>
        </w:rPr>
        <w:t>(6) Az intézmény-menedzsment tevékenység allokálása és megítélése (a közvetlenül választott tisztségek és a decentralizált intézeti keretek terhére adott feladatok kivételével) a dékán hatáskörébe tartozik.</w:t>
      </w:r>
    </w:p>
    <w:p w14:paraId="4865F465" w14:textId="77777777" w:rsidR="00934AB0" w:rsidRPr="00B93DFE" w:rsidRDefault="00934AB0" w:rsidP="00934AB0">
      <w:pPr>
        <w:jc w:val="both"/>
        <w:rPr>
          <w:rFonts w:eastAsia="Calibri"/>
          <w:sz w:val="22"/>
          <w:szCs w:val="22"/>
        </w:rPr>
      </w:pPr>
    </w:p>
    <w:p w14:paraId="0A5DB537" w14:textId="77777777" w:rsidR="00934AB0" w:rsidRPr="00B93DFE" w:rsidRDefault="00934AB0" w:rsidP="00934AB0">
      <w:pPr>
        <w:jc w:val="both"/>
        <w:rPr>
          <w:rFonts w:eastAsia="Calibri"/>
          <w:sz w:val="22"/>
          <w:szCs w:val="22"/>
        </w:rPr>
      </w:pPr>
      <w:r w:rsidRPr="00B93DFE">
        <w:rPr>
          <w:rFonts w:eastAsia="Calibri"/>
          <w:sz w:val="22"/>
          <w:szCs w:val="22"/>
        </w:rPr>
        <w:t xml:space="preserve">(7) A pályázati és más kari bevételt generáló projektek esetében az értékelés mellett a pontos számbavételre is nagy hangsúlyt kell fektetni, pontosan kell </w:t>
      </w:r>
      <w:proofErr w:type="gramStart"/>
      <w:r w:rsidRPr="00B93DFE">
        <w:rPr>
          <w:rFonts w:eastAsia="Calibri"/>
          <w:sz w:val="22"/>
          <w:szCs w:val="22"/>
        </w:rPr>
        <w:t>indikálni</w:t>
      </w:r>
      <w:proofErr w:type="gramEnd"/>
      <w:r w:rsidRPr="00B93DFE">
        <w:rPr>
          <w:rFonts w:eastAsia="Calibri"/>
          <w:sz w:val="22"/>
          <w:szCs w:val="22"/>
        </w:rPr>
        <w:t xml:space="preserve"> az elvégzett tevékenységet, a </w:t>
      </w:r>
      <w:r w:rsidRPr="00B93DFE">
        <w:rPr>
          <w:rFonts w:eastAsia="Calibri"/>
          <w:sz w:val="22"/>
          <w:szCs w:val="22"/>
        </w:rPr>
        <w:lastRenderedPageBreak/>
        <w:t>projektet finanszírozó forrást, továbbá az egyéni szerepvállalás mértékét az elszámolt (beszámított) munkaidő és projektből realizált jövedelmek tekintetében. Mindezeket az 5. sz. táblázat mutatja.</w:t>
      </w:r>
    </w:p>
    <w:p w14:paraId="47FDAF62" w14:textId="77777777" w:rsidR="00934AB0" w:rsidRPr="00B93DFE" w:rsidRDefault="00934AB0" w:rsidP="00934AB0">
      <w:pPr>
        <w:rPr>
          <w:rFonts w:eastAsia="Calibri"/>
          <w:sz w:val="22"/>
          <w:szCs w:val="22"/>
        </w:rPr>
      </w:pPr>
    </w:p>
    <w:p w14:paraId="6A3E297A" w14:textId="77777777" w:rsidR="00934AB0" w:rsidRPr="00B93DFE" w:rsidRDefault="00934AB0" w:rsidP="00934AB0">
      <w:pPr>
        <w:spacing w:after="240"/>
        <w:jc w:val="center"/>
        <w:rPr>
          <w:rFonts w:eastAsia="Calibri"/>
          <w:b/>
          <w:sz w:val="22"/>
          <w:szCs w:val="22"/>
        </w:rPr>
      </w:pPr>
      <w:r w:rsidRPr="00B93DFE">
        <w:rPr>
          <w:rFonts w:eastAsia="Calibri"/>
          <w:b/>
          <w:sz w:val="22"/>
          <w:szCs w:val="22"/>
        </w:rPr>
        <w:t xml:space="preserve">5. sz. táblázat: Pályázatokkal és bevétel generáló projektekkel kapcsolatos </w:t>
      </w:r>
      <w:proofErr w:type="gramStart"/>
      <w:r w:rsidRPr="00B93DFE">
        <w:rPr>
          <w:rFonts w:eastAsia="Calibri"/>
          <w:b/>
          <w:sz w:val="22"/>
          <w:szCs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934AB0" w:rsidRPr="00B93DFE" w14:paraId="7F580919" w14:textId="77777777" w:rsidTr="005E14B0">
        <w:tc>
          <w:tcPr>
            <w:tcW w:w="2265" w:type="dxa"/>
            <w:shd w:val="clear" w:color="auto" w:fill="auto"/>
          </w:tcPr>
          <w:p w14:paraId="6DCA1638"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Projekt megnevezése</w:t>
            </w:r>
          </w:p>
        </w:tc>
        <w:tc>
          <w:tcPr>
            <w:tcW w:w="2265" w:type="dxa"/>
            <w:shd w:val="clear" w:color="auto" w:fill="auto"/>
          </w:tcPr>
          <w:p w14:paraId="7CC34792"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Feladatkör</w:t>
            </w:r>
          </w:p>
        </w:tc>
        <w:tc>
          <w:tcPr>
            <w:tcW w:w="2266" w:type="dxa"/>
            <w:shd w:val="clear" w:color="auto" w:fill="auto"/>
          </w:tcPr>
          <w:p w14:paraId="6A9D9529"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Elszámolt munkaidő</w:t>
            </w:r>
          </w:p>
        </w:tc>
        <w:tc>
          <w:tcPr>
            <w:tcW w:w="2266" w:type="dxa"/>
            <w:shd w:val="clear" w:color="auto" w:fill="auto"/>
          </w:tcPr>
          <w:p w14:paraId="3A70401A"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 xml:space="preserve">Kifizetett </w:t>
            </w:r>
            <w:proofErr w:type="spellStart"/>
            <w:r w:rsidRPr="00B93DFE">
              <w:rPr>
                <w:rFonts w:eastAsia="Calibri"/>
                <w:b/>
                <w:sz w:val="22"/>
                <w:szCs w:val="22"/>
              </w:rPr>
              <w:t>Br</w:t>
            </w:r>
            <w:proofErr w:type="spellEnd"/>
            <w:r w:rsidRPr="00B93DFE">
              <w:rPr>
                <w:rFonts w:eastAsia="Calibri"/>
                <w:b/>
                <w:sz w:val="22"/>
                <w:szCs w:val="22"/>
              </w:rPr>
              <w:t>. jövedelem</w:t>
            </w:r>
          </w:p>
        </w:tc>
      </w:tr>
      <w:tr w:rsidR="00934AB0" w:rsidRPr="00B93DFE" w14:paraId="6BD1DE6C" w14:textId="77777777" w:rsidTr="005E14B0">
        <w:tc>
          <w:tcPr>
            <w:tcW w:w="2265" w:type="dxa"/>
            <w:shd w:val="clear" w:color="auto" w:fill="auto"/>
            <w:vAlign w:val="center"/>
          </w:tcPr>
          <w:p w14:paraId="6F61F43F" w14:textId="77777777" w:rsidR="00934AB0" w:rsidRPr="00B93DFE" w:rsidRDefault="00934AB0" w:rsidP="005E14B0">
            <w:pPr>
              <w:spacing w:before="40" w:after="40"/>
              <w:rPr>
                <w:rFonts w:eastAsia="Calibri"/>
                <w:sz w:val="22"/>
                <w:szCs w:val="22"/>
              </w:rPr>
            </w:pPr>
            <w:r w:rsidRPr="00B93DFE">
              <w:rPr>
                <w:rFonts w:eastAsia="Calibri"/>
                <w:sz w:val="22"/>
                <w:szCs w:val="22"/>
              </w:rPr>
              <w:t>pályázati projekt 1.</w:t>
            </w:r>
          </w:p>
        </w:tc>
        <w:tc>
          <w:tcPr>
            <w:tcW w:w="2265" w:type="dxa"/>
            <w:shd w:val="clear" w:color="auto" w:fill="auto"/>
            <w:vAlign w:val="center"/>
          </w:tcPr>
          <w:p w14:paraId="1BE411F2"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munkaköri leírás kiegészítése szerint</w:t>
            </w:r>
          </w:p>
        </w:tc>
        <w:tc>
          <w:tcPr>
            <w:tcW w:w="2266" w:type="dxa"/>
            <w:shd w:val="clear" w:color="auto" w:fill="auto"/>
            <w:vAlign w:val="center"/>
          </w:tcPr>
          <w:p w14:paraId="17912A89"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heti és tanévi (július-június) összes óraszám</w:t>
            </w:r>
          </w:p>
        </w:tc>
        <w:tc>
          <w:tcPr>
            <w:tcW w:w="2266" w:type="dxa"/>
            <w:shd w:val="clear" w:color="auto" w:fill="auto"/>
            <w:vAlign w:val="center"/>
          </w:tcPr>
          <w:p w14:paraId="37199765"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havonta és tanév alatt (július-június) összesen</w:t>
            </w:r>
          </w:p>
        </w:tc>
      </w:tr>
      <w:tr w:rsidR="00934AB0" w:rsidRPr="00B93DFE" w14:paraId="48F77F1A" w14:textId="77777777" w:rsidTr="005E14B0">
        <w:tc>
          <w:tcPr>
            <w:tcW w:w="2265" w:type="dxa"/>
            <w:shd w:val="clear" w:color="auto" w:fill="auto"/>
          </w:tcPr>
          <w:p w14:paraId="6D4EC22D" w14:textId="77777777" w:rsidR="00934AB0" w:rsidRPr="00B93DFE" w:rsidRDefault="00934AB0" w:rsidP="005E14B0">
            <w:pPr>
              <w:rPr>
                <w:rFonts w:eastAsia="Calibri"/>
                <w:sz w:val="22"/>
                <w:szCs w:val="22"/>
              </w:rPr>
            </w:pPr>
            <w:r w:rsidRPr="00B93DFE">
              <w:rPr>
                <w:rFonts w:eastAsia="Calibri"/>
                <w:sz w:val="22"/>
                <w:szCs w:val="22"/>
              </w:rPr>
              <w:t>…</w:t>
            </w:r>
          </w:p>
        </w:tc>
        <w:tc>
          <w:tcPr>
            <w:tcW w:w="2265" w:type="dxa"/>
            <w:shd w:val="clear" w:color="auto" w:fill="auto"/>
          </w:tcPr>
          <w:p w14:paraId="017C3CC0" w14:textId="77777777" w:rsidR="00934AB0" w:rsidRPr="00B93DFE" w:rsidRDefault="00934AB0" w:rsidP="005E14B0">
            <w:pPr>
              <w:spacing w:before="40" w:after="40"/>
              <w:jc w:val="center"/>
              <w:rPr>
                <w:rFonts w:eastAsia="Calibri"/>
                <w:sz w:val="22"/>
                <w:szCs w:val="22"/>
              </w:rPr>
            </w:pPr>
          </w:p>
        </w:tc>
        <w:tc>
          <w:tcPr>
            <w:tcW w:w="2266" w:type="dxa"/>
            <w:shd w:val="clear" w:color="auto" w:fill="auto"/>
          </w:tcPr>
          <w:p w14:paraId="163343BB" w14:textId="77777777" w:rsidR="00934AB0" w:rsidRPr="00B93DFE" w:rsidRDefault="00934AB0" w:rsidP="005E14B0">
            <w:pPr>
              <w:spacing w:before="40" w:after="40"/>
              <w:jc w:val="center"/>
              <w:rPr>
                <w:rFonts w:eastAsia="Calibri"/>
                <w:sz w:val="22"/>
                <w:szCs w:val="22"/>
              </w:rPr>
            </w:pPr>
          </w:p>
        </w:tc>
        <w:tc>
          <w:tcPr>
            <w:tcW w:w="2266" w:type="dxa"/>
            <w:shd w:val="clear" w:color="auto" w:fill="auto"/>
          </w:tcPr>
          <w:p w14:paraId="47BA1654" w14:textId="77777777" w:rsidR="00934AB0" w:rsidRPr="00B93DFE" w:rsidRDefault="00934AB0" w:rsidP="005E14B0">
            <w:pPr>
              <w:spacing w:before="40" w:after="40"/>
              <w:jc w:val="center"/>
              <w:rPr>
                <w:rFonts w:eastAsia="Calibri"/>
                <w:sz w:val="22"/>
                <w:szCs w:val="22"/>
              </w:rPr>
            </w:pPr>
          </w:p>
        </w:tc>
      </w:tr>
      <w:tr w:rsidR="00934AB0" w:rsidRPr="00B93DFE" w14:paraId="240C49CE" w14:textId="77777777" w:rsidTr="005E14B0">
        <w:tc>
          <w:tcPr>
            <w:tcW w:w="2265" w:type="dxa"/>
            <w:shd w:val="clear" w:color="auto" w:fill="auto"/>
            <w:vAlign w:val="center"/>
          </w:tcPr>
          <w:p w14:paraId="59D3DDDD" w14:textId="77777777" w:rsidR="00934AB0" w:rsidRPr="00B93DFE" w:rsidRDefault="00934AB0" w:rsidP="005E14B0">
            <w:pPr>
              <w:spacing w:before="40" w:after="40"/>
              <w:rPr>
                <w:rFonts w:eastAsia="Calibri"/>
                <w:sz w:val="22"/>
                <w:szCs w:val="22"/>
              </w:rPr>
            </w:pPr>
          </w:p>
          <w:p w14:paraId="2FF343D3" w14:textId="77777777" w:rsidR="00934AB0" w:rsidRPr="00B93DFE" w:rsidRDefault="00934AB0" w:rsidP="005E14B0">
            <w:pPr>
              <w:spacing w:before="40" w:after="40"/>
              <w:rPr>
                <w:rFonts w:eastAsia="Calibri"/>
                <w:sz w:val="22"/>
                <w:szCs w:val="22"/>
              </w:rPr>
            </w:pPr>
            <w:r w:rsidRPr="00B93DFE">
              <w:rPr>
                <w:rFonts w:eastAsia="Calibri"/>
                <w:sz w:val="22"/>
                <w:szCs w:val="22"/>
              </w:rPr>
              <w:t>bevétel generáló projekt 1.</w:t>
            </w:r>
          </w:p>
        </w:tc>
        <w:tc>
          <w:tcPr>
            <w:tcW w:w="2265" w:type="dxa"/>
            <w:shd w:val="clear" w:color="auto" w:fill="auto"/>
            <w:vAlign w:val="center"/>
          </w:tcPr>
          <w:p w14:paraId="227DB5A5" w14:textId="77777777" w:rsidR="00934AB0" w:rsidRPr="00B93DFE" w:rsidRDefault="00934AB0" w:rsidP="005E14B0">
            <w:pPr>
              <w:spacing w:before="40" w:after="40"/>
              <w:jc w:val="center"/>
              <w:rPr>
                <w:rFonts w:eastAsia="Calibri"/>
                <w:sz w:val="22"/>
                <w:szCs w:val="22"/>
              </w:rPr>
            </w:pPr>
          </w:p>
          <w:p w14:paraId="4BAE3310"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célfeladat kitűzés szerint</w:t>
            </w:r>
          </w:p>
        </w:tc>
        <w:tc>
          <w:tcPr>
            <w:tcW w:w="2266" w:type="dxa"/>
            <w:shd w:val="clear" w:color="auto" w:fill="auto"/>
            <w:vAlign w:val="center"/>
          </w:tcPr>
          <w:p w14:paraId="74E9C886" w14:textId="77777777" w:rsidR="00934AB0" w:rsidRPr="00B93DFE" w:rsidRDefault="00934AB0" w:rsidP="005E14B0">
            <w:pPr>
              <w:spacing w:before="40" w:after="40"/>
              <w:jc w:val="center"/>
              <w:rPr>
                <w:rFonts w:eastAsia="Calibri"/>
                <w:sz w:val="22"/>
                <w:szCs w:val="22"/>
              </w:rPr>
            </w:pPr>
          </w:p>
          <w:p w14:paraId="47BEA31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szakértői munkaóra</w:t>
            </w:r>
          </w:p>
        </w:tc>
        <w:tc>
          <w:tcPr>
            <w:tcW w:w="2266" w:type="dxa"/>
            <w:shd w:val="clear" w:color="auto" w:fill="auto"/>
            <w:vAlign w:val="center"/>
          </w:tcPr>
          <w:p w14:paraId="77842855"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szakértői óradíj és/vagy teljes </w:t>
            </w:r>
            <w:proofErr w:type="spellStart"/>
            <w:r w:rsidRPr="00B93DFE">
              <w:rPr>
                <w:rFonts w:eastAsia="Calibri"/>
                <w:sz w:val="22"/>
                <w:szCs w:val="22"/>
              </w:rPr>
              <w:t>közreműködői</w:t>
            </w:r>
            <w:proofErr w:type="spellEnd"/>
            <w:r w:rsidRPr="00B93DFE">
              <w:rPr>
                <w:rFonts w:eastAsia="Calibri"/>
                <w:sz w:val="22"/>
                <w:szCs w:val="22"/>
              </w:rPr>
              <w:t xml:space="preserve"> díj</w:t>
            </w:r>
          </w:p>
        </w:tc>
      </w:tr>
      <w:tr w:rsidR="00934AB0" w:rsidRPr="00B93DFE" w14:paraId="67257B4A" w14:textId="77777777" w:rsidTr="005E14B0">
        <w:tc>
          <w:tcPr>
            <w:tcW w:w="2265" w:type="dxa"/>
            <w:shd w:val="clear" w:color="auto" w:fill="auto"/>
          </w:tcPr>
          <w:p w14:paraId="0678204F" w14:textId="77777777" w:rsidR="00934AB0" w:rsidRPr="00B93DFE" w:rsidRDefault="00934AB0" w:rsidP="005E14B0">
            <w:pPr>
              <w:rPr>
                <w:rFonts w:eastAsia="Calibri"/>
                <w:sz w:val="22"/>
                <w:szCs w:val="22"/>
              </w:rPr>
            </w:pPr>
            <w:r w:rsidRPr="00B93DFE">
              <w:rPr>
                <w:rFonts w:eastAsia="Calibri"/>
                <w:sz w:val="22"/>
                <w:szCs w:val="22"/>
              </w:rPr>
              <w:t>…</w:t>
            </w:r>
          </w:p>
        </w:tc>
        <w:tc>
          <w:tcPr>
            <w:tcW w:w="2265" w:type="dxa"/>
            <w:shd w:val="clear" w:color="auto" w:fill="auto"/>
          </w:tcPr>
          <w:p w14:paraId="497C1A37" w14:textId="77777777" w:rsidR="00934AB0" w:rsidRPr="00B93DFE" w:rsidRDefault="00934AB0" w:rsidP="005E14B0">
            <w:pPr>
              <w:spacing w:before="40" w:after="40"/>
              <w:jc w:val="center"/>
              <w:rPr>
                <w:rFonts w:eastAsia="Calibri"/>
                <w:sz w:val="22"/>
                <w:szCs w:val="22"/>
              </w:rPr>
            </w:pPr>
          </w:p>
        </w:tc>
        <w:tc>
          <w:tcPr>
            <w:tcW w:w="2266" w:type="dxa"/>
            <w:shd w:val="clear" w:color="auto" w:fill="auto"/>
          </w:tcPr>
          <w:p w14:paraId="39068D91" w14:textId="77777777" w:rsidR="00934AB0" w:rsidRPr="00B93DFE" w:rsidRDefault="00934AB0" w:rsidP="005E14B0">
            <w:pPr>
              <w:spacing w:before="40" w:after="40"/>
              <w:jc w:val="center"/>
              <w:rPr>
                <w:rFonts w:eastAsia="Calibri"/>
                <w:sz w:val="22"/>
                <w:szCs w:val="22"/>
              </w:rPr>
            </w:pPr>
          </w:p>
        </w:tc>
        <w:tc>
          <w:tcPr>
            <w:tcW w:w="2266" w:type="dxa"/>
            <w:shd w:val="clear" w:color="auto" w:fill="auto"/>
          </w:tcPr>
          <w:p w14:paraId="4B71C87F" w14:textId="77777777" w:rsidR="00934AB0" w:rsidRPr="00B93DFE" w:rsidRDefault="00934AB0" w:rsidP="005E14B0">
            <w:pPr>
              <w:spacing w:before="40" w:after="40"/>
              <w:jc w:val="center"/>
              <w:rPr>
                <w:rFonts w:eastAsia="Calibri"/>
                <w:sz w:val="22"/>
                <w:szCs w:val="22"/>
              </w:rPr>
            </w:pPr>
          </w:p>
        </w:tc>
      </w:tr>
    </w:tbl>
    <w:p w14:paraId="23F7A6D8" w14:textId="77777777" w:rsidR="00934AB0" w:rsidRPr="00B93DFE" w:rsidRDefault="00934AB0" w:rsidP="00934AB0">
      <w:pPr>
        <w:jc w:val="both"/>
        <w:rPr>
          <w:rFonts w:eastAsia="Calibri"/>
          <w:sz w:val="22"/>
          <w:szCs w:val="22"/>
        </w:rPr>
      </w:pPr>
    </w:p>
    <w:p w14:paraId="6EC86197" w14:textId="77777777" w:rsidR="00934AB0" w:rsidRPr="00B93DFE" w:rsidRDefault="00934AB0" w:rsidP="00934AB0">
      <w:pPr>
        <w:jc w:val="both"/>
        <w:rPr>
          <w:rFonts w:eastAsia="Calibri"/>
          <w:sz w:val="22"/>
          <w:szCs w:val="22"/>
        </w:rPr>
      </w:pPr>
      <w:r w:rsidRPr="00B93DFE">
        <w:rPr>
          <w:rFonts w:eastAsia="Calibri"/>
          <w:sz w:val="22"/>
          <w:szCs w:val="22"/>
        </w:rPr>
        <w:t xml:space="preserve">(8) A pályázatból </w:t>
      </w:r>
      <w:proofErr w:type="gramStart"/>
      <w:r w:rsidRPr="00B93DFE">
        <w:rPr>
          <w:rFonts w:eastAsia="Calibri"/>
          <w:sz w:val="22"/>
          <w:szCs w:val="22"/>
        </w:rPr>
        <w:t>finanszírozott</w:t>
      </w:r>
      <w:proofErr w:type="gramEnd"/>
      <w:r w:rsidRPr="00B93DFE">
        <w:rPr>
          <w:rFonts w:eastAsia="Calibri"/>
          <w:sz w:val="22"/>
          <w:szCs w:val="22"/>
        </w:rPr>
        <w:t xml:space="preserve">, munkaköri leírás kiegészítéssel lefedett munkaidő a pályázati projekt vezetőjének szakmai jóváhagyását követően dékáni mérlegelés alapján számítható be részben vagy egészében az oktatói </w:t>
      </w:r>
      <w:proofErr w:type="spellStart"/>
      <w:r w:rsidRPr="00B93DFE">
        <w:rPr>
          <w:rFonts w:eastAsia="Calibri"/>
          <w:sz w:val="22"/>
          <w:szCs w:val="22"/>
        </w:rPr>
        <w:t>összpontszámba</w:t>
      </w:r>
      <w:proofErr w:type="spellEnd"/>
      <w:r w:rsidRPr="00B93DFE">
        <w:rPr>
          <w:rFonts w:eastAsia="Calibri"/>
          <w:sz w:val="22"/>
          <w:szCs w:val="22"/>
        </w:rPr>
        <w:t>.</w:t>
      </w:r>
    </w:p>
    <w:p w14:paraId="1854D5BE" w14:textId="77777777" w:rsidR="00934AB0" w:rsidRPr="00B93DFE" w:rsidRDefault="00934AB0" w:rsidP="00934AB0">
      <w:pPr>
        <w:jc w:val="center"/>
        <w:rPr>
          <w:rFonts w:eastAsia="Calibri"/>
          <w:b/>
          <w:sz w:val="22"/>
          <w:szCs w:val="22"/>
          <w:u w:val="single"/>
        </w:rPr>
      </w:pPr>
    </w:p>
    <w:p w14:paraId="0998A57B" w14:textId="77777777" w:rsidR="00934AB0" w:rsidRPr="00B93DFE" w:rsidRDefault="00934AB0" w:rsidP="00934AB0">
      <w:pPr>
        <w:ind w:left="708"/>
        <w:jc w:val="center"/>
        <w:rPr>
          <w:rFonts w:eastAsia="Calibri"/>
          <w:b/>
          <w:sz w:val="22"/>
          <w:szCs w:val="22"/>
        </w:rPr>
      </w:pPr>
      <w:r w:rsidRPr="00B93DFE">
        <w:rPr>
          <w:rFonts w:eastAsia="Calibri"/>
          <w:b/>
          <w:sz w:val="22"/>
          <w:szCs w:val="22"/>
        </w:rPr>
        <w:t>Kutatási és tudományszervezési tevékenység</w:t>
      </w:r>
    </w:p>
    <w:p w14:paraId="40110FCA" w14:textId="77777777" w:rsidR="00934AB0" w:rsidRPr="00B93DFE" w:rsidRDefault="00934AB0" w:rsidP="00934AB0">
      <w:pPr>
        <w:rPr>
          <w:rFonts w:eastAsia="Calibri"/>
          <w:sz w:val="22"/>
          <w:szCs w:val="22"/>
        </w:rPr>
      </w:pPr>
    </w:p>
    <w:p w14:paraId="69978362" w14:textId="77777777" w:rsidR="00934AB0" w:rsidRPr="00B93DFE" w:rsidRDefault="00934AB0" w:rsidP="00934AB0">
      <w:pPr>
        <w:jc w:val="both"/>
        <w:rPr>
          <w:rFonts w:eastAsia="Calibri"/>
          <w:sz w:val="22"/>
          <w:szCs w:val="22"/>
        </w:rPr>
      </w:pPr>
      <w:r w:rsidRPr="00B93DFE">
        <w:rPr>
          <w:rFonts w:eastAsia="Calibri"/>
          <w:b/>
          <w:sz w:val="22"/>
          <w:szCs w:val="22"/>
        </w:rPr>
        <w:t>5. §</w:t>
      </w:r>
      <w:r w:rsidRPr="00B93DFE">
        <w:rPr>
          <w:rFonts w:eastAsia="Calibri"/>
          <w:sz w:val="22"/>
          <w:szCs w:val="22"/>
        </w:rPr>
        <w:t xml:space="preserve"> A kutatási és tudományszervezési tevékenység számbavétele során a 2013 óta hatályos Kutatás Ösztönzési Rendszer (KÖR) </w:t>
      </w:r>
      <w:proofErr w:type="gramStart"/>
      <w:r w:rsidRPr="00B93DFE">
        <w:rPr>
          <w:rFonts w:eastAsia="Calibri"/>
          <w:sz w:val="22"/>
          <w:szCs w:val="22"/>
        </w:rPr>
        <w:t>koncepcióját</w:t>
      </w:r>
      <w:proofErr w:type="gramEnd"/>
      <w:r w:rsidRPr="00B93DFE">
        <w:rPr>
          <w:rFonts w:eastAsia="Calibri"/>
          <w:sz w:val="22"/>
          <w:szCs w:val="22"/>
        </w:rPr>
        <w:t xml:space="preserve"> kell követni. Ezen tevékenységeket legfeljebb a teljes elvárt oktatói pontszám 50%-</w:t>
      </w:r>
      <w:proofErr w:type="gramStart"/>
      <w:r w:rsidRPr="00B93DFE">
        <w:rPr>
          <w:rFonts w:eastAsia="Calibri"/>
          <w:sz w:val="22"/>
          <w:szCs w:val="22"/>
        </w:rPr>
        <w:t>a</w:t>
      </w:r>
      <w:proofErr w:type="gramEnd"/>
      <w:r w:rsidRPr="00B93DFE">
        <w:rPr>
          <w:rFonts w:eastAsia="Calibri"/>
          <w:sz w:val="22"/>
          <w:szCs w:val="22"/>
        </w:rPr>
        <w:t xml:space="preserve"> erejéig lehet elszámolni a 6. számú táblázat szerint. A KÖR publikációs pontok TÉR ponttá történő átszámításakor 15-ös szorzót kell alkalmazni. A KÖR publikációs pontok meghatározása a Kari Tudományszervezési és Könyvtári Bizottság (KTKB) feladata. A tudományos fokozatok és címek megszerzésének dokumentálása okirat alapján történik. Tudományszervezés jogcímen elismerésben főszabályként csak a kar professzorai részesülhetnek.</w:t>
      </w:r>
    </w:p>
    <w:p w14:paraId="74983FFC" w14:textId="77777777" w:rsidR="00934AB0" w:rsidRPr="00B93DFE" w:rsidRDefault="00934AB0" w:rsidP="00934AB0">
      <w:pPr>
        <w:jc w:val="both"/>
        <w:rPr>
          <w:rFonts w:eastAsia="Calibri"/>
          <w:sz w:val="22"/>
          <w:szCs w:val="22"/>
        </w:rPr>
      </w:pPr>
    </w:p>
    <w:p w14:paraId="0FDB8A48" w14:textId="77777777" w:rsidR="00934AB0" w:rsidRPr="00B93DFE" w:rsidRDefault="00934AB0" w:rsidP="00934AB0">
      <w:pPr>
        <w:spacing w:after="240"/>
        <w:jc w:val="center"/>
        <w:rPr>
          <w:rFonts w:eastAsia="Calibri"/>
          <w:b/>
          <w:sz w:val="22"/>
          <w:szCs w:val="22"/>
        </w:rPr>
      </w:pPr>
      <w:r w:rsidRPr="00B93DFE">
        <w:rPr>
          <w:rFonts w:eastAsia="Calibri"/>
          <w:b/>
          <w:sz w:val="22"/>
          <w:szCs w:val="22"/>
        </w:rPr>
        <w:t>6. sz. táblázat: Kutatási és tudományszervezési tevékenység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934AB0" w:rsidRPr="00B93DFE" w14:paraId="5C0F8F54" w14:textId="77777777" w:rsidTr="005E14B0">
        <w:tc>
          <w:tcPr>
            <w:tcW w:w="2265" w:type="dxa"/>
            <w:shd w:val="clear" w:color="auto" w:fill="auto"/>
            <w:vAlign w:val="bottom"/>
          </w:tcPr>
          <w:p w14:paraId="745496A3"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Tevékenység</w:t>
            </w:r>
          </w:p>
        </w:tc>
        <w:tc>
          <w:tcPr>
            <w:tcW w:w="2265" w:type="dxa"/>
            <w:shd w:val="clear" w:color="auto" w:fill="auto"/>
            <w:vAlign w:val="bottom"/>
          </w:tcPr>
          <w:p w14:paraId="6C23EB0A"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Számbavétel</w:t>
            </w:r>
          </w:p>
        </w:tc>
        <w:tc>
          <w:tcPr>
            <w:tcW w:w="2266" w:type="dxa"/>
            <w:shd w:val="clear" w:color="auto" w:fill="auto"/>
          </w:tcPr>
          <w:p w14:paraId="38FCDA57"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Jóváhagyó</w:t>
            </w:r>
          </w:p>
        </w:tc>
        <w:tc>
          <w:tcPr>
            <w:tcW w:w="2266" w:type="dxa"/>
            <w:shd w:val="clear" w:color="auto" w:fill="auto"/>
          </w:tcPr>
          <w:p w14:paraId="5751113F"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Elszámolás módja</w:t>
            </w:r>
          </w:p>
        </w:tc>
      </w:tr>
      <w:tr w:rsidR="00934AB0" w:rsidRPr="00B93DFE" w14:paraId="18C74A24" w14:textId="77777777" w:rsidTr="005E14B0">
        <w:tc>
          <w:tcPr>
            <w:tcW w:w="2265" w:type="dxa"/>
            <w:shd w:val="clear" w:color="auto" w:fill="auto"/>
            <w:vAlign w:val="center"/>
          </w:tcPr>
          <w:p w14:paraId="5BFA6381" w14:textId="77777777" w:rsidR="00934AB0" w:rsidRPr="00B93DFE" w:rsidRDefault="00934AB0" w:rsidP="005E14B0">
            <w:pPr>
              <w:spacing w:before="40" w:after="40"/>
              <w:rPr>
                <w:rFonts w:eastAsia="Calibri"/>
                <w:sz w:val="22"/>
                <w:szCs w:val="22"/>
              </w:rPr>
            </w:pPr>
            <w:r w:rsidRPr="00B93DFE">
              <w:rPr>
                <w:rFonts w:eastAsia="Calibri"/>
                <w:sz w:val="22"/>
                <w:szCs w:val="22"/>
              </w:rPr>
              <w:t>Publikációs pontszám</w:t>
            </w:r>
          </w:p>
        </w:tc>
        <w:tc>
          <w:tcPr>
            <w:tcW w:w="2265" w:type="dxa"/>
            <w:shd w:val="clear" w:color="auto" w:fill="auto"/>
            <w:vAlign w:val="center"/>
          </w:tcPr>
          <w:p w14:paraId="2FC82B79"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KÖR pont </w:t>
            </w:r>
          </w:p>
        </w:tc>
        <w:tc>
          <w:tcPr>
            <w:tcW w:w="2266" w:type="dxa"/>
            <w:shd w:val="clear" w:color="auto" w:fill="auto"/>
            <w:vAlign w:val="center"/>
          </w:tcPr>
          <w:p w14:paraId="2D38921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KTKB</w:t>
            </w:r>
          </w:p>
        </w:tc>
        <w:tc>
          <w:tcPr>
            <w:tcW w:w="2266" w:type="dxa"/>
            <w:shd w:val="clear" w:color="auto" w:fill="auto"/>
            <w:vAlign w:val="center"/>
          </w:tcPr>
          <w:p w14:paraId="6E49E4C8"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TÉR pontszám vagy </w:t>
            </w:r>
          </w:p>
          <w:p w14:paraId="23DAB7B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 publikációs prémium</w:t>
            </w:r>
          </w:p>
        </w:tc>
      </w:tr>
      <w:tr w:rsidR="00934AB0" w:rsidRPr="00B93DFE" w14:paraId="6F4E651F" w14:textId="77777777" w:rsidTr="005E14B0">
        <w:tc>
          <w:tcPr>
            <w:tcW w:w="2265" w:type="dxa"/>
            <w:shd w:val="clear" w:color="auto" w:fill="auto"/>
            <w:vAlign w:val="center"/>
          </w:tcPr>
          <w:p w14:paraId="30740C50" w14:textId="77777777" w:rsidR="00934AB0" w:rsidRPr="00B93DFE" w:rsidRDefault="00934AB0" w:rsidP="005E14B0">
            <w:pPr>
              <w:spacing w:before="40" w:after="40"/>
              <w:rPr>
                <w:rFonts w:eastAsia="Calibri"/>
                <w:sz w:val="22"/>
                <w:szCs w:val="22"/>
              </w:rPr>
            </w:pPr>
            <w:r w:rsidRPr="00B93DFE">
              <w:rPr>
                <w:rFonts w:eastAsia="Calibri"/>
                <w:sz w:val="22"/>
                <w:szCs w:val="22"/>
              </w:rPr>
              <w:t>Fokozatszerzés</w:t>
            </w:r>
          </w:p>
        </w:tc>
        <w:tc>
          <w:tcPr>
            <w:tcW w:w="2265" w:type="dxa"/>
            <w:shd w:val="clear" w:color="auto" w:fill="auto"/>
            <w:vAlign w:val="center"/>
          </w:tcPr>
          <w:p w14:paraId="6F092C9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tudományos fokozat </w:t>
            </w:r>
          </w:p>
          <w:p w14:paraId="4E012474"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vagy cím okirata</w:t>
            </w:r>
          </w:p>
        </w:tc>
        <w:tc>
          <w:tcPr>
            <w:tcW w:w="2266" w:type="dxa"/>
            <w:shd w:val="clear" w:color="auto" w:fill="auto"/>
            <w:vAlign w:val="center"/>
          </w:tcPr>
          <w:p w14:paraId="1CE05095"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dékán</w:t>
            </w:r>
          </w:p>
        </w:tc>
        <w:tc>
          <w:tcPr>
            <w:tcW w:w="2266" w:type="dxa"/>
            <w:shd w:val="clear" w:color="auto" w:fill="auto"/>
            <w:vAlign w:val="center"/>
          </w:tcPr>
          <w:p w14:paraId="648020D2"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TÉR pontszám vagy </w:t>
            </w:r>
          </w:p>
          <w:p w14:paraId="2277F713"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egyszeri prémium</w:t>
            </w:r>
          </w:p>
        </w:tc>
      </w:tr>
      <w:tr w:rsidR="00934AB0" w:rsidRPr="00B93DFE" w14:paraId="6BAAA568" w14:textId="77777777" w:rsidTr="005E14B0">
        <w:tc>
          <w:tcPr>
            <w:tcW w:w="2265" w:type="dxa"/>
            <w:shd w:val="clear" w:color="auto" w:fill="auto"/>
            <w:vAlign w:val="center"/>
          </w:tcPr>
          <w:p w14:paraId="2D8A5292" w14:textId="77777777" w:rsidR="00934AB0" w:rsidRPr="00B93DFE" w:rsidRDefault="00934AB0" w:rsidP="005E14B0">
            <w:pPr>
              <w:spacing w:before="40" w:after="40"/>
              <w:rPr>
                <w:rFonts w:eastAsia="Calibri"/>
                <w:sz w:val="22"/>
                <w:szCs w:val="22"/>
              </w:rPr>
            </w:pPr>
            <w:r w:rsidRPr="00B93DFE">
              <w:rPr>
                <w:rFonts w:eastAsia="Calibri"/>
                <w:sz w:val="22"/>
                <w:szCs w:val="22"/>
              </w:rPr>
              <w:t>Tudományszervezés</w:t>
            </w:r>
          </w:p>
        </w:tc>
        <w:tc>
          <w:tcPr>
            <w:tcW w:w="2265" w:type="dxa"/>
            <w:shd w:val="clear" w:color="auto" w:fill="auto"/>
            <w:vAlign w:val="center"/>
          </w:tcPr>
          <w:p w14:paraId="2E8E6BB4"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Tisztségek listája</w:t>
            </w:r>
          </w:p>
        </w:tc>
        <w:tc>
          <w:tcPr>
            <w:tcW w:w="2266" w:type="dxa"/>
            <w:shd w:val="clear" w:color="auto" w:fill="auto"/>
            <w:vAlign w:val="center"/>
          </w:tcPr>
          <w:p w14:paraId="28C6A8DE"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dékán</w:t>
            </w:r>
          </w:p>
        </w:tc>
        <w:tc>
          <w:tcPr>
            <w:tcW w:w="2266" w:type="dxa"/>
            <w:shd w:val="clear" w:color="auto" w:fill="auto"/>
            <w:vAlign w:val="center"/>
          </w:tcPr>
          <w:p w14:paraId="68490345"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 xml:space="preserve">TÉR pontszám vagy </w:t>
            </w:r>
          </w:p>
          <w:p w14:paraId="540F57DD"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eseti prémium</w:t>
            </w:r>
          </w:p>
        </w:tc>
      </w:tr>
    </w:tbl>
    <w:p w14:paraId="0C9864BF" w14:textId="77777777" w:rsidR="00934AB0" w:rsidRPr="00B93DFE" w:rsidRDefault="00934AB0" w:rsidP="00934AB0">
      <w:pPr>
        <w:rPr>
          <w:rFonts w:eastAsia="Calibri"/>
          <w:sz w:val="22"/>
          <w:szCs w:val="22"/>
        </w:rPr>
      </w:pPr>
    </w:p>
    <w:p w14:paraId="4D5D9E78" w14:textId="77777777" w:rsidR="00934AB0" w:rsidRPr="00B93DFE" w:rsidRDefault="00934AB0" w:rsidP="00934AB0">
      <w:pPr>
        <w:rPr>
          <w:rFonts w:eastAsia="Calibri"/>
          <w:sz w:val="22"/>
          <w:szCs w:val="22"/>
        </w:rPr>
      </w:pPr>
    </w:p>
    <w:p w14:paraId="1B954C72" w14:textId="77777777" w:rsidR="00934AB0" w:rsidRPr="00B93DFE" w:rsidRDefault="00934AB0" w:rsidP="00934AB0">
      <w:pPr>
        <w:jc w:val="center"/>
        <w:rPr>
          <w:b/>
          <w:sz w:val="22"/>
          <w:szCs w:val="22"/>
        </w:rPr>
      </w:pPr>
      <w:r w:rsidRPr="00B93DFE">
        <w:rPr>
          <w:b/>
          <w:sz w:val="22"/>
          <w:szCs w:val="22"/>
        </w:rPr>
        <w:t>Doktori iskolai tevékenység</w:t>
      </w:r>
    </w:p>
    <w:p w14:paraId="49A265A4" w14:textId="77777777" w:rsidR="00934AB0" w:rsidRPr="00B93DFE" w:rsidRDefault="00934AB0" w:rsidP="00934AB0">
      <w:pPr>
        <w:rPr>
          <w:sz w:val="22"/>
          <w:szCs w:val="22"/>
        </w:rPr>
      </w:pPr>
    </w:p>
    <w:p w14:paraId="76220F34" w14:textId="77777777" w:rsidR="00934AB0" w:rsidRPr="00B93DFE" w:rsidRDefault="00934AB0" w:rsidP="00934AB0">
      <w:pPr>
        <w:rPr>
          <w:sz w:val="22"/>
          <w:szCs w:val="22"/>
        </w:rPr>
      </w:pPr>
      <w:r w:rsidRPr="00B93DFE">
        <w:rPr>
          <w:b/>
          <w:sz w:val="22"/>
          <w:szCs w:val="22"/>
        </w:rPr>
        <w:t xml:space="preserve">6. § </w:t>
      </w:r>
      <w:r w:rsidRPr="00B93DFE">
        <w:rPr>
          <w:sz w:val="22"/>
          <w:szCs w:val="22"/>
        </w:rPr>
        <w:t>Az oktatók doktori iskolai tevékenységei között az alábbiakat mérjük és vesszük alapul az oktatói minősítésben:</w:t>
      </w:r>
    </w:p>
    <w:p w14:paraId="13AE3ACD" w14:textId="77777777" w:rsidR="00934AB0" w:rsidRPr="00B93DFE" w:rsidRDefault="00934AB0" w:rsidP="00F83E93">
      <w:pPr>
        <w:pStyle w:val="Listaszerbekezds"/>
        <w:numPr>
          <w:ilvl w:val="0"/>
          <w:numId w:val="179"/>
        </w:numPr>
        <w:spacing w:after="0" w:line="240" w:lineRule="auto"/>
      </w:pPr>
      <w:r w:rsidRPr="00B93DFE">
        <w:t>oktatás PhD programokon</w:t>
      </w:r>
    </w:p>
    <w:p w14:paraId="1E127629" w14:textId="77777777" w:rsidR="00934AB0" w:rsidRPr="00B93DFE" w:rsidRDefault="00934AB0" w:rsidP="00F83E93">
      <w:pPr>
        <w:pStyle w:val="Listaszerbekezds"/>
        <w:numPr>
          <w:ilvl w:val="0"/>
          <w:numId w:val="179"/>
        </w:numPr>
        <w:spacing w:after="0" w:line="240" w:lineRule="auto"/>
      </w:pPr>
      <w:r w:rsidRPr="00B93DFE">
        <w:t>egyéb doktori iskolai tevékenységek</w:t>
      </w:r>
    </w:p>
    <w:p w14:paraId="454BB266" w14:textId="77777777" w:rsidR="00934AB0" w:rsidRPr="00B93DFE" w:rsidRDefault="00934AB0" w:rsidP="00934AB0">
      <w:pPr>
        <w:rPr>
          <w:sz w:val="22"/>
          <w:szCs w:val="22"/>
        </w:rPr>
      </w:pPr>
    </w:p>
    <w:p w14:paraId="0407D30B" w14:textId="77777777" w:rsidR="00934AB0" w:rsidRPr="00B93DFE" w:rsidRDefault="00934AB0" w:rsidP="00934AB0">
      <w:pPr>
        <w:jc w:val="both"/>
        <w:rPr>
          <w:sz w:val="22"/>
          <w:szCs w:val="22"/>
        </w:rPr>
      </w:pPr>
      <w:r w:rsidRPr="00B93DFE">
        <w:rPr>
          <w:sz w:val="22"/>
          <w:szCs w:val="22"/>
        </w:rPr>
        <w:t xml:space="preserve">(1) A PhD programokon megtartott órákat a más képzési szinteken megtartott órákhoz hasonlóan, létszámkategóriától függő súlyszámokkal látjuk el (lásd 7. sz. táblázat). A doktori képzések sajátos </w:t>
      </w:r>
      <w:proofErr w:type="gramStart"/>
      <w:r w:rsidRPr="00B93DFE">
        <w:rPr>
          <w:sz w:val="22"/>
          <w:szCs w:val="22"/>
        </w:rPr>
        <w:lastRenderedPageBreak/>
        <w:t>finanszírozási</w:t>
      </w:r>
      <w:proofErr w:type="gramEnd"/>
      <w:r w:rsidRPr="00B93DFE">
        <w:rPr>
          <w:sz w:val="22"/>
          <w:szCs w:val="22"/>
        </w:rPr>
        <w:t xml:space="preserve"> pozíciója, ill. speciális felkészülési igénye és jellemzően alacsony csoportlétszáma miatt a nappali mesterképzésekhez mérten 80%-</w:t>
      </w:r>
      <w:proofErr w:type="spellStart"/>
      <w:r w:rsidRPr="00B93DFE">
        <w:rPr>
          <w:sz w:val="22"/>
          <w:szCs w:val="22"/>
        </w:rPr>
        <w:t>os</w:t>
      </w:r>
      <w:proofErr w:type="spellEnd"/>
      <w:r w:rsidRPr="00B93DFE">
        <w:rPr>
          <w:sz w:val="22"/>
          <w:szCs w:val="22"/>
        </w:rPr>
        <w:t xml:space="preserve"> a felár. </w:t>
      </w:r>
    </w:p>
    <w:p w14:paraId="3B37F442" w14:textId="77777777" w:rsidR="00934AB0" w:rsidRPr="00B93DFE" w:rsidRDefault="00934AB0" w:rsidP="00934AB0">
      <w:pPr>
        <w:jc w:val="center"/>
        <w:rPr>
          <w:b/>
          <w:sz w:val="22"/>
          <w:szCs w:val="22"/>
        </w:rPr>
      </w:pPr>
      <w:r w:rsidRPr="00B93DFE">
        <w:rPr>
          <w:b/>
          <w:sz w:val="22"/>
          <w:szCs w:val="22"/>
        </w:rPr>
        <w:t>7. sz. táblázat: PhD képzéseken való oktatás</w:t>
      </w:r>
    </w:p>
    <w:tbl>
      <w:tblPr>
        <w:tblW w:w="4253" w:type="dxa"/>
        <w:jc w:val="center"/>
        <w:tblCellMar>
          <w:left w:w="70" w:type="dxa"/>
          <w:right w:w="70" w:type="dxa"/>
        </w:tblCellMar>
        <w:tblLook w:val="04A0" w:firstRow="1" w:lastRow="0" w:firstColumn="1" w:lastColumn="0" w:noHBand="0" w:noVBand="1"/>
      </w:tblPr>
      <w:tblGrid>
        <w:gridCol w:w="1985"/>
        <w:gridCol w:w="173"/>
        <w:gridCol w:w="961"/>
        <w:gridCol w:w="1134"/>
      </w:tblGrid>
      <w:tr w:rsidR="00934AB0" w:rsidRPr="00B93DFE" w14:paraId="6C79FF13" w14:textId="77777777" w:rsidTr="005E14B0">
        <w:trPr>
          <w:trHeight w:val="300"/>
          <w:jc w:val="center"/>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CA268B5" w14:textId="77777777" w:rsidR="00934AB0" w:rsidRPr="00B93DFE" w:rsidRDefault="00934AB0" w:rsidP="005E14B0">
            <w:pPr>
              <w:jc w:val="center"/>
              <w:rPr>
                <w:b/>
                <w:bCs/>
                <w:sz w:val="22"/>
                <w:szCs w:val="22"/>
              </w:rPr>
            </w:pPr>
            <w:r w:rsidRPr="00B93DFE">
              <w:rPr>
                <w:b/>
                <w:bCs/>
                <w:sz w:val="22"/>
                <w:szCs w:val="22"/>
              </w:rPr>
              <w:t>Pont/Kontakt óra</w:t>
            </w:r>
          </w:p>
        </w:tc>
        <w:tc>
          <w:tcPr>
            <w:tcW w:w="173" w:type="dxa"/>
            <w:tcBorders>
              <w:top w:val="single" w:sz="8" w:space="0" w:color="auto"/>
              <w:left w:val="nil"/>
              <w:bottom w:val="single" w:sz="8" w:space="0" w:color="auto"/>
              <w:right w:val="nil"/>
            </w:tcBorders>
            <w:shd w:val="clear" w:color="000000" w:fill="D0CECE"/>
          </w:tcPr>
          <w:p w14:paraId="2D97D4B3" w14:textId="77777777" w:rsidR="00934AB0" w:rsidRPr="00B93DFE" w:rsidRDefault="00934AB0" w:rsidP="005E14B0">
            <w:pPr>
              <w:jc w:val="center"/>
              <w:rPr>
                <w:b/>
                <w:bCs/>
                <w:sz w:val="22"/>
                <w:szCs w:val="22"/>
              </w:rPr>
            </w:pPr>
          </w:p>
        </w:tc>
        <w:tc>
          <w:tcPr>
            <w:tcW w:w="2095" w:type="dxa"/>
            <w:gridSpan w:val="2"/>
            <w:tcBorders>
              <w:top w:val="single" w:sz="8" w:space="0" w:color="auto"/>
              <w:left w:val="nil"/>
              <w:bottom w:val="single" w:sz="8" w:space="0" w:color="auto"/>
              <w:right w:val="single" w:sz="8" w:space="0" w:color="000000"/>
            </w:tcBorders>
            <w:shd w:val="clear" w:color="000000" w:fill="D0CECE"/>
            <w:vAlign w:val="center"/>
            <w:hideMark/>
          </w:tcPr>
          <w:p w14:paraId="34C7B510" w14:textId="77777777" w:rsidR="00934AB0" w:rsidRPr="00B93DFE" w:rsidRDefault="00934AB0" w:rsidP="005E14B0">
            <w:pPr>
              <w:jc w:val="center"/>
              <w:rPr>
                <w:b/>
                <w:bCs/>
                <w:sz w:val="22"/>
                <w:szCs w:val="22"/>
              </w:rPr>
            </w:pPr>
            <w:r w:rsidRPr="00B93DFE">
              <w:rPr>
                <w:b/>
                <w:bCs/>
                <w:sz w:val="22"/>
                <w:szCs w:val="22"/>
              </w:rPr>
              <w:t>Létszám-kategóriák</w:t>
            </w:r>
          </w:p>
        </w:tc>
      </w:tr>
      <w:tr w:rsidR="00934AB0" w:rsidRPr="00B93DFE" w14:paraId="4E3406C7" w14:textId="77777777" w:rsidTr="005E14B0">
        <w:trPr>
          <w:trHeight w:val="300"/>
          <w:jc w:val="center"/>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1F3B7B0F" w14:textId="77777777" w:rsidR="00934AB0" w:rsidRPr="00B93DFE" w:rsidRDefault="00934AB0" w:rsidP="005E14B0">
            <w:pPr>
              <w:rPr>
                <w:b/>
                <w:bCs/>
                <w:sz w:val="22"/>
                <w:szCs w:val="22"/>
              </w:rPr>
            </w:pPr>
          </w:p>
        </w:tc>
        <w:tc>
          <w:tcPr>
            <w:tcW w:w="173" w:type="dxa"/>
            <w:tcBorders>
              <w:top w:val="nil"/>
              <w:left w:val="nil"/>
              <w:bottom w:val="single" w:sz="8" w:space="0" w:color="auto"/>
              <w:right w:val="nil"/>
            </w:tcBorders>
            <w:shd w:val="clear" w:color="000000" w:fill="F2F2F2"/>
          </w:tcPr>
          <w:p w14:paraId="47ECAB5E" w14:textId="77777777" w:rsidR="00934AB0" w:rsidRPr="00B93DFE" w:rsidRDefault="00934AB0" w:rsidP="005E14B0">
            <w:pPr>
              <w:jc w:val="center"/>
              <w:rPr>
                <w:b/>
                <w:bCs/>
                <w:sz w:val="22"/>
                <w:szCs w:val="22"/>
              </w:rPr>
            </w:pPr>
          </w:p>
        </w:tc>
        <w:tc>
          <w:tcPr>
            <w:tcW w:w="961" w:type="dxa"/>
            <w:tcBorders>
              <w:top w:val="nil"/>
              <w:left w:val="nil"/>
              <w:bottom w:val="single" w:sz="8" w:space="0" w:color="auto"/>
              <w:right w:val="single" w:sz="8" w:space="0" w:color="auto"/>
            </w:tcBorders>
            <w:shd w:val="clear" w:color="000000" w:fill="F2F2F2"/>
            <w:vAlign w:val="center"/>
            <w:hideMark/>
          </w:tcPr>
          <w:p w14:paraId="5D770279" w14:textId="77777777" w:rsidR="00934AB0" w:rsidRPr="00B93DFE" w:rsidRDefault="00934AB0" w:rsidP="005E14B0">
            <w:pPr>
              <w:jc w:val="center"/>
              <w:rPr>
                <w:b/>
                <w:bCs/>
                <w:sz w:val="22"/>
                <w:szCs w:val="22"/>
              </w:rPr>
            </w:pPr>
            <w:r w:rsidRPr="00B93DFE">
              <w:rPr>
                <w:b/>
                <w:bCs/>
                <w:sz w:val="22"/>
                <w:szCs w:val="22"/>
              </w:rPr>
              <w:t>0-10</w:t>
            </w:r>
          </w:p>
        </w:tc>
        <w:tc>
          <w:tcPr>
            <w:tcW w:w="1134" w:type="dxa"/>
            <w:tcBorders>
              <w:top w:val="nil"/>
              <w:left w:val="nil"/>
              <w:bottom w:val="single" w:sz="8" w:space="0" w:color="auto"/>
              <w:right w:val="single" w:sz="8" w:space="0" w:color="auto"/>
            </w:tcBorders>
            <w:shd w:val="clear" w:color="000000" w:fill="F2F2F2"/>
            <w:vAlign w:val="center"/>
            <w:hideMark/>
          </w:tcPr>
          <w:p w14:paraId="39A6C72E" w14:textId="77777777" w:rsidR="00934AB0" w:rsidRPr="00B93DFE" w:rsidRDefault="00934AB0" w:rsidP="005E14B0">
            <w:pPr>
              <w:jc w:val="center"/>
              <w:rPr>
                <w:b/>
                <w:bCs/>
                <w:sz w:val="22"/>
                <w:szCs w:val="22"/>
              </w:rPr>
            </w:pPr>
            <w:r w:rsidRPr="00B93DFE">
              <w:rPr>
                <w:b/>
                <w:bCs/>
                <w:sz w:val="22"/>
                <w:szCs w:val="22"/>
              </w:rPr>
              <w:t>11-</w:t>
            </w:r>
          </w:p>
        </w:tc>
      </w:tr>
      <w:tr w:rsidR="00934AB0" w:rsidRPr="00B93DFE" w14:paraId="4E9AAD00" w14:textId="77777777" w:rsidTr="005E14B0">
        <w:trPr>
          <w:trHeight w:val="300"/>
          <w:jc w:val="cent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CF4DCAE" w14:textId="77777777" w:rsidR="00934AB0" w:rsidRPr="00B93DFE" w:rsidRDefault="00934AB0" w:rsidP="005E14B0">
            <w:pPr>
              <w:rPr>
                <w:sz w:val="22"/>
                <w:szCs w:val="22"/>
              </w:rPr>
            </w:pPr>
            <w:r w:rsidRPr="00B93DFE">
              <w:rPr>
                <w:sz w:val="22"/>
                <w:szCs w:val="22"/>
              </w:rPr>
              <w:t>Magyar nyelven</w:t>
            </w:r>
          </w:p>
        </w:tc>
        <w:tc>
          <w:tcPr>
            <w:tcW w:w="173" w:type="dxa"/>
            <w:tcBorders>
              <w:top w:val="nil"/>
              <w:left w:val="nil"/>
              <w:bottom w:val="single" w:sz="8" w:space="0" w:color="auto"/>
              <w:right w:val="nil"/>
            </w:tcBorders>
          </w:tcPr>
          <w:p w14:paraId="18C2D7A1" w14:textId="77777777" w:rsidR="00934AB0" w:rsidRPr="00B93DFE" w:rsidRDefault="00934AB0" w:rsidP="005E14B0">
            <w:pPr>
              <w:jc w:val="center"/>
              <w:rPr>
                <w:sz w:val="22"/>
                <w:szCs w:val="22"/>
              </w:rPr>
            </w:pPr>
          </w:p>
        </w:tc>
        <w:tc>
          <w:tcPr>
            <w:tcW w:w="961" w:type="dxa"/>
            <w:tcBorders>
              <w:top w:val="nil"/>
              <w:left w:val="nil"/>
              <w:bottom w:val="single" w:sz="8" w:space="0" w:color="auto"/>
              <w:right w:val="single" w:sz="8" w:space="0" w:color="auto"/>
            </w:tcBorders>
            <w:shd w:val="clear" w:color="auto" w:fill="auto"/>
            <w:vAlign w:val="center"/>
            <w:hideMark/>
          </w:tcPr>
          <w:p w14:paraId="05D6FBDB" w14:textId="77777777" w:rsidR="00934AB0" w:rsidRPr="00B93DFE" w:rsidRDefault="00934AB0" w:rsidP="005E14B0">
            <w:pPr>
              <w:jc w:val="center"/>
              <w:rPr>
                <w:sz w:val="22"/>
                <w:szCs w:val="22"/>
              </w:rPr>
            </w:pPr>
            <w:r w:rsidRPr="00B93DFE">
              <w:rPr>
                <w:sz w:val="22"/>
                <w:szCs w:val="22"/>
              </w:rPr>
              <w:t>5,04</w:t>
            </w:r>
          </w:p>
        </w:tc>
        <w:tc>
          <w:tcPr>
            <w:tcW w:w="1134" w:type="dxa"/>
            <w:tcBorders>
              <w:top w:val="nil"/>
              <w:left w:val="nil"/>
              <w:bottom w:val="single" w:sz="8" w:space="0" w:color="auto"/>
              <w:right w:val="single" w:sz="8" w:space="0" w:color="auto"/>
            </w:tcBorders>
            <w:shd w:val="clear" w:color="auto" w:fill="auto"/>
            <w:vAlign w:val="center"/>
            <w:hideMark/>
          </w:tcPr>
          <w:p w14:paraId="2388B529" w14:textId="77777777" w:rsidR="00934AB0" w:rsidRPr="00B93DFE" w:rsidRDefault="00934AB0" w:rsidP="005E14B0">
            <w:pPr>
              <w:jc w:val="center"/>
              <w:rPr>
                <w:sz w:val="22"/>
                <w:szCs w:val="22"/>
              </w:rPr>
            </w:pPr>
            <w:r w:rsidRPr="00B93DFE">
              <w:rPr>
                <w:sz w:val="22"/>
                <w:szCs w:val="22"/>
              </w:rPr>
              <w:t>5,15</w:t>
            </w:r>
          </w:p>
        </w:tc>
      </w:tr>
      <w:tr w:rsidR="00934AB0" w:rsidRPr="00B93DFE" w14:paraId="21582F72" w14:textId="77777777" w:rsidTr="005E14B0">
        <w:trPr>
          <w:trHeight w:val="300"/>
          <w:jc w:val="cent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1EEBC14D" w14:textId="77777777" w:rsidR="00934AB0" w:rsidRPr="00B93DFE" w:rsidRDefault="00934AB0" w:rsidP="005E14B0">
            <w:pPr>
              <w:rPr>
                <w:sz w:val="22"/>
                <w:szCs w:val="22"/>
              </w:rPr>
            </w:pPr>
            <w:r w:rsidRPr="00B93DFE">
              <w:rPr>
                <w:sz w:val="22"/>
                <w:szCs w:val="22"/>
              </w:rPr>
              <w:t>Idegen nyelven</w:t>
            </w:r>
          </w:p>
        </w:tc>
        <w:tc>
          <w:tcPr>
            <w:tcW w:w="173" w:type="dxa"/>
            <w:tcBorders>
              <w:top w:val="nil"/>
              <w:left w:val="nil"/>
              <w:bottom w:val="single" w:sz="8" w:space="0" w:color="auto"/>
              <w:right w:val="nil"/>
            </w:tcBorders>
          </w:tcPr>
          <w:p w14:paraId="55637AD1" w14:textId="77777777" w:rsidR="00934AB0" w:rsidRPr="00B93DFE" w:rsidRDefault="00934AB0" w:rsidP="005E14B0">
            <w:pPr>
              <w:jc w:val="center"/>
              <w:rPr>
                <w:sz w:val="22"/>
                <w:szCs w:val="22"/>
              </w:rPr>
            </w:pPr>
          </w:p>
        </w:tc>
        <w:tc>
          <w:tcPr>
            <w:tcW w:w="961" w:type="dxa"/>
            <w:tcBorders>
              <w:top w:val="nil"/>
              <w:left w:val="nil"/>
              <w:bottom w:val="single" w:sz="8" w:space="0" w:color="auto"/>
              <w:right w:val="single" w:sz="8" w:space="0" w:color="auto"/>
            </w:tcBorders>
            <w:shd w:val="clear" w:color="auto" w:fill="auto"/>
            <w:vAlign w:val="center"/>
            <w:hideMark/>
          </w:tcPr>
          <w:p w14:paraId="646B8794" w14:textId="77777777" w:rsidR="00934AB0" w:rsidRPr="00B93DFE" w:rsidRDefault="00934AB0" w:rsidP="005E14B0">
            <w:pPr>
              <w:jc w:val="center"/>
              <w:rPr>
                <w:sz w:val="22"/>
                <w:szCs w:val="22"/>
              </w:rPr>
            </w:pPr>
            <w:r w:rsidRPr="00B93DFE">
              <w:rPr>
                <w:sz w:val="22"/>
                <w:szCs w:val="22"/>
              </w:rPr>
              <w:t>7,56</w:t>
            </w:r>
          </w:p>
        </w:tc>
        <w:tc>
          <w:tcPr>
            <w:tcW w:w="1134" w:type="dxa"/>
            <w:tcBorders>
              <w:top w:val="nil"/>
              <w:left w:val="nil"/>
              <w:bottom w:val="single" w:sz="8" w:space="0" w:color="auto"/>
              <w:right w:val="single" w:sz="8" w:space="0" w:color="auto"/>
            </w:tcBorders>
            <w:shd w:val="clear" w:color="auto" w:fill="auto"/>
            <w:vAlign w:val="center"/>
            <w:hideMark/>
          </w:tcPr>
          <w:p w14:paraId="0C3D28F0" w14:textId="77777777" w:rsidR="00934AB0" w:rsidRPr="00B93DFE" w:rsidRDefault="00934AB0" w:rsidP="005E14B0">
            <w:pPr>
              <w:jc w:val="center"/>
              <w:rPr>
                <w:sz w:val="22"/>
                <w:szCs w:val="22"/>
              </w:rPr>
            </w:pPr>
            <w:r w:rsidRPr="00B93DFE">
              <w:rPr>
                <w:sz w:val="22"/>
                <w:szCs w:val="22"/>
              </w:rPr>
              <w:t>7,73</w:t>
            </w:r>
          </w:p>
        </w:tc>
      </w:tr>
    </w:tbl>
    <w:p w14:paraId="4F20DAFD" w14:textId="77777777" w:rsidR="00934AB0" w:rsidRPr="00B93DFE" w:rsidRDefault="00934AB0" w:rsidP="00934AB0">
      <w:pPr>
        <w:rPr>
          <w:sz w:val="22"/>
          <w:szCs w:val="22"/>
        </w:rPr>
      </w:pPr>
    </w:p>
    <w:p w14:paraId="3A7E0D0D" w14:textId="77777777" w:rsidR="00934AB0" w:rsidRPr="00B93DFE" w:rsidRDefault="00934AB0" w:rsidP="00934AB0">
      <w:pPr>
        <w:jc w:val="both"/>
        <w:rPr>
          <w:sz w:val="22"/>
          <w:szCs w:val="22"/>
        </w:rPr>
      </w:pPr>
      <w:r w:rsidRPr="00B93DFE">
        <w:rPr>
          <w:sz w:val="22"/>
          <w:szCs w:val="22"/>
        </w:rPr>
        <w:t>(2) Az egyéb doktori iskolai tevékenységek közé a 8. sz. táblázatban foglalt tevéken</w:t>
      </w:r>
      <w:r>
        <w:rPr>
          <w:sz w:val="22"/>
          <w:szCs w:val="22"/>
        </w:rPr>
        <w:t>y</w:t>
      </w:r>
      <w:r w:rsidRPr="00B93DFE">
        <w:rPr>
          <w:sz w:val="22"/>
          <w:szCs w:val="22"/>
        </w:rPr>
        <w:t>ségek számolhatók el:</w:t>
      </w:r>
    </w:p>
    <w:p w14:paraId="10C79034" w14:textId="77777777" w:rsidR="00934AB0" w:rsidRPr="00B93DFE" w:rsidRDefault="00934AB0" w:rsidP="00934AB0">
      <w:pPr>
        <w:rPr>
          <w:sz w:val="22"/>
          <w:szCs w:val="22"/>
        </w:rPr>
      </w:pPr>
    </w:p>
    <w:p w14:paraId="52F3E49F" w14:textId="77777777" w:rsidR="00934AB0" w:rsidRPr="00B93DFE" w:rsidRDefault="00934AB0" w:rsidP="00934AB0">
      <w:pPr>
        <w:jc w:val="center"/>
        <w:rPr>
          <w:b/>
          <w:sz w:val="22"/>
          <w:szCs w:val="22"/>
        </w:rPr>
      </w:pPr>
      <w:r w:rsidRPr="00B93DFE">
        <w:rPr>
          <w:b/>
          <w:sz w:val="22"/>
          <w:szCs w:val="22"/>
        </w:rPr>
        <w:t>8. sz. táblázat: Egyéb doktori iskolai tevékenység</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6"/>
        <w:gridCol w:w="945"/>
        <w:gridCol w:w="2267"/>
      </w:tblGrid>
      <w:tr w:rsidR="00934AB0" w:rsidRPr="00B93DFE" w14:paraId="6CC737C5" w14:textId="77777777" w:rsidTr="005E14B0">
        <w:trPr>
          <w:trHeight w:val="300"/>
          <w:jc w:val="center"/>
        </w:trPr>
        <w:tc>
          <w:tcPr>
            <w:tcW w:w="4296" w:type="dxa"/>
            <w:shd w:val="clear" w:color="auto" w:fill="auto"/>
            <w:vAlign w:val="center"/>
          </w:tcPr>
          <w:p w14:paraId="71967768" w14:textId="77777777" w:rsidR="00934AB0" w:rsidRPr="00B93DFE" w:rsidRDefault="00934AB0" w:rsidP="005E14B0">
            <w:pPr>
              <w:rPr>
                <w:sz w:val="22"/>
                <w:szCs w:val="22"/>
              </w:rPr>
            </w:pPr>
            <w:r w:rsidRPr="00B93DFE">
              <w:rPr>
                <w:sz w:val="22"/>
                <w:szCs w:val="22"/>
              </w:rPr>
              <w:t>Doktori iskola vezetője</w:t>
            </w:r>
          </w:p>
        </w:tc>
        <w:tc>
          <w:tcPr>
            <w:tcW w:w="945" w:type="dxa"/>
            <w:shd w:val="clear" w:color="auto" w:fill="auto"/>
            <w:vAlign w:val="center"/>
          </w:tcPr>
          <w:p w14:paraId="346FD435" w14:textId="77777777" w:rsidR="00934AB0" w:rsidRPr="00B93DFE" w:rsidRDefault="00934AB0" w:rsidP="005E14B0">
            <w:pPr>
              <w:jc w:val="center"/>
              <w:rPr>
                <w:sz w:val="22"/>
                <w:szCs w:val="22"/>
              </w:rPr>
            </w:pPr>
            <w:r w:rsidRPr="00B93DFE">
              <w:rPr>
                <w:sz w:val="22"/>
                <w:szCs w:val="22"/>
              </w:rPr>
              <w:t>300</w:t>
            </w:r>
          </w:p>
        </w:tc>
        <w:tc>
          <w:tcPr>
            <w:tcW w:w="2267" w:type="dxa"/>
            <w:shd w:val="clear" w:color="auto" w:fill="auto"/>
            <w:vAlign w:val="center"/>
          </w:tcPr>
          <w:p w14:paraId="412CBFCF" w14:textId="77777777" w:rsidR="00934AB0" w:rsidRPr="00B93DFE" w:rsidRDefault="00934AB0" w:rsidP="005E14B0">
            <w:pPr>
              <w:rPr>
                <w:sz w:val="22"/>
                <w:szCs w:val="22"/>
              </w:rPr>
            </w:pPr>
            <w:r w:rsidRPr="00B93DFE">
              <w:rPr>
                <w:sz w:val="22"/>
                <w:szCs w:val="22"/>
              </w:rPr>
              <w:t>Pont/tanév</w:t>
            </w:r>
          </w:p>
        </w:tc>
      </w:tr>
      <w:tr w:rsidR="00934AB0" w:rsidRPr="00B93DFE" w14:paraId="33066734" w14:textId="77777777" w:rsidTr="005E14B0">
        <w:trPr>
          <w:trHeight w:val="300"/>
          <w:jc w:val="center"/>
        </w:trPr>
        <w:tc>
          <w:tcPr>
            <w:tcW w:w="4296" w:type="dxa"/>
            <w:shd w:val="clear" w:color="auto" w:fill="auto"/>
            <w:vAlign w:val="center"/>
          </w:tcPr>
          <w:p w14:paraId="31B37D06" w14:textId="77777777" w:rsidR="00934AB0" w:rsidRPr="00B93DFE" w:rsidRDefault="00934AB0" w:rsidP="005E14B0">
            <w:pPr>
              <w:rPr>
                <w:sz w:val="22"/>
                <w:szCs w:val="22"/>
              </w:rPr>
            </w:pPr>
            <w:r w:rsidRPr="00B93DFE">
              <w:rPr>
                <w:sz w:val="22"/>
                <w:szCs w:val="22"/>
              </w:rPr>
              <w:t>PhD programvezető</w:t>
            </w:r>
          </w:p>
        </w:tc>
        <w:tc>
          <w:tcPr>
            <w:tcW w:w="945" w:type="dxa"/>
            <w:shd w:val="clear" w:color="auto" w:fill="auto"/>
            <w:vAlign w:val="center"/>
          </w:tcPr>
          <w:p w14:paraId="4DD01DC7" w14:textId="77777777" w:rsidR="00934AB0" w:rsidRPr="00B93DFE" w:rsidRDefault="00934AB0" w:rsidP="005E14B0">
            <w:pPr>
              <w:jc w:val="center"/>
              <w:rPr>
                <w:sz w:val="22"/>
                <w:szCs w:val="22"/>
              </w:rPr>
            </w:pPr>
            <w:r w:rsidRPr="00B93DFE">
              <w:rPr>
                <w:sz w:val="22"/>
                <w:szCs w:val="22"/>
              </w:rPr>
              <w:t>200</w:t>
            </w:r>
          </w:p>
        </w:tc>
        <w:tc>
          <w:tcPr>
            <w:tcW w:w="2267" w:type="dxa"/>
            <w:shd w:val="clear" w:color="auto" w:fill="auto"/>
            <w:vAlign w:val="center"/>
          </w:tcPr>
          <w:p w14:paraId="441349E3" w14:textId="77777777" w:rsidR="00934AB0" w:rsidRPr="00B93DFE" w:rsidRDefault="00934AB0" w:rsidP="005E14B0">
            <w:pPr>
              <w:rPr>
                <w:sz w:val="22"/>
                <w:szCs w:val="22"/>
              </w:rPr>
            </w:pPr>
            <w:r w:rsidRPr="00B93DFE">
              <w:rPr>
                <w:sz w:val="22"/>
                <w:szCs w:val="22"/>
              </w:rPr>
              <w:t>Pont/tanév</w:t>
            </w:r>
          </w:p>
        </w:tc>
      </w:tr>
      <w:tr w:rsidR="00934AB0" w:rsidRPr="00B93DFE" w14:paraId="13EB8291" w14:textId="77777777" w:rsidTr="005E14B0">
        <w:trPr>
          <w:trHeight w:val="300"/>
          <w:jc w:val="center"/>
        </w:trPr>
        <w:tc>
          <w:tcPr>
            <w:tcW w:w="4296" w:type="dxa"/>
            <w:shd w:val="clear" w:color="auto" w:fill="auto"/>
            <w:vAlign w:val="center"/>
          </w:tcPr>
          <w:p w14:paraId="17B1F249" w14:textId="77777777" w:rsidR="00934AB0" w:rsidRPr="00B93DFE" w:rsidRDefault="00934AB0" w:rsidP="005E14B0">
            <w:pPr>
              <w:rPr>
                <w:sz w:val="22"/>
                <w:szCs w:val="22"/>
              </w:rPr>
            </w:pPr>
            <w:r w:rsidRPr="00B93DFE">
              <w:rPr>
                <w:sz w:val="22"/>
                <w:szCs w:val="22"/>
              </w:rPr>
              <w:t>Doktori iskola törzstagja</w:t>
            </w:r>
          </w:p>
        </w:tc>
        <w:tc>
          <w:tcPr>
            <w:tcW w:w="945" w:type="dxa"/>
            <w:shd w:val="clear" w:color="auto" w:fill="auto"/>
            <w:vAlign w:val="center"/>
          </w:tcPr>
          <w:p w14:paraId="20A89D6F" w14:textId="77777777" w:rsidR="00934AB0" w:rsidRPr="00B93DFE" w:rsidRDefault="00934AB0" w:rsidP="005E14B0">
            <w:pPr>
              <w:jc w:val="center"/>
              <w:rPr>
                <w:sz w:val="22"/>
                <w:szCs w:val="22"/>
              </w:rPr>
            </w:pPr>
            <w:r w:rsidRPr="00B93DFE">
              <w:rPr>
                <w:sz w:val="22"/>
                <w:szCs w:val="22"/>
              </w:rPr>
              <w:t>50</w:t>
            </w:r>
          </w:p>
        </w:tc>
        <w:tc>
          <w:tcPr>
            <w:tcW w:w="2267" w:type="dxa"/>
            <w:shd w:val="clear" w:color="auto" w:fill="auto"/>
            <w:vAlign w:val="center"/>
          </w:tcPr>
          <w:p w14:paraId="7FAC66AA" w14:textId="77777777" w:rsidR="00934AB0" w:rsidRPr="00B93DFE" w:rsidRDefault="00934AB0" w:rsidP="005E14B0">
            <w:pPr>
              <w:rPr>
                <w:sz w:val="22"/>
                <w:szCs w:val="22"/>
              </w:rPr>
            </w:pPr>
            <w:r w:rsidRPr="00B93DFE">
              <w:rPr>
                <w:sz w:val="22"/>
                <w:szCs w:val="22"/>
              </w:rPr>
              <w:t>Pont/tanév</w:t>
            </w:r>
          </w:p>
        </w:tc>
      </w:tr>
      <w:tr w:rsidR="00934AB0" w:rsidRPr="00B93DFE" w14:paraId="5722062B" w14:textId="77777777" w:rsidTr="005E14B0">
        <w:trPr>
          <w:trHeight w:val="300"/>
          <w:jc w:val="center"/>
        </w:trPr>
        <w:tc>
          <w:tcPr>
            <w:tcW w:w="4296" w:type="dxa"/>
            <w:shd w:val="clear" w:color="auto" w:fill="auto"/>
            <w:vAlign w:val="center"/>
          </w:tcPr>
          <w:p w14:paraId="4CFCC36D" w14:textId="77777777" w:rsidR="00934AB0" w:rsidRPr="00B93DFE" w:rsidRDefault="00934AB0" w:rsidP="005E14B0">
            <w:pPr>
              <w:rPr>
                <w:sz w:val="22"/>
                <w:szCs w:val="22"/>
              </w:rPr>
            </w:pPr>
            <w:r w:rsidRPr="00B93DFE">
              <w:rPr>
                <w:sz w:val="22"/>
                <w:szCs w:val="22"/>
              </w:rPr>
              <w:t>Témavezetői tevékenység</w:t>
            </w:r>
          </w:p>
        </w:tc>
        <w:tc>
          <w:tcPr>
            <w:tcW w:w="945" w:type="dxa"/>
            <w:shd w:val="clear" w:color="auto" w:fill="auto"/>
            <w:vAlign w:val="center"/>
          </w:tcPr>
          <w:p w14:paraId="17E202C5" w14:textId="77777777" w:rsidR="00934AB0" w:rsidRPr="00B93DFE" w:rsidRDefault="00934AB0" w:rsidP="005E14B0">
            <w:pPr>
              <w:jc w:val="center"/>
              <w:rPr>
                <w:sz w:val="22"/>
                <w:szCs w:val="22"/>
              </w:rPr>
            </w:pPr>
            <w:r w:rsidRPr="00B93DFE">
              <w:rPr>
                <w:sz w:val="22"/>
                <w:szCs w:val="22"/>
              </w:rPr>
              <w:t>30</w:t>
            </w:r>
          </w:p>
        </w:tc>
        <w:tc>
          <w:tcPr>
            <w:tcW w:w="2267" w:type="dxa"/>
            <w:shd w:val="clear" w:color="auto" w:fill="auto"/>
            <w:vAlign w:val="center"/>
          </w:tcPr>
          <w:p w14:paraId="5490EEB2" w14:textId="77777777" w:rsidR="00934AB0" w:rsidRPr="00B93DFE" w:rsidRDefault="00934AB0" w:rsidP="005E14B0">
            <w:pPr>
              <w:rPr>
                <w:sz w:val="22"/>
                <w:szCs w:val="22"/>
              </w:rPr>
            </w:pPr>
            <w:r w:rsidRPr="00B93DFE">
              <w:rPr>
                <w:sz w:val="22"/>
                <w:szCs w:val="22"/>
              </w:rPr>
              <w:t>Pont/hallgató/tanév</w:t>
            </w:r>
          </w:p>
        </w:tc>
      </w:tr>
      <w:tr w:rsidR="00934AB0" w:rsidRPr="00B93DFE" w14:paraId="2F57E19E" w14:textId="77777777" w:rsidTr="005E14B0">
        <w:trPr>
          <w:trHeight w:val="300"/>
          <w:jc w:val="center"/>
        </w:trPr>
        <w:tc>
          <w:tcPr>
            <w:tcW w:w="4296" w:type="dxa"/>
            <w:shd w:val="clear" w:color="auto" w:fill="auto"/>
            <w:vAlign w:val="center"/>
            <w:hideMark/>
          </w:tcPr>
          <w:p w14:paraId="4F5381DA" w14:textId="77777777" w:rsidR="00934AB0" w:rsidRPr="00B93DFE" w:rsidRDefault="00934AB0" w:rsidP="005E14B0">
            <w:pPr>
              <w:rPr>
                <w:sz w:val="22"/>
                <w:szCs w:val="22"/>
              </w:rPr>
            </w:pPr>
            <w:r w:rsidRPr="00B93DFE">
              <w:rPr>
                <w:sz w:val="22"/>
                <w:szCs w:val="22"/>
              </w:rPr>
              <w:t xml:space="preserve">Fokozatszerzést támogató </w:t>
            </w:r>
            <w:proofErr w:type="gramStart"/>
            <w:r w:rsidRPr="00B93DFE">
              <w:rPr>
                <w:sz w:val="22"/>
                <w:szCs w:val="22"/>
              </w:rPr>
              <w:t>aktivitások</w:t>
            </w:r>
            <w:proofErr w:type="gramEnd"/>
            <w:r w:rsidRPr="00B93DFE">
              <w:rPr>
                <w:sz w:val="22"/>
                <w:szCs w:val="22"/>
              </w:rPr>
              <w:t xml:space="preserve"> (opponensi tevékenység, komplex vizsgabizottsági részvétel, védési bizottsági részvétel)</w:t>
            </w:r>
          </w:p>
        </w:tc>
        <w:tc>
          <w:tcPr>
            <w:tcW w:w="945" w:type="dxa"/>
            <w:shd w:val="clear" w:color="auto" w:fill="auto"/>
            <w:vAlign w:val="center"/>
          </w:tcPr>
          <w:p w14:paraId="51A9670E" w14:textId="77777777" w:rsidR="00934AB0" w:rsidRPr="00B93DFE" w:rsidRDefault="00934AB0" w:rsidP="005E14B0">
            <w:pPr>
              <w:jc w:val="center"/>
              <w:rPr>
                <w:sz w:val="22"/>
                <w:szCs w:val="22"/>
              </w:rPr>
            </w:pPr>
            <w:r w:rsidRPr="00B93DFE">
              <w:rPr>
                <w:sz w:val="22"/>
                <w:szCs w:val="22"/>
              </w:rPr>
              <w:t>8</w:t>
            </w:r>
          </w:p>
        </w:tc>
        <w:tc>
          <w:tcPr>
            <w:tcW w:w="2267" w:type="dxa"/>
            <w:shd w:val="clear" w:color="auto" w:fill="auto"/>
            <w:vAlign w:val="center"/>
          </w:tcPr>
          <w:p w14:paraId="6AE35C46" w14:textId="77777777" w:rsidR="00934AB0" w:rsidRPr="00B93DFE" w:rsidRDefault="00934AB0" w:rsidP="005E14B0">
            <w:pPr>
              <w:rPr>
                <w:sz w:val="22"/>
                <w:szCs w:val="22"/>
              </w:rPr>
            </w:pPr>
            <w:r w:rsidRPr="00B93DFE">
              <w:rPr>
                <w:sz w:val="22"/>
                <w:szCs w:val="22"/>
              </w:rPr>
              <w:t>Pont/alkalom</w:t>
            </w:r>
          </w:p>
        </w:tc>
      </w:tr>
      <w:tr w:rsidR="00934AB0" w:rsidRPr="00B93DFE" w14:paraId="1620357A" w14:textId="77777777" w:rsidTr="005E14B0">
        <w:trPr>
          <w:trHeight w:val="300"/>
          <w:jc w:val="center"/>
        </w:trPr>
        <w:tc>
          <w:tcPr>
            <w:tcW w:w="4296" w:type="dxa"/>
            <w:shd w:val="clear" w:color="auto" w:fill="auto"/>
            <w:vAlign w:val="center"/>
          </w:tcPr>
          <w:p w14:paraId="59772B5C" w14:textId="77777777" w:rsidR="00934AB0" w:rsidRPr="00B93DFE" w:rsidRDefault="00934AB0" w:rsidP="005E14B0">
            <w:pPr>
              <w:rPr>
                <w:sz w:val="22"/>
                <w:szCs w:val="22"/>
              </w:rPr>
            </w:pPr>
            <w:r w:rsidRPr="00B93DFE">
              <w:rPr>
                <w:sz w:val="22"/>
                <w:szCs w:val="22"/>
              </w:rPr>
              <w:t>Egyéb doktori iskolai tevékenység</w:t>
            </w:r>
          </w:p>
        </w:tc>
        <w:tc>
          <w:tcPr>
            <w:tcW w:w="945" w:type="dxa"/>
            <w:shd w:val="clear" w:color="auto" w:fill="auto"/>
            <w:vAlign w:val="center"/>
          </w:tcPr>
          <w:p w14:paraId="4BC754C5" w14:textId="77777777" w:rsidR="00934AB0" w:rsidRPr="00B93DFE" w:rsidRDefault="00934AB0" w:rsidP="005E14B0">
            <w:pPr>
              <w:jc w:val="center"/>
              <w:rPr>
                <w:sz w:val="22"/>
                <w:szCs w:val="22"/>
              </w:rPr>
            </w:pPr>
            <w:r w:rsidRPr="00B93DFE">
              <w:rPr>
                <w:sz w:val="22"/>
                <w:szCs w:val="22"/>
              </w:rPr>
              <w:t>eseti</w:t>
            </w:r>
          </w:p>
        </w:tc>
        <w:tc>
          <w:tcPr>
            <w:tcW w:w="2267" w:type="dxa"/>
            <w:shd w:val="clear" w:color="auto" w:fill="auto"/>
            <w:vAlign w:val="center"/>
          </w:tcPr>
          <w:p w14:paraId="390BD612" w14:textId="77777777" w:rsidR="00934AB0" w:rsidRPr="00B93DFE" w:rsidRDefault="00934AB0" w:rsidP="005E14B0">
            <w:pPr>
              <w:rPr>
                <w:sz w:val="22"/>
                <w:szCs w:val="22"/>
              </w:rPr>
            </w:pPr>
            <w:r w:rsidRPr="00B93DFE">
              <w:rPr>
                <w:sz w:val="22"/>
                <w:szCs w:val="22"/>
              </w:rPr>
              <w:t>Pont/tanév</w:t>
            </w:r>
          </w:p>
        </w:tc>
      </w:tr>
    </w:tbl>
    <w:p w14:paraId="6CB040FD" w14:textId="77777777" w:rsidR="00934AB0" w:rsidRPr="00B93DFE" w:rsidRDefault="00934AB0" w:rsidP="00934AB0">
      <w:pPr>
        <w:rPr>
          <w:rFonts w:eastAsia="Calibri"/>
          <w:sz w:val="22"/>
          <w:szCs w:val="22"/>
        </w:rPr>
      </w:pPr>
    </w:p>
    <w:p w14:paraId="40BA288A" w14:textId="77777777" w:rsidR="00934AB0" w:rsidRPr="00B93DFE" w:rsidRDefault="00934AB0" w:rsidP="00934AB0">
      <w:pPr>
        <w:rPr>
          <w:rFonts w:eastAsia="Calibri"/>
          <w:sz w:val="22"/>
          <w:szCs w:val="22"/>
        </w:rPr>
      </w:pPr>
    </w:p>
    <w:p w14:paraId="40B20F13" w14:textId="77777777" w:rsidR="00934AB0" w:rsidRPr="00B93DFE" w:rsidRDefault="00934AB0" w:rsidP="00934AB0">
      <w:pPr>
        <w:widowControl w:val="0"/>
        <w:ind w:firstLine="709"/>
        <w:jc w:val="center"/>
        <w:rPr>
          <w:rFonts w:eastAsia="Calibri"/>
          <w:b/>
          <w:sz w:val="22"/>
          <w:szCs w:val="22"/>
        </w:rPr>
      </w:pPr>
      <w:r w:rsidRPr="00B93DFE">
        <w:rPr>
          <w:rFonts w:eastAsia="Calibri"/>
          <w:b/>
          <w:sz w:val="22"/>
          <w:szCs w:val="22"/>
        </w:rPr>
        <w:t>A teljesítmény-értékelés és minősítés rendje</w:t>
      </w:r>
    </w:p>
    <w:p w14:paraId="09F916AF" w14:textId="77777777" w:rsidR="00934AB0" w:rsidRPr="00B93DFE" w:rsidRDefault="00934AB0" w:rsidP="00934AB0">
      <w:pPr>
        <w:widowControl w:val="0"/>
        <w:ind w:firstLine="709"/>
        <w:jc w:val="center"/>
        <w:rPr>
          <w:rFonts w:eastAsia="Calibri"/>
          <w:b/>
          <w:sz w:val="22"/>
          <w:szCs w:val="22"/>
        </w:rPr>
      </w:pPr>
    </w:p>
    <w:p w14:paraId="33E7F5B1" w14:textId="77777777" w:rsidR="00934AB0" w:rsidRPr="00B93DFE" w:rsidRDefault="00934AB0" w:rsidP="00934AB0">
      <w:pPr>
        <w:jc w:val="both"/>
        <w:rPr>
          <w:rFonts w:eastAsia="Calibri"/>
          <w:sz w:val="22"/>
          <w:szCs w:val="22"/>
        </w:rPr>
      </w:pPr>
      <w:r w:rsidRPr="00B93DFE">
        <w:rPr>
          <w:rFonts w:eastAsia="Calibri"/>
          <w:b/>
          <w:sz w:val="22"/>
          <w:szCs w:val="22"/>
        </w:rPr>
        <w:t>7. §</w:t>
      </w:r>
      <w:r w:rsidRPr="00B93DFE">
        <w:rPr>
          <w:rFonts w:eastAsia="Calibri"/>
          <w:sz w:val="22"/>
          <w:szCs w:val="22"/>
        </w:rPr>
        <w:t xml:space="preserve"> (1) </w:t>
      </w:r>
      <w:r w:rsidRPr="00B93DFE">
        <w:rPr>
          <w:sz w:val="22"/>
          <w:szCs w:val="22"/>
        </w:rPr>
        <w:t xml:space="preserve">A 3-6. §-okban részletezett elemekből összeálló egyéni </w:t>
      </w:r>
      <w:proofErr w:type="spellStart"/>
      <w:r w:rsidRPr="00B93DFE">
        <w:rPr>
          <w:sz w:val="22"/>
          <w:szCs w:val="22"/>
        </w:rPr>
        <w:t>összpontszámot</w:t>
      </w:r>
      <w:proofErr w:type="spellEnd"/>
      <w:r w:rsidRPr="00B93DFE">
        <w:rPr>
          <w:sz w:val="22"/>
          <w:szCs w:val="22"/>
        </w:rPr>
        <w:t xml:space="preserve"> a teljesítménymérési rendszerben megfogalmazott, oktatói </w:t>
      </w:r>
      <w:proofErr w:type="gramStart"/>
      <w:r w:rsidRPr="00B93DFE">
        <w:rPr>
          <w:sz w:val="22"/>
          <w:szCs w:val="22"/>
        </w:rPr>
        <w:t>kategóriánként</w:t>
      </w:r>
      <w:proofErr w:type="gramEnd"/>
      <w:r w:rsidRPr="00B93DFE">
        <w:rPr>
          <w:sz w:val="22"/>
          <w:szCs w:val="22"/>
        </w:rPr>
        <w:t xml:space="preserve"> változó minimális követelményekkel kell összevetni. A </w:t>
      </w:r>
      <w:proofErr w:type="spellStart"/>
      <w:proofErr w:type="gramStart"/>
      <w:r w:rsidRPr="00B93DFE">
        <w:rPr>
          <w:sz w:val="22"/>
          <w:szCs w:val="22"/>
        </w:rPr>
        <w:t>kategóriánkénti</w:t>
      </w:r>
      <w:proofErr w:type="spellEnd"/>
      <w:proofErr w:type="gramEnd"/>
      <w:r w:rsidRPr="00B93DFE">
        <w:rPr>
          <w:sz w:val="22"/>
          <w:szCs w:val="22"/>
        </w:rPr>
        <w:t xml:space="preserve"> minimálisan elvárt pontszámokat </w:t>
      </w:r>
      <w:r w:rsidRPr="00B93DFE">
        <w:rPr>
          <w:rFonts w:eastAsia="Calibri"/>
          <w:sz w:val="22"/>
          <w:szCs w:val="22"/>
        </w:rPr>
        <w:t xml:space="preserve">a 9. sz. táblázat tartalmazza. </w:t>
      </w:r>
    </w:p>
    <w:p w14:paraId="64C95107" w14:textId="77777777" w:rsidR="00934AB0" w:rsidRPr="00B93DFE" w:rsidRDefault="00934AB0" w:rsidP="00934AB0">
      <w:pPr>
        <w:jc w:val="both"/>
        <w:rPr>
          <w:rFonts w:eastAsia="Calibri"/>
          <w:sz w:val="22"/>
          <w:szCs w:val="22"/>
        </w:rPr>
      </w:pPr>
    </w:p>
    <w:p w14:paraId="1A366F8F" w14:textId="77777777" w:rsidR="00934AB0" w:rsidRPr="00B93DFE" w:rsidRDefault="00934AB0" w:rsidP="00934AB0">
      <w:pPr>
        <w:jc w:val="center"/>
        <w:rPr>
          <w:rFonts w:eastAsia="Calibri"/>
          <w:b/>
          <w:sz w:val="22"/>
          <w:szCs w:val="22"/>
        </w:rPr>
      </w:pPr>
      <w:r w:rsidRPr="00B93DFE">
        <w:rPr>
          <w:rFonts w:eastAsia="Calibri"/>
          <w:b/>
          <w:sz w:val="22"/>
          <w:szCs w:val="22"/>
        </w:rPr>
        <w:t xml:space="preserve">9. sz. táblázat: A teljesítménymérési rendszer </w:t>
      </w:r>
      <w:proofErr w:type="spellStart"/>
      <w:proofErr w:type="gramStart"/>
      <w:r w:rsidRPr="00B93DFE">
        <w:rPr>
          <w:rFonts w:eastAsia="Calibri"/>
          <w:b/>
          <w:sz w:val="22"/>
          <w:szCs w:val="22"/>
        </w:rPr>
        <w:t>kategóriánkénti</w:t>
      </w:r>
      <w:proofErr w:type="spellEnd"/>
      <w:proofErr w:type="gramEnd"/>
      <w:r w:rsidRPr="00B93DFE">
        <w:rPr>
          <w:rFonts w:eastAsia="Calibri"/>
          <w:b/>
          <w:sz w:val="22"/>
          <w:szCs w:val="22"/>
        </w:rPr>
        <w:t xml:space="preserve"> elvárásai (pont/tanév)</w:t>
      </w:r>
    </w:p>
    <w:p w14:paraId="356277A6" w14:textId="77777777" w:rsidR="00934AB0" w:rsidRPr="00B93DFE" w:rsidRDefault="00934AB0" w:rsidP="00934AB0">
      <w:pPr>
        <w:jc w:val="center"/>
        <w:rPr>
          <w:rFonts w:eastAsia="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792"/>
      </w:tblGrid>
      <w:tr w:rsidR="00934AB0" w:rsidRPr="00B93DFE" w14:paraId="6BB72272" w14:textId="77777777" w:rsidTr="005E14B0">
        <w:trPr>
          <w:jc w:val="center"/>
        </w:trPr>
        <w:tc>
          <w:tcPr>
            <w:tcW w:w="3716" w:type="dxa"/>
            <w:shd w:val="clear" w:color="auto" w:fill="auto"/>
          </w:tcPr>
          <w:p w14:paraId="1D94E5B6" w14:textId="77777777" w:rsidR="00934AB0" w:rsidRPr="00B93DFE" w:rsidRDefault="00934AB0" w:rsidP="005E14B0">
            <w:pPr>
              <w:spacing w:before="40" w:after="40"/>
              <w:rPr>
                <w:rFonts w:eastAsia="Calibri"/>
                <w:b/>
                <w:sz w:val="22"/>
                <w:szCs w:val="22"/>
              </w:rPr>
            </w:pPr>
            <w:r w:rsidRPr="00B93DFE">
              <w:rPr>
                <w:rFonts w:eastAsia="Calibri"/>
                <w:b/>
                <w:sz w:val="22"/>
                <w:szCs w:val="22"/>
              </w:rPr>
              <w:t xml:space="preserve">Oktatói </w:t>
            </w:r>
            <w:proofErr w:type="gramStart"/>
            <w:r w:rsidRPr="00B93DFE">
              <w:rPr>
                <w:rFonts w:eastAsia="Calibri"/>
                <w:b/>
                <w:sz w:val="22"/>
                <w:szCs w:val="22"/>
              </w:rPr>
              <w:t>kategória</w:t>
            </w:r>
            <w:proofErr w:type="gramEnd"/>
          </w:p>
        </w:tc>
        <w:tc>
          <w:tcPr>
            <w:tcW w:w="3792" w:type="dxa"/>
            <w:shd w:val="clear" w:color="auto" w:fill="auto"/>
          </w:tcPr>
          <w:p w14:paraId="743D38C0" w14:textId="77777777" w:rsidR="00934AB0" w:rsidRPr="00B93DFE" w:rsidRDefault="00934AB0" w:rsidP="005E14B0">
            <w:pPr>
              <w:spacing w:before="40" w:after="40"/>
              <w:jc w:val="center"/>
              <w:rPr>
                <w:rFonts w:eastAsia="Calibri"/>
                <w:b/>
                <w:sz w:val="22"/>
                <w:szCs w:val="22"/>
              </w:rPr>
            </w:pPr>
            <w:r w:rsidRPr="00B93DFE">
              <w:rPr>
                <w:rFonts w:eastAsia="Calibri"/>
                <w:b/>
                <w:sz w:val="22"/>
                <w:szCs w:val="22"/>
              </w:rPr>
              <w:t xml:space="preserve">Elvárt </w:t>
            </w:r>
            <w:proofErr w:type="gramStart"/>
            <w:r w:rsidRPr="00B93DFE">
              <w:rPr>
                <w:rFonts w:eastAsia="Calibri"/>
                <w:b/>
                <w:sz w:val="22"/>
                <w:szCs w:val="22"/>
              </w:rPr>
              <w:t>minimális</w:t>
            </w:r>
            <w:proofErr w:type="gramEnd"/>
            <w:r w:rsidRPr="00B93DFE">
              <w:rPr>
                <w:rFonts w:eastAsia="Calibri"/>
                <w:b/>
                <w:sz w:val="22"/>
                <w:szCs w:val="22"/>
              </w:rPr>
              <w:t xml:space="preserve"> pontszám/tanév</w:t>
            </w:r>
          </w:p>
        </w:tc>
      </w:tr>
      <w:tr w:rsidR="00934AB0" w:rsidRPr="00B93DFE" w14:paraId="546F875E" w14:textId="77777777" w:rsidTr="005E14B0">
        <w:trPr>
          <w:jc w:val="center"/>
        </w:trPr>
        <w:tc>
          <w:tcPr>
            <w:tcW w:w="3716" w:type="dxa"/>
            <w:shd w:val="clear" w:color="auto" w:fill="auto"/>
          </w:tcPr>
          <w:p w14:paraId="6BB163A0" w14:textId="77777777" w:rsidR="00934AB0" w:rsidRPr="00B93DFE" w:rsidRDefault="00934AB0" w:rsidP="005E14B0">
            <w:pPr>
              <w:spacing w:before="40" w:after="40"/>
              <w:rPr>
                <w:rFonts w:eastAsia="Calibri"/>
                <w:sz w:val="22"/>
                <w:szCs w:val="22"/>
              </w:rPr>
            </w:pPr>
            <w:r w:rsidRPr="00B93DFE">
              <w:rPr>
                <w:rFonts w:eastAsia="Calibri"/>
                <w:sz w:val="22"/>
                <w:szCs w:val="22"/>
              </w:rPr>
              <w:t>Egyetemi tanár</w:t>
            </w:r>
          </w:p>
        </w:tc>
        <w:tc>
          <w:tcPr>
            <w:tcW w:w="3792" w:type="dxa"/>
            <w:shd w:val="clear" w:color="auto" w:fill="auto"/>
          </w:tcPr>
          <w:p w14:paraId="0F47E6D7"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850</w:t>
            </w:r>
          </w:p>
        </w:tc>
      </w:tr>
      <w:tr w:rsidR="00934AB0" w:rsidRPr="00B93DFE" w14:paraId="23FFA8D2" w14:textId="77777777" w:rsidTr="005E14B0">
        <w:trPr>
          <w:jc w:val="center"/>
        </w:trPr>
        <w:tc>
          <w:tcPr>
            <w:tcW w:w="3716" w:type="dxa"/>
            <w:shd w:val="clear" w:color="auto" w:fill="auto"/>
          </w:tcPr>
          <w:p w14:paraId="55A90301" w14:textId="77777777" w:rsidR="00934AB0" w:rsidRPr="00B93DFE" w:rsidRDefault="00934AB0" w:rsidP="005E14B0">
            <w:pPr>
              <w:spacing w:before="40" w:after="40"/>
              <w:rPr>
                <w:rFonts w:eastAsia="Calibri"/>
                <w:sz w:val="22"/>
                <w:szCs w:val="22"/>
              </w:rPr>
            </w:pPr>
            <w:r w:rsidRPr="00B93DFE">
              <w:rPr>
                <w:rFonts w:eastAsia="Calibri"/>
                <w:sz w:val="22"/>
                <w:szCs w:val="22"/>
              </w:rPr>
              <w:t>Egyetemi docens</w:t>
            </w:r>
          </w:p>
        </w:tc>
        <w:tc>
          <w:tcPr>
            <w:tcW w:w="3792" w:type="dxa"/>
            <w:shd w:val="clear" w:color="auto" w:fill="auto"/>
          </w:tcPr>
          <w:p w14:paraId="4FE51FBE"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595</w:t>
            </w:r>
          </w:p>
        </w:tc>
      </w:tr>
      <w:tr w:rsidR="00934AB0" w:rsidRPr="00B93DFE" w14:paraId="5AD21437" w14:textId="77777777" w:rsidTr="005E14B0">
        <w:trPr>
          <w:jc w:val="center"/>
        </w:trPr>
        <w:tc>
          <w:tcPr>
            <w:tcW w:w="3716" w:type="dxa"/>
            <w:shd w:val="clear" w:color="auto" w:fill="auto"/>
          </w:tcPr>
          <w:p w14:paraId="21FC503D"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Adjunktus  </w:t>
            </w:r>
          </w:p>
        </w:tc>
        <w:tc>
          <w:tcPr>
            <w:tcW w:w="3792" w:type="dxa"/>
            <w:shd w:val="clear" w:color="auto" w:fill="auto"/>
          </w:tcPr>
          <w:p w14:paraId="679F06BB"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425</w:t>
            </w:r>
          </w:p>
        </w:tc>
      </w:tr>
      <w:tr w:rsidR="00934AB0" w:rsidRPr="00B93DFE" w14:paraId="74DF21E7" w14:textId="77777777" w:rsidTr="005E14B0">
        <w:trPr>
          <w:jc w:val="center"/>
        </w:trPr>
        <w:tc>
          <w:tcPr>
            <w:tcW w:w="3716" w:type="dxa"/>
            <w:shd w:val="clear" w:color="auto" w:fill="auto"/>
          </w:tcPr>
          <w:p w14:paraId="485E6B7B" w14:textId="77777777" w:rsidR="00934AB0" w:rsidRPr="00B93DFE" w:rsidRDefault="00934AB0" w:rsidP="005E14B0">
            <w:pPr>
              <w:spacing w:before="40" w:after="40"/>
              <w:rPr>
                <w:rFonts w:eastAsia="Calibri"/>
                <w:sz w:val="22"/>
                <w:szCs w:val="22"/>
              </w:rPr>
            </w:pPr>
            <w:r w:rsidRPr="00B93DFE">
              <w:rPr>
                <w:rFonts w:eastAsia="Calibri"/>
                <w:sz w:val="22"/>
                <w:szCs w:val="22"/>
              </w:rPr>
              <w:t xml:space="preserve">Tanársegéd </w:t>
            </w:r>
          </w:p>
        </w:tc>
        <w:tc>
          <w:tcPr>
            <w:tcW w:w="3792" w:type="dxa"/>
            <w:shd w:val="clear" w:color="auto" w:fill="auto"/>
          </w:tcPr>
          <w:p w14:paraId="694E1DEE" w14:textId="77777777" w:rsidR="00934AB0" w:rsidRPr="00B93DFE" w:rsidRDefault="00934AB0" w:rsidP="005E14B0">
            <w:pPr>
              <w:spacing w:before="40" w:after="40"/>
              <w:jc w:val="center"/>
              <w:rPr>
                <w:rFonts w:eastAsia="Calibri"/>
                <w:sz w:val="22"/>
                <w:szCs w:val="22"/>
              </w:rPr>
            </w:pPr>
            <w:r w:rsidRPr="00B93DFE">
              <w:rPr>
                <w:rFonts w:eastAsia="Calibri"/>
                <w:sz w:val="22"/>
                <w:szCs w:val="22"/>
              </w:rPr>
              <w:t>340</w:t>
            </w:r>
          </w:p>
        </w:tc>
      </w:tr>
    </w:tbl>
    <w:p w14:paraId="2F249115" w14:textId="77777777" w:rsidR="00934AB0" w:rsidRPr="00B93DFE" w:rsidRDefault="00934AB0" w:rsidP="00934AB0">
      <w:pPr>
        <w:jc w:val="both"/>
        <w:rPr>
          <w:rFonts w:eastAsia="Calibri"/>
          <w:sz w:val="20"/>
          <w:szCs w:val="22"/>
        </w:rPr>
      </w:pPr>
      <w:r w:rsidRPr="00B93DFE">
        <w:rPr>
          <w:rFonts w:eastAsia="Calibri"/>
          <w:sz w:val="20"/>
          <w:szCs w:val="22"/>
        </w:rPr>
        <w:t>* A mesteroktatótól elvárt pontszám az adjunktusival, mestertanári és nyelvtanári pedig a tanársegédével megegyező.</w:t>
      </w:r>
    </w:p>
    <w:p w14:paraId="28DE9757" w14:textId="77777777" w:rsidR="00934AB0" w:rsidRPr="00B93DFE" w:rsidRDefault="00934AB0" w:rsidP="00934AB0">
      <w:pPr>
        <w:jc w:val="both"/>
        <w:rPr>
          <w:rFonts w:eastAsia="Calibri"/>
          <w:sz w:val="22"/>
          <w:szCs w:val="22"/>
        </w:rPr>
      </w:pPr>
    </w:p>
    <w:p w14:paraId="7E60ADBB" w14:textId="77777777" w:rsidR="00934AB0" w:rsidRPr="00B93DFE" w:rsidRDefault="00934AB0" w:rsidP="00934AB0">
      <w:pPr>
        <w:jc w:val="both"/>
        <w:rPr>
          <w:rFonts w:eastAsia="Calibri"/>
          <w:sz w:val="22"/>
          <w:szCs w:val="22"/>
        </w:rPr>
      </w:pPr>
      <w:r w:rsidRPr="00B93DFE">
        <w:rPr>
          <w:rFonts w:eastAsia="Calibri"/>
          <w:sz w:val="22"/>
          <w:szCs w:val="22"/>
        </w:rPr>
        <w:t xml:space="preserve">(2) A 9. számú táblázat a teljesítménymérési rendszer legfontosabb kimenete. A </w:t>
      </w:r>
      <w:r w:rsidRPr="00497AEF">
        <w:rPr>
          <w:rFonts w:eastAsia="Calibri"/>
          <w:sz w:val="22"/>
          <w:szCs w:val="22"/>
        </w:rPr>
        <w:t xml:space="preserve">tanévenkénti elvárt </w:t>
      </w:r>
      <w:proofErr w:type="gramStart"/>
      <w:r w:rsidRPr="00497AEF">
        <w:rPr>
          <w:rFonts w:eastAsia="Calibri"/>
          <w:sz w:val="22"/>
          <w:szCs w:val="22"/>
        </w:rPr>
        <w:t>minimális</w:t>
      </w:r>
      <w:proofErr w:type="gramEnd"/>
      <w:r w:rsidRPr="00497AEF">
        <w:rPr>
          <w:rFonts w:eastAsia="Calibri"/>
          <w:sz w:val="22"/>
          <w:szCs w:val="22"/>
        </w:rPr>
        <w:t xml:space="preserve"> pontszám</w:t>
      </w:r>
      <w:r w:rsidRPr="00B93DFE">
        <w:rPr>
          <w:rFonts w:eastAsia="Calibri"/>
          <w:sz w:val="22"/>
          <w:szCs w:val="22"/>
        </w:rPr>
        <w:t xml:space="preserve"> oszlopa mutatja, hogy az egyes oktatói kategóriákban milyen teljesítmény ekvivalens a Kjt. által meghatározott közalkalmazotti alapbérrel. Alapértelmezésben ezt a pontszámot az oktatáshoz kötődő tevékenységekkel lehet és kell teljesíteni, azonban a </w:t>
      </w:r>
      <w:proofErr w:type="gramStart"/>
      <w:r w:rsidRPr="00B93DFE">
        <w:rPr>
          <w:rFonts w:eastAsia="Calibri"/>
          <w:sz w:val="22"/>
          <w:szCs w:val="22"/>
        </w:rPr>
        <w:t>státuszokhoz</w:t>
      </w:r>
      <w:proofErr w:type="gramEnd"/>
      <w:r w:rsidRPr="00B93DFE">
        <w:rPr>
          <w:rFonts w:eastAsia="Calibri"/>
          <w:sz w:val="22"/>
          <w:szCs w:val="22"/>
        </w:rPr>
        <w:t xml:space="preserve"> kötődő elvárások az intézménymenedzsment- és projektteljesítmények, valamint a tudományszervezési és doktori iskolai tevékenységek révén is teljesíthetők.</w:t>
      </w:r>
    </w:p>
    <w:p w14:paraId="5DF5E9ED" w14:textId="77777777" w:rsidR="00934AB0" w:rsidRPr="00B93DFE" w:rsidRDefault="00934AB0" w:rsidP="00934AB0">
      <w:pPr>
        <w:jc w:val="both"/>
        <w:rPr>
          <w:rFonts w:eastAsia="Calibri"/>
          <w:sz w:val="22"/>
          <w:szCs w:val="22"/>
        </w:rPr>
      </w:pPr>
    </w:p>
    <w:p w14:paraId="3E1C00D7" w14:textId="77777777" w:rsidR="00934AB0" w:rsidRPr="00B93DFE" w:rsidRDefault="00934AB0" w:rsidP="00934AB0">
      <w:pPr>
        <w:jc w:val="both"/>
        <w:rPr>
          <w:rFonts w:eastAsia="Calibri"/>
          <w:sz w:val="22"/>
          <w:szCs w:val="22"/>
        </w:rPr>
      </w:pPr>
      <w:r w:rsidRPr="00B93DFE">
        <w:rPr>
          <w:rFonts w:eastAsia="Calibri"/>
          <w:sz w:val="22"/>
          <w:szCs w:val="22"/>
        </w:rPr>
        <w:t xml:space="preserve">(3) Az oktató </w:t>
      </w:r>
      <w:proofErr w:type="gramStart"/>
      <w:r w:rsidRPr="00B93DFE">
        <w:rPr>
          <w:rFonts w:eastAsia="Calibri"/>
          <w:sz w:val="22"/>
          <w:szCs w:val="22"/>
        </w:rPr>
        <w:t>kollégák</w:t>
      </w:r>
      <w:proofErr w:type="gramEnd"/>
      <w:r w:rsidRPr="00B93DFE">
        <w:rPr>
          <w:rFonts w:eastAsia="Calibri"/>
          <w:sz w:val="22"/>
          <w:szCs w:val="22"/>
        </w:rPr>
        <w:t xml:space="preserve"> a tanulmányi nyilvántartásban rögzített adatokkal előre feltöltött számítógépes program segítségével legkésőbb a szorgalmi időszak végig elkészítik és beküldik önbevallásaikat. Ezt követően az illetékes intézetigazgatók egy hónapon belül igazolják az oktatási teljesítményeket és intézeti érdekkörben felmerült egyéb teljesítést, továbbá javaslatot tesznek az oktatói minősítésre. A dékáni vezetés ezzel párhuzamosan értékeli a </w:t>
      </w:r>
      <w:proofErr w:type="gramStart"/>
      <w:r w:rsidRPr="00B93DFE">
        <w:rPr>
          <w:rFonts w:eastAsia="Calibri"/>
          <w:sz w:val="22"/>
          <w:szCs w:val="22"/>
        </w:rPr>
        <w:t>kollégák</w:t>
      </w:r>
      <w:proofErr w:type="gramEnd"/>
      <w:r w:rsidRPr="00B93DFE">
        <w:rPr>
          <w:rFonts w:eastAsia="Calibri"/>
          <w:sz w:val="22"/>
          <w:szCs w:val="22"/>
        </w:rPr>
        <w:t xml:space="preserve"> intézmén</w:t>
      </w:r>
      <w:r>
        <w:rPr>
          <w:rFonts w:eastAsia="Calibri"/>
          <w:sz w:val="22"/>
          <w:szCs w:val="22"/>
        </w:rPr>
        <w:t>y</w:t>
      </w:r>
      <w:r w:rsidRPr="00B93DFE">
        <w:rPr>
          <w:rFonts w:eastAsia="Calibri"/>
          <w:sz w:val="22"/>
          <w:szCs w:val="22"/>
        </w:rPr>
        <w:t xml:space="preserve">menedzsment tevékenységét és (a </w:t>
      </w:r>
      <w:r w:rsidRPr="00B93DFE">
        <w:rPr>
          <w:rFonts w:eastAsia="Calibri"/>
          <w:sz w:val="22"/>
          <w:szCs w:val="22"/>
        </w:rPr>
        <w:lastRenderedPageBreak/>
        <w:t>KTKB közreműködésével) a kutatási és tudományszervezési eredményeiket. Az összesített adatok birtokában ezt követően, minden év júniusában kerül sor a megelőző tanév teljesítményének, a következő év feladatainak és az oktatói minősítéseknek az írásos dokumentálására az érintett oktató és a dékáni vezetés közreműködésével. Ugyanekkor kerülnek a kiadott minősítések nyomán véglegesítésre a következő tanév munkáltatói hatáskörben adott rendszeres illetménykiegészítései.</w:t>
      </w:r>
    </w:p>
    <w:p w14:paraId="5359067B" w14:textId="77777777" w:rsidR="00934AB0" w:rsidRPr="00B93DFE" w:rsidRDefault="00934AB0" w:rsidP="00934AB0">
      <w:pPr>
        <w:jc w:val="both"/>
        <w:rPr>
          <w:rFonts w:eastAsia="Calibri"/>
          <w:sz w:val="22"/>
          <w:szCs w:val="22"/>
        </w:rPr>
      </w:pPr>
    </w:p>
    <w:p w14:paraId="195A7660" w14:textId="77777777" w:rsidR="00934AB0" w:rsidRPr="00B93DFE" w:rsidRDefault="00934AB0" w:rsidP="00934AB0">
      <w:pPr>
        <w:jc w:val="both"/>
        <w:rPr>
          <w:rFonts w:eastAsia="Calibri"/>
          <w:sz w:val="22"/>
          <w:szCs w:val="22"/>
        </w:rPr>
      </w:pPr>
      <w:r w:rsidRPr="00B93DFE">
        <w:rPr>
          <w:rFonts w:eastAsia="Calibri"/>
          <w:sz w:val="22"/>
          <w:szCs w:val="22"/>
        </w:rPr>
        <w:t xml:space="preserve">(4) A dékáni vezetés rotációs rendszerben, dékáni ciklusonként legalább egy alkalommal részletes személyes elbeszélgetés keretein belül is egyeztet valamennyi oktató </w:t>
      </w:r>
      <w:proofErr w:type="gramStart"/>
      <w:r w:rsidRPr="00B93DFE">
        <w:rPr>
          <w:rFonts w:eastAsia="Calibri"/>
          <w:sz w:val="22"/>
          <w:szCs w:val="22"/>
        </w:rPr>
        <w:t>kollégával</w:t>
      </w:r>
      <w:proofErr w:type="gramEnd"/>
      <w:r w:rsidRPr="00B93DFE">
        <w:rPr>
          <w:rFonts w:eastAsia="Calibri"/>
          <w:sz w:val="22"/>
          <w:szCs w:val="22"/>
        </w:rPr>
        <w:t xml:space="preserve"> az egyéni karrier-utakról, karon belüli szakmai és egzisztenciális perspektívákról. A dékáni beszélgetést adott évben az oktató saját maga soron kívül is kezdeményezheti.</w:t>
      </w:r>
    </w:p>
    <w:p w14:paraId="3E7C049C" w14:textId="77777777" w:rsidR="00934AB0" w:rsidRPr="00B93DFE" w:rsidRDefault="00934AB0" w:rsidP="00934AB0">
      <w:pPr>
        <w:contextualSpacing/>
        <w:jc w:val="center"/>
        <w:rPr>
          <w:rFonts w:eastAsia="Calibri"/>
          <w:sz w:val="22"/>
          <w:szCs w:val="22"/>
        </w:rPr>
      </w:pPr>
    </w:p>
    <w:p w14:paraId="36C9B64E" w14:textId="77777777" w:rsidR="00934AB0" w:rsidRPr="00B93DFE" w:rsidRDefault="00934AB0" w:rsidP="00934AB0">
      <w:pPr>
        <w:contextualSpacing/>
        <w:jc w:val="both"/>
        <w:rPr>
          <w:rFonts w:eastAsia="Calibri"/>
          <w:sz w:val="22"/>
          <w:szCs w:val="22"/>
        </w:rPr>
      </w:pPr>
      <w:r w:rsidRPr="00B93DFE">
        <w:rPr>
          <w:rFonts w:eastAsia="Calibri"/>
          <w:sz w:val="22"/>
          <w:szCs w:val="22"/>
        </w:rPr>
        <w:t xml:space="preserve">(5) Az oktatói teljesítmény </w:t>
      </w:r>
      <w:r w:rsidRPr="00B93DFE">
        <w:rPr>
          <w:rFonts w:eastAsia="Calibri"/>
          <w:b/>
          <w:sz w:val="22"/>
          <w:szCs w:val="22"/>
        </w:rPr>
        <w:t>minősítése</w:t>
      </w:r>
      <w:r w:rsidRPr="00B93DFE">
        <w:rPr>
          <w:rFonts w:eastAsia="Calibri"/>
          <w:sz w:val="22"/>
          <w:szCs w:val="22"/>
        </w:rPr>
        <w:t xml:space="preserve"> a dékáni vezetés feladata a teljesítményértékelési rendszer pontjai, valamint az oktató tudományos és közéleti teljesítményének együttes figyelembe vétele mellett.</w:t>
      </w:r>
    </w:p>
    <w:p w14:paraId="73639BCF" w14:textId="77777777" w:rsidR="00934AB0" w:rsidRPr="00B93DFE" w:rsidRDefault="00934AB0" w:rsidP="00934AB0">
      <w:pPr>
        <w:contextualSpacing/>
        <w:jc w:val="center"/>
        <w:rPr>
          <w:rFonts w:eastAsia="Calibri"/>
          <w:sz w:val="22"/>
          <w:szCs w:val="22"/>
        </w:rPr>
      </w:pPr>
    </w:p>
    <w:p w14:paraId="4F5D4D5C" w14:textId="77777777" w:rsidR="00934AB0" w:rsidRPr="00B93DFE" w:rsidRDefault="00934AB0" w:rsidP="00934AB0">
      <w:pPr>
        <w:contextualSpacing/>
        <w:jc w:val="center"/>
        <w:rPr>
          <w:rFonts w:eastAsia="Calibri"/>
          <w:b/>
          <w:sz w:val="22"/>
          <w:szCs w:val="22"/>
        </w:rPr>
      </w:pPr>
      <w:r w:rsidRPr="00B93DFE">
        <w:rPr>
          <w:rFonts w:eastAsia="Calibri"/>
          <w:b/>
          <w:sz w:val="22"/>
          <w:szCs w:val="22"/>
        </w:rPr>
        <w:t>Záró és hatályba léptető rendelkezések</w:t>
      </w:r>
    </w:p>
    <w:p w14:paraId="496D9152" w14:textId="77777777" w:rsidR="00FD0545" w:rsidRPr="00E13CE5" w:rsidRDefault="00FD0545" w:rsidP="00FD0545">
      <w:pPr>
        <w:contextualSpacing/>
        <w:jc w:val="center"/>
        <w:rPr>
          <w:rFonts w:eastAsia="Calibri"/>
          <w:sz w:val="22"/>
          <w:szCs w:val="22"/>
        </w:rPr>
      </w:pPr>
    </w:p>
    <w:p w14:paraId="0B6CDAE6" w14:textId="77777777" w:rsidR="00FD0545" w:rsidRPr="00E13CE5" w:rsidRDefault="00934AB0" w:rsidP="00FD0545">
      <w:pPr>
        <w:contextualSpacing/>
        <w:jc w:val="both"/>
        <w:rPr>
          <w:rFonts w:eastAsia="Calibri"/>
          <w:sz w:val="22"/>
          <w:szCs w:val="22"/>
        </w:rPr>
      </w:pPr>
      <w:r>
        <w:rPr>
          <w:rFonts w:eastAsia="Calibri"/>
          <w:b/>
          <w:sz w:val="22"/>
          <w:szCs w:val="22"/>
        </w:rPr>
        <w:t>8</w:t>
      </w:r>
      <w:r w:rsidR="00FD0545" w:rsidRPr="00E13CE5">
        <w:rPr>
          <w:rFonts w:eastAsia="Calibri"/>
          <w:b/>
          <w:sz w:val="22"/>
          <w:szCs w:val="22"/>
        </w:rPr>
        <w:t>. §</w:t>
      </w:r>
      <w:r w:rsidR="00FD0545" w:rsidRPr="00E13CE5">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6A165071" w14:textId="77777777" w:rsidR="00FD0545" w:rsidRPr="00E13CE5" w:rsidRDefault="00FD0545" w:rsidP="00FD0545">
      <w:pPr>
        <w:contextualSpacing/>
        <w:jc w:val="both"/>
        <w:rPr>
          <w:rFonts w:eastAsia="Calibri"/>
          <w:sz w:val="22"/>
          <w:szCs w:val="22"/>
        </w:rPr>
      </w:pPr>
    </w:p>
    <w:p w14:paraId="7518E34D" w14:textId="77777777" w:rsidR="00934AB0" w:rsidRPr="00B93DFE" w:rsidRDefault="00934AB0" w:rsidP="00934AB0">
      <w:pPr>
        <w:contextualSpacing/>
        <w:jc w:val="both"/>
        <w:rPr>
          <w:rFonts w:eastAsia="Calibri"/>
          <w:sz w:val="22"/>
          <w:szCs w:val="22"/>
        </w:rPr>
      </w:pPr>
      <w:r w:rsidRPr="00B93DFE">
        <w:rPr>
          <w:rFonts w:eastAsia="Calibri"/>
          <w:sz w:val="22"/>
          <w:szCs w:val="22"/>
        </w:rPr>
        <w:t xml:space="preserve">(2) A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a Kar dékáni utasításban rendelkezhet. </w:t>
      </w:r>
    </w:p>
    <w:p w14:paraId="56D50286" w14:textId="77777777" w:rsidR="00934AB0" w:rsidRDefault="00934AB0" w:rsidP="00FD0545">
      <w:pPr>
        <w:contextualSpacing/>
        <w:jc w:val="both"/>
        <w:rPr>
          <w:rFonts w:eastAsia="Calibri"/>
          <w:sz w:val="22"/>
          <w:szCs w:val="22"/>
        </w:rPr>
      </w:pPr>
    </w:p>
    <w:p w14:paraId="44CEAAC4" w14:textId="77777777" w:rsidR="00934AB0" w:rsidRPr="00934AB0" w:rsidRDefault="00934AB0" w:rsidP="00FD0545">
      <w:pPr>
        <w:contextualSpacing/>
        <w:jc w:val="both"/>
        <w:rPr>
          <w:rFonts w:eastAsia="Calibri"/>
          <w:b/>
          <w:sz w:val="22"/>
          <w:szCs w:val="22"/>
          <w:u w:val="single"/>
        </w:rPr>
      </w:pPr>
      <w:r w:rsidRPr="00934AB0">
        <w:rPr>
          <w:rFonts w:eastAsia="Calibri"/>
          <w:b/>
          <w:sz w:val="22"/>
          <w:szCs w:val="22"/>
          <w:u w:val="single"/>
        </w:rPr>
        <w:t>Záradék:</w:t>
      </w:r>
    </w:p>
    <w:p w14:paraId="477A041C" w14:textId="77777777" w:rsidR="00934AB0" w:rsidRPr="00864606" w:rsidRDefault="00934AB0" w:rsidP="00934AB0">
      <w:pPr>
        <w:pStyle w:val="paragraph"/>
        <w:shd w:val="clear" w:color="auto" w:fill="FFFFFF" w:themeFill="background1"/>
        <w:spacing w:before="0" w:beforeAutospacing="0" w:after="0" w:afterAutospacing="0"/>
        <w:jc w:val="both"/>
        <w:rPr>
          <w:i/>
          <w:sz w:val="20"/>
          <w:szCs w:val="22"/>
        </w:rPr>
      </w:pPr>
      <w:r w:rsidRPr="00864606">
        <w:rPr>
          <w:rStyle w:val="normaltextrun"/>
          <w:bCs/>
          <w:i/>
          <w:sz w:val="20"/>
          <w:szCs w:val="22"/>
        </w:rPr>
        <w:t>A Pécsi Tudományegyetem foglalkoztatási követelményrendszere 1</w:t>
      </w:r>
      <w:r w:rsidRPr="00864606">
        <w:rPr>
          <w:rFonts w:eastAsia="Calibri"/>
          <w:i/>
          <w:sz w:val="20"/>
          <w:szCs w:val="22"/>
        </w:rPr>
        <w:t>/6. számú melléklet</w:t>
      </w:r>
      <w:r w:rsidRPr="00864606">
        <w:rPr>
          <w:rStyle w:val="normaltextrun"/>
          <w:bCs/>
          <w:i/>
          <w:sz w:val="20"/>
          <w:szCs w:val="22"/>
        </w:rPr>
        <w:t xml:space="preserve">e, a </w:t>
      </w:r>
      <w:r w:rsidRPr="00864606">
        <w:rPr>
          <w:rFonts w:eastAsia="Calibri"/>
          <w:i/>
          <w:sz w:val="20"/>
          <w:szCs w:val="22"/>
        </w:rPr>
        <w:t>Pécsi Tudományegyetem Közgazdaságtudományi Karának Teljesítményértékelési Szabályzata</w:t>
      </w:r>
      <w:r w:rsidRPr="00864606">
        <w:rPr>
          <w:rStyle w:val="normaltextrun"/>
          <w:bCs/>
          <w:i/>
          <w:sz w:val="20"/>
          <w:szCs w:val="22"/>
        </w:rPr>
        <w:t xml:space="preserve"> átfogó módosítását az </w:t>
      </w:r>
      <w:r w:rsidRPr="00864606">
        <w:rPr>
          <w:i/>
          <w:sz w:val="20"/>
          <w:szCs w:val="22"/>
        </w:rPr>
        <w:t xml:space="preserve">Oktatási Bizottság </w:t>
      </w:r>
      <w:r w:rsidRPr="00864606">
        <w:rPr>
          <w:rStyle w:val="normaltextrun"/>
          <w:bCs/>
          <w:i/>
          <w:sz w:val="20"/>
          <w:szCs w:val="22"/>
        </w:rPr>
        <w:t>45/2020. (04.16.) számú határozatával hagyta jóvá. A módosított melléklet 2020. július 1. napjával hatályos és először a 2020/2021. tanév vonatkozásában alkalmazandó.</w:t>
      </w:r>
    </w:p>
    <w:p w14:paraId="2EFC7705" w14:textId="77777777" w:rsidR="00934AB0" w:rsidRPr="00934AB0" w:rsidRDefault="00934AB0" w:rsidP="00FD0545">
      <w:pPr>
        <w:contextualSpacing/>
        <w:jc w:val="both"/>
        <w:rPr>
          <w:rFonts w:eastAsia="Calibri"/>
          <w:sz w:val="22"/>
          <w:szCs w:val="22"/>
        </w:rPr>
      </w:pPr>
    </w:p>
    <w:p w14:paraId="266ED448" w14:textId="77777777" w:rsidR="00FD0545" w:rsidRPr="002B6307" w:rsidRDefault="00FD0545" w:rsidP="00FD0545">
      <w:pPr>
        <w:pStyle w:val="Cmsor1"/>
      </w:pPr>
      <w:r w:rsidRPr="00E13CE5">
        <w:rPr>
          <w:rFonts w:eastAsia="Calibri"/>
        </w:rPr>
        <w:br w:type="page"/>
      </w:r>
      <w:bookmarkStart w:id="368" w:name="_Toc21961974"/>
      <w:bookmarkStart w:id="369" w:name="_Toc58569582"/>
      <w:r w:rsidRPr="002B6307">
        <w:lastRenderedPageBreak/>
        <w:t>1/7. számú melléklet</w:t>
      </w:r>
      <w:bookmarkEnd w:id="368"/>
      <w:bookmarkEnd w:id="369"/>
    </w:p>
    <w:p w14:paraId="04D2A35B" w14:textId="77777777" w:rsidR="00FD0545" w:rsidRPr="002B6307" w:rsidRDefault="00FD0545" w:rsidP="00FD0545">
      <w:pPr>
        <w:pStyle w:val="Cmsor1"/>
        <w:rPr>
          <w:rFonts w:eastAsia="Calibri"/>
        </w:rPr>
      </w:pPr>
      <w:bookmarkStart w:id="370" w:name="_Toc21961975"/>
      <w:bookmarkStart w:id="371" w:name="_Toc58569583"/>
      <w:r w:rsidRPr="002B6307">
        <w:rPr>
          <w:rFonts w:eastAsia="Calibri"/>
        </w:rPr>
        <w:t>A Pécsi Tudományegyetem Kultúratudományi, Pedagógusképző és Vidékfejlesztési Karának</w:t>
      </w:r>
      <w:r w:rsidRPr="002B6307">
        <w:rPr>
          <w:rFonts w:eastAsia="Calibri"/>
          <w:lang w:val="hu-HU"/>
        </w:rPr>
        <w:t xml:space="preserve"> </w:t>
      </w:r>
      <w:r w:rsidRPr="002B6307">
        <w:rPr>
          <w:rFonts w:eastAsia="Calibri"/>
        </w:rPr>
        <w:t>Teljesítményértékelési Szabályzata</w:t>
      </w:r>
      <w:bookmarkEnd w:id="370"/>
      <w:r w:rsidR="00036AD1" w:rsidRPr="002B6307">
        <w:rPr>
          <w:rStyle w:val="Lbjegyzet-hivatkozs"/>
          <w:rFonts w:eastAsia="Calibri"/>
        </w:rPr>
        <w:footnoteReference w:id="474"/>
      </w:r>
      <w:bookmarkEnd w:id="371"/>
    </w:p>
    <w:p w14:paraId="1FD17B54" w14:textId="77777777" w:rsidR="00FD0545" w:rsidRPr="002B6307" w:rsidRDefault="00FD0545" w:rsidP="00FD0545">
      <w:pPr>
        <w:contextualSpacing/>
        <w:jc w:val="both"/>
        <w:rPr>
          <w:rFonts w:eastAsia="Calibri"/>
          <w:b/>
          <w:sz w:val="22"/>
          <w:szCs w:val="22"/>
          <w:u w:val="single"/>
        </w:rPr>
      </w:pPr>
    </w:p>
    <w:p w14:paraId="427511DE" w14:textId="77777777" w:rsidR="002B6307" w:rsidRPr="002B6307" w:rsidRDefault="002B6307" w:rsidP="002B6307">
      <w:pPr>
        <w:jc w:val="center"/>
        <w:rPr>
          <w:rFonts w:eastAsia="Calibri"/>
          <w:b/>
          <w:sz w:val="22"/>
          <w:szCs w:val="22"/>
        </w:rPr>
      </w:pPr>
      <w:r w:rsidRPr="002B6307">
        <w:rPr>
          <w:rFonts w:eastAsia="Calibri"/>
          <w:b/>
          <w:sz w:val="22"/>
          <w:szCs w:val="22"/>
        </w:rPr>
        <w:t>A szabályzat hatálya</w:t>
      </w:r>
    </w:p>
    <w:p w14:paraId="203B4F03" w14:textId="77777777" w:rsidR="002B6307" w:rsidRPr="002B6307" w:rsidRDefault="002B6307" w:rsidP="002B6307">
      <w:pPr>
        <w:jc w:val="both"/>
        <w:rPr>
          <w:rFonts w:eastAsia="Calibri"/>
          <w:sz w:val="22"/>
          <w:szCs w:val="22"/>
        </w:rPr>
      </w:pPr>
    </w:p>
    <w:p w14:paraId="1E52E602" w14:textId="77777777" w:rsidR="002B6307" w:rsidRPr="002B6307" w:rsidRDefault="002B6307" w:rsidP="002B6307">
      <w:pPr>
        <w:jc w:val="both"/>
        <w:rPr>
          <w:rFonts w:eastAsia="Calibri"/>
          <w:sz w:val="22"/>
          <w:szCs w:val="22"/>
        </w:rPr>
      </w:pPr>
      <w:r w:rsidRPr="002B6307">
        <w:rPr>
          <w:b/>
          <w:sz w:val="22"/>
          <w:szCs w:val="22"/>
        </w:rPr>
        <w:t>1.</w:t>
      </w:r>
      <w:r w:rsidRPr="002B6307">
        <w:rPr>
          <w:rFonts w:eastAsia="Calibri"/>
          <w:b/>
          <w:sz w:val="22"/>
          <w:szCs w:val="22"/>
        </w:rPr>
        <w:t xml:space="preserve"> §</w:t>
      </w:r>
      <w:r w:rsidRPr="002B6307">
        <w:rPr>
          <w:rFonts w:eastAsia="Calibri"/>
          <w:sz w:val="22"/>
          <w:szCs w:val="22"/>
        </w:rPr>
        <w:t xml:space="preserve"> (1) </w:t>
      </w:r>
      <w:r w:rsidRPr="002B6307">
        <w:rPr>
          <w:sz w:val="22"/>
          <w:szCs w:val="22"/>
        </w:rPr>
        <w:t xml:space="preserve">Az oktatók teljesítményértékelési rendszere (TÉR) egy mennyiségi és minőségi szempontokat egyaránt tartalmazó pontszámrendszer. </w:t>
      </w:r>
      <w:proofErr w:type="gramStart"/>
      <w:r w:rsidRPr="002B6307">
        <w:rPr>
          <w:sz w:val="22"/>
          <w:szCs w:val="22"/>
        </w:rPr>
        <w:t>A teljesítményértékelési rendszer kialakításának és működtetésének legfontosabb célja a közalkalmazottak minősítéséhez és a differenciált jövedelemelosztáshoz olyan objektív adat- és információs bázis létrehozása, amely minden közalkalmazott esetében valósághűen rögzíti az éves teljesítményt és annak színvonalát; a magas színvonalú egyetemi oktató-, kutató- és alkotótevékenységhez szükséges személyi feltételek folyamatos meglétének és fejlesztésének elősegítése; a közalkalmazottak részére – a fejlődésük elősegítéséhez szükséges célok meghatározásával – segítséget nyújtani az egyéni teljesítményük</w:t>
      </w:r>
      <w:proofErr w:type="gramEnd"/>
      <w:r w:rsidRPr="002B6307">
        <w:rPr>
          <w:sz w:val="22"/>
          <w:szCs w:val="22"/>
        </w:rPr>
        <w:t xml:space="preserve"> és a szakmai feladatellátásuk színvonalának növeléséhez; az intézmény stratégiájának eredményes megvalósítása érdekében az egyéni és a szervezeti célok összehangolása; a képzési és továbbképzési igények meghatározásához és a karrierfejlesztési tervek összeállításához szükséges </w:t>
      </w:r>
      <w:proofErr w:type="gramStart"/>
      <w:r w:rsidRPr="002B6307">
        <w:rPr>
          <w:sz w:val="22"/>
          <w:szCs w:val="22"/>
        </w:rPr>
        <w:t>információk</w:t>
      </w:r>
      <w:proofErr w:type="gramEnd"/>
      <w:r w:rsidRPr="002B6307">
        <w:rPr>
          <w:sz w:val="22"/>
          <w:szCs w:val="22"/>
        </w:rPr>
        <w:t xml:space="preserve"> biztosítása. </w:t>
      </w:r>
    </w:p>
    <w:p w14:paraId="6D4E8BE1" w14:textId="77777777" w:rsidR="002B6307" w:rsidRPr="002B6307" w:rsidRDefault="002B6307" w:rsidP="002B6307">
      <w:pPr>
        <w:rPr>
          <w:rFonts w:eastAsia="Calibri"/>
          <w:sz w:val="22"/>
          <w:szCs w:val="22"/>
        </w:rPr>
      </w:pPr>
    </w:p>
    <w:p w14:paraId="79591692" w14:textId="77777777" w:rsidR="002B6307" w:rsidRPr="002B6307" w:rsidRDefault="002B6307" w:rsidP="002B6307">
      <w:pPr>
        <w:jc w:val="both"/>
        <w:rPr>
          <w:rFonts w:eastAsia="Calibri"/>
          <w:sz w:val="22"/>
          <w:szCs w:val="22"/>
        </w:rPr>
      </w:pPr>
      <w:r w:rsidRPr="002B6307">
        <w:rPr>
          <w:rFonts w:eastAsia="Calibri"/>
          <w:sz w:val="22"/>
          <w:szCs w:val="22"/>
        </w:rPr>
        <w:t xml:space="preserve">(2) A Szabályzat személyi hatálya kiterjed a Karral közalkalmazotti jogviszonyban álló valamennyi oktatói, illetve kutatói, tanári, mesteroktatói munkakörben foglalkoztatott munkatársra. </w:t>
      </w:r>
    </w:p>
    <w:p w14:paraId="69C3C52A" w14:textId="77777777" w:rsidR="002B6307" w:rsidRPr="002B6307" w:rsidRDefault="002B6307" w:rsidP="002B6307">
      <w:pPr>
        <w:jc w:val="both"/>
        <w:rPr>
          <w:rFonts w:eastAsia="Calibri"/>
          <w:sz w:val="22"/>
          <w:szCs w:val="22"/>
        </w:rPr>
      </w:pPr>
    </w:p>
    <w:p w14:paraId="166FCC47" w14:textId="77777777" w:rsidR="002B6307" w:rsidRPr="002B6307" w:rsidRDefault="002B6307" w:rsidP="002B6307">
      <w:pPr>
        <w:jc w:val="center"/>
        <w:rPr>
          <w:rFonts w:eastAsia="Calibri"/>
          <w:b/>
          <w:sz w:val="22"/>
          <w:szCs w:val="22"/>
        </w:rPr>
      </w:pPr>
      <w:r w:rsidRPr="002B6307">
        <w:rPr>
          <w:rFonts w:eastAsia="Calibri"/>
          <w:b/>
          <w:sz w:val="22"/>
          <w:szCs w:val="22"/>
        </w:rPr>
        <w:t>A TÉR alapelvei</w:t>
      </w:r>
    </w:p>
    <w:p w14:paraId="59FC8879" w14:textId="77777777" w:rsidR="002B6307" w:rsidRPr="002B6307" w:rsidRDefault="002B6307" w:rsidP="002B6307">
      <w:pPr>
        <w:jc w:val="center"/>
        <w:rPr>
          <w:rFonts w:eastAsia="Calibri"/>
          <w:b/>
          <w:sz w:val="22"/>
          <w:szCs w:val="22"/>
        </w:rPr>
      </w:pPr>
    </w:p>
    <w:p w14:paraId="480C6B24" w14:textId="77777777" w:rsidR="002B6307" w:rsidRPr="002B6307" w:rsidRDefault="002B6307" w:rsidP="002B6307">
      <w:pPr>
        <w:jc w:val="both"/>
        <w:rPr>
          <w:sz w:val="22"/>
          <w:szCs w:val="22"/>
        </w:rPr>
      </w:pPr>
      <w:r w:rsidRPr="002B6307">
        <w:rPr>
          <w:rFonts w:eastAsia="Calibri"/>
          <w:b/>
          <w:sz w:val="22"/>
          <w:szCs w:val="22"/>
        </w:rPr>
        <w:t>2. §</w:t>
      </w:r>
      <w:r w:rsidRPr="002B6307">
        <w:rPr>
          <w:rFonts w:eastAsia="Calibri"/>
          <w:sz w:val="22"/>
          <w:szCs w:val="22"/>
        </w:rPr>
        <w:t xml:space="preserve"> (1) </w:t>
      </w:r>
      <w:r w:rsidRPr="002B6307">
        <w:rPr>
          <w:sz w:val="22"/>
          <w:szCs w:val="22"/>
        </w:rPr>
        <w:t xml:space="preserve">Az oktatói és a kutatói munkakörben dolgozó közalkalmazottak teljesítményértékelése tanévre készül, azaz a szeptember 1-től a következő év augusztus 31-ig terjedő tevékenységüket veszi számba és értékeli. Mivel a teljesítményértékelés keretében fontosnak tartjuk a munkatársak egyetemen végzett tevékenységének teljes körű számbavételét, továbbá saját teljesítményükről alkotott véleményük megismerését, ezért az értékeltnek is lehetősége van minden mérési pont esetén kiegészítésre, </w:t>
      </w:r>
      <w:proofErr w:type="gramStart"/>
      <w:r w:rsidRPr="002B6307">
        <w:rPr>
          <w:sz w:val="22"/>
          <w:szCs w:val="22"/>
        </w:rPr>
        <w:t>korrekcióra</w:t>
      </w:r>
      <w:proofErr w:type="gramEnd"/>
      <w:r w:rsidRPr="002B6307">
        <w:rPr>
          <w:sz w:val="22"/>
          <w:szCs w:val="22"/>
        </w:rPr>
        <w:t>. A teljesítményértékelés során a kapcsolódó informatikai rendszer (</w:t>
      </w:r>
      <w:proofErr w:type="spellStart"/>
      <w:r w:rsidRPr="002B6307">
        <w:rPr>
          <w:sz w:val="22"/>
          <w:szCs w:val="22"/>
        </w:rPr>
        <w:t>Neptun</w:t>
      </w:r>
      <w:proofErr w:type="spellEnd"/>
      <w:r w:rsidRPr="002B6307">
        <w:rPr>
          <w:sz w:val="22"/>
          <w:szCs w:val="22"/>
        </w:rPr>
        <w:t xml:space="preserve">) segítségével az alábbi mérési területekhez tartozó teljesítmény adatokat gyűjtjük: </w:t>
      </w:r>
    </w:p>
    <w:p w14:paraId="1F770E1C" w14:textId="77777777" w:rsidR="002B6307" w:rsidRPr="002B6307" w:rsidRDefault="002B6307" w:rsidP="002B6307">
      <w:pPr>
        <w:jc w:val="both"/>
        <w:rPr>
          <w:sz w:val="22"/>
          <w:szCs w:val="22"/>
        </w:rPr>
      </w:pPr>
    </w:p>
    <w:p w14:paraId="35650D55" w14:textId="77777777" w:rsidR="002B6307" w:rsidRPr="002B6307" w:rsidRDefault="002B6307" w:rsidP="00F83E93">
      <w:pPr>
        <w:pStyle w:val="Listaszerbekezds"/>
        <w:numPr>
          <w:ilvl w:val="0"/>
          <w:numId w:val="181"/>
        </w:numPr>
        <w:spacing w:after="0" w:line="240" w:lineRule="auto"/>
        <w:jc w:val="both"/>
        <w:rPr>
          <w:rFonts w:ascii="Times New Roman" w:eastAsia="Times New Roman" w:hAnsi="Times New Roman"/>
          <w:lang w:eastAsia="hu-HU"/>
        </w:rPr>
      </w:pPr>
      <w:r w:rsidRPr="002B6307">
        <w:rPr>
          <w:rFonts w:ascii="Times New Roman" w:eastAsia="Times New Roman" w:hAnsi="Times New Roman"/>
          <w:lang w:eastAsia="hu-HU"/>
        </w:rPr>
        <w:t xml:space="preserve">kutatási, </w:t>
      </w:r>
      <w:proofErr w:type="gramStart"/>
      <w:r w:rsidRPr="002B6307">
        <w:rPr>
          <w:rFonts w:ascii="Times New Roman" w:eastAsia="Times New Roman" w:hAnsi="Times New Roman"/>
          <w:lang w:eastAsia="hu-HU"/>
        </w:rPr>
        <w:t>publikálási</w:t>
      </w:r>
      <w:proofErr w:type="gramEnd"/>
      <w:r w:rsidRPr="002B6307">
        <w:rPr>
          <w:rFonts w:ascii="Times New Roman" w:eastAsia="Times New Roman" w:hAnsi="Times New Roman"/>
          <w:lang w:eastAsia="hu-HU"/>
        </w:rPr>
        <w:t xml:space="preserve"> és egyéb tudományos tevékenység</w:t>
      </w:r>
    </w:p>
    <w:p w14:paraId="00BD4276" w14:textId="77777777" w:rsidR="002B6307" w:rsidRPr="002B6307" w:rsidRDefault="002B6307" w:rsidP="00F83E93">
      <w:pPr>
        <w:pStyle w:val="Listaszerbekezds"/>
        <w:numPr>
          <w:ilvl w:val="0"/>
          <w:numId w:val="181"/>
        </w:numPr>
        <w:spacing w:after="0" w:line="240" w:lineRule="auto"/>
        <w:jc w:val="both"/>
        <w:rPr>
          <w:rFonts w:ascii="Times New Roman" w:eastAsia="Times New Roman" w:hAnsi="Times New Roman"/>
          <w:lang w:eastAsia="hu-HU"/>
        </w:rPr>
      </w:pPr>
      <w:r w:rsidRPr="002B6307">
        <w:rPr>
          <w:rFonts w:ascii="Times New Roman" w:eastAsia="Times New Roman" w:hAnsi="Times New Roman"/>
          <w:lang w:eastAsia="hu-HU"/>
        </w:rPr>
        <w:t>oktatással összefüggő tevékenységek</w:t>
      </w:r>
    </w:p>
    <w:p w14:paraId="77AB4E67" w14:textId="77777777" w:rsidR="002B6307" w:rsidRPr="002B6307" w:rsidRDefault="002B6307" w:rsidP="00F83E93">
      <w:pPr>
        <w:pStyle w:val="Listaszerbekezds"/>
        <w:numPr>
          <w:ilvl w:val="0"/>
          <w:numId w:val="181"/>
        </w:numPr>
        <w:spacing w:after="0" w:line="240" w:lineRule="auto"/>
        <w:jc w:val="both"/>
        <w:rPr>
          <w:rFonts w:ascii="Times New Roman" w:eastAsia="Times New Roman" w:hAnsi="Times New Roman"/>
          <w:lang w:eastAsia="hu-HU"/>
        </w:rPr>
      </w:pPr>
      <w:r w:rsidRPr="002B6307">
        <w:rPr>
          <w:rFonts w:ascii="Times New Roman" w:hAnsi="Times New Roman"/>
        </w:rPr>
        <w:t>intézmény-menedzsmenttel és kari képviselettel kapcsolatos feladatok</w:t>
      </w:r>
    </w:p>
    <w:p w14:paraId="01EBC5B3" w14:textId="77777777" w:rsidR="002B6307" w:rsidRPr="002B6307" w:rsidRDefault="002B6307" w:rsidP="002B6307">
      <w:pPr>
        <w:jc w:val="both"/>
        <w:rPr>
          <w:rFonts w:eastAsia="Calibri"/>
          <w:strike/>
          <w:sz w:val="22"/>
          <w:szCs w:val="22"/>
        </w:rPr>
      </w:pPr>
    </w:p>
    <w:p w14:paraId="4D0C21D8" w14:textId="77777777" w:rsidR="002B6307" w:rsidRPr="002B6307" w:rsidRDefault="002B6307" w:rsidP="002B6307">
      <w:pPr>
        <w:jc w:val="both"/>
        <w:rPr>
          <w:bCs/>
          <w:sz w:val="22"/>
          <w:szCs w:val="22"/>
        </w:rPr>
      </w:pPr>
      <w:r w:rsidRPr="002B6307">
        <w:rPr>
          <w:rFonts w:eastAsia="Calibri"/>
          <w:sz w:val="22"/>
          <w:szCs w:val="22"/>
        </w:rPr>
        <w:t xml:space="preserve">(2) </w:t>
      </w:r>
      <w:r w:rsidRPr="002B6307">
        <w:rPr>
          <w:bCs/>
          <w:sz w:val="22"/>
          <w:szCs w:val="22"/>
        </w:rPr>
        <w:t xml:space="preserve">Lényeges, hogy az értékelés, az adatok elemzése, teljesítményértékelő megbeszélésen teljesedik ki, ahol a beosztott is kifejtheti saját véleményét a teljesítménnyel és annak minőségével kapcsolatban. Ez lehetőséget nyújt arra, hogy közös véleményt alakítsanak ki, és a vezető a tervezetben megfogalmazott értékelést ennek megfelelően </w:t>
      </w:r>
      <w:proofErr w:type="spellStart"/>
      <w:r w:rsidRPr="002B6307">
        <w:rPr>
          <w:bCs/>
          <w:sz w:val="22"/>
          <w:szCs w:val="22"/>
        </w:rPr>
        <w:t>pontosítsa</w:t>
      </w:r>
      <w:proofErr w:type="spellEnd"/>
      <w:r w:rsidRPr="002B6307">
        <w:rPr>
          <w:bCs/>
          <w:sz w:val="22"/>
          <w:szCs w:val="22"/>
        </w:rPr>
        <w:t xml:space="preserve">. A teljesítményértékelő </w:t>
      </w:r>
      <w:proofErr w:type="gramStart"/>
      <w:r w:rsidRPr="002B6307">
        <w:rPr>
          <w:bCs/>
          <w:sz w:val="22"/>
          <w:szCs w:val="22"/>
        </w:rPr>
        <w:t>dokumentumon</w:t>
      </w:r>
      <w:proofErr w:type="gramEnd"/>
      <w:r w:rsidRPr="002B6307">
        <w:rPr>
          <w:bCs/>
          <w:sz w:val="22"/>
          <w:szCs w:val="22"/>
        </w:rPr>
        <w:t xml:space="preserve"> rögzítendők azok a megvalósítandó célok is, amelyeket a következő oktatási évben a közalkalmazott fejlődése, teljesítményének és a munkavégzése színvonalának növelése érdekében indokolt megvalósítani.</w:t>
      </w:r>
    </w:p>
    <w:p w14:paraId="657B2FB0" w14:textId="77777777" w:rsidR="002B6307" w:rsidRPr="002B6307" w:rsidRDefault="002B6307" w:rsidP="002B6307">
      <w:pPr>
        <w:contextualSpacing/>
        <w:jc w:val="both"/>
        <w:rPr>
          <w:sz w:val="22"/>
          <w:szCs w:val="22"/>
        </w:rPr>
      </w:pPr>
      <w:r w:rsidRPr="002B6307">
        <w:rPr>
          <w:bCs/>
          <w:sz w:val="22"/>
          <w:szCs w:val="22"/>
        </w:rPr>
        <w:t>Követendő alapelvként hangsúlyozzuk, hogy a kari</w:t>
      </w:r>
      <w:r w:rsidRPr="002B6307">
        <w:rPr>
          <w:sz w:val="22"/>
          <w:szCs w:val="22"/>
        </w:rPr>
        <w:t xml:space="preserve"> TÉR megfelelő működésének szerves részét képezi a dékáni vezetés által minden tanév végén biztosított részletes, személyes tájékoztató beszélgetés, amit megelőz a mérhető adatok </w:t>
      </w:r>
      <w:proofErr w:type="gramStart"/>
      <w:r w:rsidRPr="002B6307">
        <w:rPr>
          <w:sz w:val="22"/>
          <w:szCs w:val="22"/>
        </w:rPr>
        <w:t>kollégák</w:t>
      </w:r>
      <w:proofErr w:type="gramEnd"/>
      <w:r w:rsidRPr="002B6307">
        <w:rPr>
          <w:sz w:val="22"/>
          <w:szCs w:val="22"/>
        </w:rPr>
        <w:t xml:space="preserve"> általi, legkésőbb a vizsgaidőszak végéig történő önbevallása és a minőségi mérlegelést igénylő szempontok intézetigazgatói értékelése.</w:t>
      </w:r>
    </w:p>
    <w:p w14:paraId="41E16A13" w14:textId="77777777" w:rsidR="002B6307" w:rsidRPr="002B6307" w:rsidRDefault="002B6307" w:rsidP="002B6307">
      <w:pPr>
        <w:contextualSpacing/>
        <w:jc w:val="both"/>
        <w:rPr>
          <w:rFonts w:eastAsia="Calibri"/>
          <w:sz w:val="22"/>
          <w:szCs w:val="22"/>
        </w:rPr>
      </w:pPr>
    </w:p>
    <w:p w14:paraId="7FAF2D65" w14:textId="77777777" w:rsidR="002B6307" w:rsidRPr="002B6307" w:rsidRDefault="002B6307" w:rsidP="002B6307">
      <w:pPr>
        <w:jc w:val="center"/>
        <w:rPr>
          <w:rFonts w:eastAsia="Calibri"/>
          <w:b/>
          <w:sz w:val="22"/>
          <w:szCs w:val="22"/>
        </w:rPr>
      </w:pPr>
      <w:r w:rsidRPr="002B6307">
        <w:rPr>
          <w:rFonts w:eastAsia="Calibri"/>
          <w:b/>
          <w:sz w:val="22"/>
          <w:szCs w:val="22"/>
        </w:rPr>
        <w:t>Az értékelhető tevékenységek rendszere</w:t>
      </w:r>
    </w:p>
    <w:p w14:paraId="7E6D7B5E" w14:textId="77777777" w:rsidR="002B6307" w:rsidRPr="002B6307" w:rsidRDefault="002B6307" w:rsidP="002B6307">
      <w:pPr>
        <w:jc w:val="both"/>
        <w:rPr>
          <w:rFonts w:eastAsia="Calibri"/>
          <w:sz w:val="22"/>
          <w:szCs w:val="22"/>
        </w:rPr>
      </w:pPr>
    </w:p>
    <w:p w14:paraId="4922B2C5" w14:textId="77777777" w:rsidR="002B6307" w:rsidRPr="002B6307" w:rsidRDefault="002B6307" w:rsidP="002B6307">
      <w:pPr>
        <w:contextualSpacing/>
        <w:rPr>
          <w:rFonts w:eastAsia="Calibri"/>
          <w:sz w:val="22"/>
          <w:szCs w:val="22"/>
        </w:rPr>
      </w:pPr>
      <w:r w:rsidRPr="002B6307">
        <w:rPr>
          <w:rFonts w:eastAsia="Calibri"/>
          <w:b/>
          <w:sz w:val="22"/>
          <w:szCs w:val="22"/>
        </w:rPr>
        <w:t>3. §</w:t>
      </w:r>
      <w:r w:rsidRPr="002B6307">
        <w:rPr>
          <w:rFonts w:eastAsia="Calibri"/>
          <w:sz w:val="22"/>
          <w:szCs w:val="22"/>
        </w:rPr>
        <w:t xml:space="preserve"> (1) A rendszer három alapvető tevékenységet vesz alapul a </w:t>
      </w:r>
      <w:proofErr w:type="spellStart"/>
      <w:r w:rsidRPr="002B6307">
        <w:rPr>
          <w:rFonts w:eastAsia="Calibri"/>
          <w:sz w:val="22"/>
          <w:szCs w:val="22"/>
        </w:rPr>
        <w:t>számszerűsítés</w:t>
      </w:r>
      <w:proofErr w:type="spellEnd"/>
      <w:r w:rsidRPr="002B6307">
        <w:rPr>
          <w:rFonts w:eastAsia="Calibri"/>
          <w:sz w:val="22"/>
          <w:szCs w:val="22"/>
        </w:rPr>
        <w:t xml:space="preserve"> során:</w:t>
      </w:r>
    </w:p>
    <w:p w14:paraId="5330FF84" w14:textId="77777777" w:rsidR="002B6307" w:rsidRPr="002B6307" w:rsidRDefault="002B6307" w:rsidP="00F83E93">
      <w:pPr>
        <w:numPr>
          <w:ilvl w:val="0"/>
          <w:numId w:val="158"/>
        </w:numPr>
        <w:contextualSpacing/>
        <w:jc w:val="both"/>
        <w:rPr>
          <w:rFonts w:eastAsia="Calibri"/>
          <w:sz w:val="22"/>
          <w:szCs w:val="22"/>
        </w:rPr>
      </w:pPr>
      <w:r w:rsidRPr="002B6307">
        <w:rPr>
          <w:rFonts w:eastAsia="Calibri"/>
          <w:sz w:val="22"/>
          <w:szCs w:val="22"/>
        </w:rPr>
        <w:t xml:space="preserve">kutatási, </w:t>
      </w:r>
      <w:proofErr w:type="gramStart"/>
      <w:r w:rsidRPr="002B6307">
        <w:rPr>
          <w:rFonts w:eastAsia="Calibri"/>
          <w:sz w:val="22"/>
          <w:szCs w:val="22"/>
        </w:rPr>
        <w:t>publikálási</w:t>
      </w:r>
      <w:proofErr w:type="gramEnd"/>
      <w:r w:rsidRPr="002B6307">
        <w:rPr>
          <w:rFonts w:eastAsia="Calibri"/>
          <w:sz w:val="22"/>
          <w:szCs w:val="22"/>
        </w:rPr>
        <w:t xml:space="preserve"> és egyéb tudományszervezési tevékenység;</w:t>
      </w:r>
    </w:p>
    <w:p w14:paraId="19C73D87" w14:textId="77777777" w:rsidR="002B6307" w:rsidRPr="002B6307" w:rsidRDefault="002B6307" w:rsidP="00F83E93">
      <w:pPr>
        <w:numPr>
          <w:ilvl w:val="0"/>
          <w:numId w:val="158"/>
        </w:numPr>
        <w:contextualSpacing/>
        <w:jc w:val="both"/>
        <w:rPr>
          <w:rFonts w:eastAsia="Calibri"/>
          <w:sz w:val="22"/>
          <w:szCs w:val="22"/>
        </w:rPr>
      </w:pPr>
      <w:r w:rsidRPr="002B6307">
        <w:rPr>
          <w:rFonts w:eastAsia="Calibri"/>
          <w:sz w:val="22"/>
          <w:szCs w:val="22"/>
        </w:rPr>
        <w:lastRenderedPageBreak/>
        <w:t>oktatással összefüggő tevékenységek, figyelemmel az oktatói munka hallgatói véleményezése (OMHV) adataira;</w:t>
      </w:r>
    </w:p>
    <w:p w14:paraId="0B901DF7" w14:textId="77777777" w:rsidR="002B6307" w:rsidRPr="002B6307" w:rsidRDefault="002B6307" w:rsidP="00F83E93">
      <w:pPr>
        <w:numPr>
          <w:ilvl w:val="0"/>
          <w:numId w:val="158"/>
        </w:numPr>
        <w:contextualSpacing/>
        <w:jc w:val="both"/>
        <w:rPr>
          <w:rFonts w:eastAsia="Calibri"/>
          <w:sz w:val="22"/>
          <w:szCs w:val="22"/>
        </w:rPr>
      </w:pPr>
      <w:r w:rsidRPr="002B6307">
        <w:rPr>
          <w:rFonts w:eastAsia="Calibri"/>
          <w:sz w:val="22"/>
          <w:szCs w:val="22"/>
        </w:rPr>
        <w:t xml:space="preserve">intézmény-menedzsmenttel és kari képviselettel kapcsolatos feladatok. </w:t>
      </w:r>
    </w:p>
    <w:p w14:paraId="32DA4FDE" w14:textId="77777777" w:rsidR="002B6307" w:rsidRPr="002B6307" w:rsidRDefault="002B6307" w:rsidP="002B6307">
      <w:pPr>
        <w:jc w:val="both"/>
        <w:rPr>
          <w:rFonts w:eastAsia="Calibri"/>
          <w:sz w:val="22"/>
          <w:szCs w:val="22"/>
        </w:rPr>
      </w:pPr>
    </w:p>
    <w:p w14:paraId="7C36C7E5" w14:textId="77777777" w:rsidR="002B6307" w:rsidRPr="002B6307" w:rsidRDefault="002B6307" w:rsidP="002B6307">
      <w:pPr>
        <w:jc w:val="both"/>
        <w:rPr>
          <w:rFonts w:eastAsia="Calibri"/>
          <w:sz w:val="22"/>
          <w:szCs w:val="22"/>
        </w:rPr>
      </w:pPr>
      <w:r w:rsidRPr="002B6307">
        <w:rPr>
          <w:rFonts w:eastAsia="Calibri"/>
          <w:sz w:val="22"/>
          <w:szCs w:val="22"/>
        </w:rPr>
        <w:t xml:space="preserve">(2) A </w:t>
      </w:r>
      <w:r w:rsidRPr="002B6307">
        <w:rPr>
          <w:rFonts w:eastAsia="Calibri"/>
          <w:b/>
          <w:sz w:val="22"/>
          <w:szCs w:val="22"/>
        </w:rPr>
        <w:t xml:space="preserve">kutatási, </w:t>
      </w:r>
      <w:proofErr w:type="gramStart"/>
      <w:r w:rsidRPr="002B6307">
        <w:rPr>
          <w:rFonts w:eastAsia="Calibri"/>
          <w:b/>
          <w:sz w:val="22"/>
          <w:szCs w:val="22"/>
        </w:rPr>
        <w:t>publikálási</w:t>
      </w:r>
      <w:proofErr w:type="gramEnd"/>
      <w:r w:rsidRPr="002B6307">
        <w:rPr>
          <w:rFonts w:eastAsia="Calibri"/>
          <w:b/>
          <w:sz w:val="22"/>
          <w:szCs w:val="22"/>
        </w:rPr>
        <w:t xml:space="preserve"> és egyéb tudományszervezési tevékenységek</w:t>
      </w:r>
      <w:r w:rsidRPr="002B6307">
        <w:rPr>
          <w:rFonts w:eastAsia="Calibri"/>
          <w:sz w:val="22"/>
          <w:szCs w:val="22"/>
        </w:rPr>
        <w:t xml:space="preserve"> értékelésére az alábbi szempontok figyelembevételével kerül sor:</w:t>
      </w:r>
    </w:p>
    <w:p w14:paraId="5C9F8AA2" w14:textId="77777777" w:rsidR="002B6307" w:rsidRPr="002B6307" w:rsidRDefault="002B6307" w:rsidP="002B6307">
      <w:pPr>
        <w:jc w:val="both"/>
        <w:rPr>
          <w:rFonts w:eastAsia="Calibri"/>
          <w:sz w:val="22"/>
          <w:szCs w:val="22"/>
        </w:rPr>
      </w:pPr>
    </w:p>
    <w:p w14:paraId="6F965F29" w14:textId="77777777" w:rsidR="002B6307" w:rsidRPr="002B6307" w:rsidRDefault="002B6307" w:rsidP="00F83E93">
      <w:pPr>
        <w:pStyle w:val="Listaszerbekezds"/>
        <w:numPr>
          <w:ilvl w:val="0"/>
          <w:numId w:val="157"/>
        </w:numPr>
        <w:spacing w:after="0" w:line="240" w:lineRule="auto"/>
        <w:ind w:left="714" w:hanging="357"/>
        <w:jc w:val="both"/>
        <w:rPr>
          <w:rFonts w:ascii="Times New Roman" w:hAnsi="Times New Roman"/>
        </w:rPr>
      </w:pPr>
      <w:r w:rsidRPr="002B6307">
        <w:rPr>
          <w:rFonts w:ascii="Times New Roman" w:hAnsi="Times New Roman"/>
        </w:rPr>
        <w:t>Publikációk</w:t>
      </w:r>
    </w:p>
    <w:p w14:paraId="76CDA0D3"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t xml:space="preserve">Önálló könyvek, </w:t>
      </w:r>
      <w:proofErr w:type="gramStart"/>
      <w:r w:rsidRPr="002B6307">
        <w:rPr>
          <w:rFonts w:ascii="Times New Roman" w:hAnsi="Times New Roman"/>
        </w:rPr>
        <w:t>monográfiák</w:t>
      </w:r>
      <w:proofErr w:type="gramEnd"/>
      <w:r w:rsidRPr="002B6307">
        <w:rPr>
          <w:rFonts w:ascii="Times New Roman" w:hAnsi="Times New Roman"/>
        </w:rPr>
        <w:t>:</w:t>
      </w:r>
    </w:p>
    <w:p w14:paraId="499FC573"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idegen</w:t>
      </w:r>
      <w:proofErr w:type="gramEnd"/>
      <w:r w:rsidRPr="002B6307">
        <w:rPr>
          <w:rFonts w:ascii="Times New Roman" w:hAnsi="Times New Roman"/>
        </w:rPr>
        <w:t xml:space="preserve"> nyelven </w:t>
      </w:r>
      <w:r w:rsidRPr="002B6307">
        <w:rPr>
          <w:rFonts w:ascii="Times New Roman" w:hAnsi="Times New Roman"/>
          <w:b/>
        </w:rPr>
        <w:t>(100 pont)</w:t>
      </w:r>
    </w:p>
    <w:p w14:paraId="11669DEE" w14:textId="77777777" w:rsidR="002B6307" w:rsidRPr="002B6307" w:rsidRDefault="002B6307" w:rsidP="002B6307">
      <w:pPr>
        <w:pStyle w:val="Listaszerbekezds"/>
        <w:spacing w:after="0" w:line="240" w:lineRule="auto"/>
        <w:jc w:val="both"/>
        <w:rPr>
          <w:rFonts w:ascii="Times New Roman" w:hAnsi="Times New Roman"/>
          <w:b/>
          <w:i/>
          <w:color w:val="FF0000"/>
        </w:rPr>
      </w:pPr>
      <w:proofErr w:type="gramStart"/>
      <w:r w:rsidRPr="002B6307">
        <w:rPr>
          <w:rFonts w:ascii="Times New Roman" w:hAnsi="Times New Roman"/>
        </w:rPr>
        <w:t>magyar</w:t>
      </w:r>
      <w:proofErr w:type="gramEnd"/>
      <w:r w:rsidRPr="002B6307">
        <w:rPr>
          <w:rFonts w:ascii="Times New Roman" w:hAnsi="Times New Roman"/>
        </w:rPr>
        <w:t xml:space="preserve"> nyelven </w:t>
      </w:r>
      <w:r w:rsidRPr="002B6307">
        <w:rPr>
          <w:rFonts w:ascii="Times New Roman" w:hAnsi="Times New Roman"/>
          <w:b/>
        </w:rPr>
        <w:t>(70 pont)</w:t>
      </w:r>
    </w:p>
    <w:p w14:paraId="28C55C13"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Szerkesztett kötetek:</w:t>
      </w:r>
    </w:p>
    <w:p w14:paraId="366A099D"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idegen</w:t>
      </w:r>
      <w:proofErr w:type="gramEnd"/>
      <w:r w:rsidRPr="002B6307">
        <w:rPr>
          <w:rFonts w:ascii="Times New Roman" w:hAnsi="Times New Roman"/>
        </w:rPr>
        <w:t xml:space="preserve"> nyelven (</w:t>
      </w:r>
      <w:r w:rsidRPr="002B6307">
        <w:rPr>
          <w:rFonts w:ascii="Times New Roman" w:hAnsi="Times New Roman"/>
          <w:b/>
        </w:rPr>
        <w:t>40 pont)</w:t>
      </w:r>
    </w:p>
    <w:p w14:paraId="1CFF952B"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magyar</w:t>
      </w:r>
      <w:proofErr w:type="gramEnd"/>
      <w:r w:rsidRPr="002B6307">
        <w:rPr>
          <w:rFonts w:ascii="Times New Roman" w:hAnsi="Times New Roman"/>
        </w:rPr>
        <w:t xml:space="preserve"> nyelven (</w:t>
      </w:r>
      <w:r w:rsidRPr="002B6307">
        <w:rPr>
          <w:rFonts w:ascii="Times New Roman" w:hAnsi="Times New Roman"/>
          <w:b/>
        </w:rPr>
        <w:t>25 pont)</w:t>
      </w:r>
    </w:p>
    <w:p w14:paraId="140A50E4"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Könyvsorozat szerkesztések:</w:t>
      </w:r>
    </w:p>
    <w:p w14:paraId="6ACDEC21"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idegen</w:t>
      </w:r>
      <w:proofErr w:type="gramEnd"/>
      <w:r w:rsidRPr="002B6307">
        <w:rPr>
          <w:rFonts w:ascii="Times New Roman" w:hAnsi="Times New Roman"/>
        </w:rPr>
        <w:t xml:space="preserve"> nyelven </w:t>
      </w:r>
      <w:r w:rsidRPr="002B6307">
        <w:rPr>
          <w:rFonts w:ascii="Times New Roman" w:hAnsi="Times New Roman"/>
          <w:b/>
        </w:rPr>
        <w:t>(15 pont)</w:t>
      </w:r>
    </w:p>
    <w:p w14:paraId="78E89BC1"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magyar</w:t>
      </w:r>
      <w:proofErr w:type="gramEnd"/>
      <w:r w:rsidRPr="002B6307">
        <w:rPr>
          <w:rFonts w:ascii="Times New Roman" w:hAnsi="Times New Roman"/>
        </w:rPr>
        <w:t xml:space="preserve"> nyelven (</w:t>
      </w:r>
      <w:r w:rsidRPr="002B6307">
        <w:rPr>
          <w:rFonts w:ascii="Times New Roman" w:hAnsi="Times New Roman"/>
          <w:b/>
        </w:rPr>
        <w:t>10 pont)</w:t>
      </w:r>
    </w:p>
    <w:p w14:paraId="0EAC3F5D"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Idegen nyelvű tudományos cikkek:</w:t>
      </w:r>
    </w:p>
    <w:p w14:paraId="01079D31"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külföldi</w:t>
      </w:r>
      <w:proofErr w:type="gramEnd"/>
      <w:r w:rsidRPr="002B6307">
        <w:rPr>
          <w:rFonts w:ascii="Times New Roman" w:hAnsi="Times New Roman"/>
        </w:rPr>
        <w:t xml:space="preserve"> referált folyóiratban </w:t>
      </w:r>
      <w:r w:rsidRPr="002B6307">
        <w:rPr>
          <w:rFonts w:ascii="Times New Roman" w:hAnsi="Times New Roman"/>
          <w:iCs/>
        </w:rPr>
        <w:t>(</w:t>
      </w:r>
      <w:r w:rsidRPr="002B6307">
        <w:rPr>
          <w:rFonts w:ascii="Times New Roman" w:hAnsi="Times New Roman"/>
          <w:b/>
          <w:iCs/>
        </w:rPr>
        <w:t>60 pont)</w:t>
      </w:r>
    </w:p>
    <w:p w14:paraId="1C262271" w14:textId="77777777" w:rsidR="002B6307" w:rsidRPr="002B6307" w:rsidRDefault="002B6307" w:rsidP="002B6307">
      <w:pPr>
        <w:pStyle w:val="Listaszerbekezds"/>
        <w:spacing w:after="0" w:line="240" w:lineRule="auto"/>
        <w:jc w:val="both"/>
        <w:rPr>
          <w:rFonts w:ascii="Times New Roman" w:hAnsi="Times New Roman"/>
          <w:b/>
          <w:i/>
          <w:color w:val="FF0000"/>
        </w:rPr>
      </w:pPr>
      <w:proofErr w:type="gramStart"/>
      <w:r w:rsidRPr="002B6307">
        <w:rPr>
          <w:rFonts w:ascii="Times New Roman" w:hAnsi="Times New Roman"/>
        </w:rPr>
        <w:t>hazai</w:t>
      </w:r>
      <w:proofErr w:type="gramEnd"/>
      <w:r w:rsidRPr="002B6307">
        <w:rPr>
          <w:rFonts w:ascii="Times New Roman" w:hAnsi="Times New Roman"/>
        </w:rPr>
        <w:t xml:space="preserve"> referált folyóiratban </w:t>
      </w:r>
      <w:r w:rsidRPr="002B6307">
        <w:rPr>
          <w:rFonts w:ascii="Times New Roman" w:hAnsi="Times New Roman"/>
          <w:iCs/>
        </w:rPr>
        <w:t>(</w:t>
      </w:r>
      <w:r w:rsidRPr="002B6307">
        <w:rPr>
          <w:rFonts w:ascii="Times New Roman" w:hAnsi="Times New Roman"/>
          <w:b/>
          <w:iCs/>
        </w:rPr>
        <w:t>40 pont)</w:t>
      </w:r>
    </w:p>
    <w:p w14:paraId="7E040105"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Magyar nyelvű tudományos cikkek:</w:t>
      </w:r>
    </w:p>
    <w:p w14:paraId="7AA81C74"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külföldi</w:t>
      </w:r>
      <w:proofErr w:type="gramEnd"/>
      <w:r w:rsidRPr="002B6307">
        <w:rPr>
          <w:rFonts w:ascii="Times New Roman" w:hAnsi="Times New Roman"/>
        </w:rPr>
        <w:t xml:space="preserve"> referált folyóiratban </w:t>
      </w:r>
      <w:r w:rsidRPr="002B6307">
        <w:rPr>
          <w:rFonts w:ascii="Times New Roman" w:hAnsi="Times New Roman"/>
          <w:b/>
          <w:iCs/>
        </w:rPr>
        <w:t>(35 pont)</w:t>
      </w:r>
    </w:p>
    <w:p w14:paraId="1E588B7F"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hazai</w:t>
      </w:r>
      <w:proofErr w:type="gramEnd"/>
      <w:r w:rsidRPr="002B6307">
        <w:rPr>
          <w:rFonts w:ascii="Times New Roman" w:hAnsi="Times New Roman"/>
        </w:rPr>
        <w:t xml:space="preserve"> referált folyóiratban </w:t>
      </w:r>
      <w:r w:rsidRPr="002B6307">
        <w:rPr>
          <w:rFonts w:ascii="Times New Roman" w:hAnsi="Times New Roman"/>
          <w:b/>
          <w:iCs/>
        </w:rPr>
        <w:t>(30 pont)</w:t>
      </w:r>
    </w:p>
    <w:p w14:paraId="45EC5CA1"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Idegen nyelvű könyvfejezetek:</w:t>
      </w:r>
    </w:p>
    <w:p w14:paraId="17AA6FFF"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külföldön</w:t>
      </w:r>
      <w:proofErr w:type="gramEnd"/>
      <w:r w:rsidRPr="002B6307">
        <w:rPr>
          <w:rFonts w:ascii="Times New Roman" w:hAnsi="Times New Roman"/>
        </w:rPr>
        <w:t xml:space="preserve"> megjelent </w:t>
      </w:r>
      <w:proofErr w:type="spellStart"/>
      <w:r w:rsidRPr="002B6307">
        <w:rPr>
          <w:rFonts w:ascii="Times New Roman" w:hAnsi="Times New Roman"/>
        </w:rPr>
        <w:t>tanulmánykötetekben</w:t>
      </w:r>
      <w:proofErr w:type="spellEnd"/>
      <w:r w:rsidRPr="002B6307">
        <w:rPr>
          <w:rFonts w:ascii="Times New Roman" w:hAnsi="Times New Roman"/>
        </w:rPr>
        <w:t xml:space="preserve"> </w:t>
      </w:r>
      <w:r w:rsidRPr="002B6307">
        <w:rPr>
          <w:rFonts w:ascii="Times New Roman" w:hAnsi="Times New Roman"/>
          <w:b/>
        </w:rPr>
        <w:t>(30 pont)</w:t>
      </w:r>
    </w:p>
    <w:p w14:paraId="00974582"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itthon</w:t>
      </w:r>
      <w:proofErr w:type="gramEnd"/>
      <w:r w:rsidRPr="002B6307">
        <w:rPr>
          <w:rFonts w:ascii="Times New Roman" w:hAnsi="Times New Roman"/>
        </w:rPr>
        <w:t xml:space="preserve"> megjelent </w:t>
      </w:r>
      <w:proofErr w:type="spellStart"/>
      <w:r w:rsidRPr="002B6307">
        <w:rPr>
          <w:rFonts w:ascii="Times New Roman" w:hAnsi="Times New Roman"/>
        </w:rPr>
        <w:t>tanulmánykötetekben</w:t>
      </w:r>
      <w:proofErr w:type="spellEnd"/>
      <w:r w:rsidRPr="002B6307">
        <w:rPr>
          <w:rFonts w:ascii="Times New Roman" w:hAnsi="Times New Roman"/>
          <w:b/>
        </w:rPr>
        <w:t xml:space="preserve"> (20 pont)</w:t>
      </w:r>
    </w:p>
    <w:p w14:paraId="465244B9"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Magyar nyelvű könyvfejezetek:</w:t>
      </w:r>
    </w:p>
    <w:p w14:paraId="5D234566"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külföldön</w:t>
      </w:r>
      <w:proofErr w:type="gramEnd"/>
      <w:r w:rsidRPr="002B6307">
        <w:rPr>
          <w:rFonts w:ascii="Times New Roman" w:hAnsi="Times New Roman"/>
        </w:rPr>
        <w:t xml:space="preserve"> megjelent </w:t>
      </w:r>
      <w:proofErr w:type="spellStart"/>
      <w:r w:rsidRPr="002B6307">
        <w:rPr>
          <w:rFonts w:ascii="Times New Roman" w:hAnsi="Times New Roman"/>
        </w:rPr>
        <w:t>tanulmánykötetekben</w:t>
      </w:r>
      <w:proofErr w:type="spellEnd"/>
      <w:r w:rsidRPr="002B6307">
        <w:rPr>
          <w:rFonts w:ascii="Times New Roman" w:hAnsi="Times New Roman"/>
        </w:rPr>
        <w:t xml:space="preserve"> (</w:t>
      </w:r>
      <w:r w:rsidRPr="002B6307">
        <w:rPr>
          <w:rFonts w:ascii="Times New Roman" w:hAnsi="Times New Roman"/>
          <w:b/>
        </w:rPr>
        <w:t>15 pont)</w:t>
      </w:r>
    </w:p>
    <w:p w14:paraId="2D2A3758" w14:textId="77777777" w:rsidR="002B6307" w:rsidRPr="002B6307" w:rsidRDefault="002B6307" w:rsidP="002B6307">
      <w:pPr>
        <w:pStyle w:val="Listaszerbekezds"/>
        <w:spacing w:after="0" w:line="240" w:lineRule="auto"/>
        <w:jc w:val="both"/>
        <w:rPr>
          <w:rFonts w:ascii="Times New Roman" w:hAnsi="Times New Roman"/>
        </w:rPr>
      </w:pPr>
      <w:proofErr w:type="gramStart"/>
      <w:r w:rsidRPr="002B6307">
        <w:rPr>
          <w:rFonts w:ascii="Times New Roman" w:hAnsi="Times New Roman"/>
        </w:rPr>
        <w:t>itthon</w:t>
      </w:r>
      <w:proofErr w:type="gramEnd"/>
      <w:r w:rsidRPr="002B6307">
        <w:rPr>
          <w:rFonts w:ascii="Times New Roman" w:hAnsi="Times New Roman"/>
        </w:rPr>
        <w:t xml:space="preserve"> megjelent </w:t>
      </w:r>
      <w:proofErr w:type="spellStart"/>
      <w:r w:rsidRPr="002B6307">
        <w:rPr>
          <w:rFonts w:ascii="Times New Roman" w:hAnsi="Times New Roman"/>
        </w:rPr>
        <w:t>tanulmánykötetekben</w:t>
      </w:r>
      <w:proofErr w:type="spellEnd"/>
      <w:r w:rsidRPr="002B6307">
        <w:rPr>
          <w:rFonts w:ascii="Times New Roman" w:hAnsi="Times New Roman"/>
        </w:rPr>
        <w:t xml:space="preserve"> </w:t>
      </w:r>
      <w:r w:rsidRPr="002B6307">
        <w:rPr>
          <w:rFonts w:ascii="Times New Roman" w:hAnsi="Times New Roman"/>
          <w:b/>
        </w:rPr>
        <w:t>(10 pont)</w:t>
      </w:r>
    </w:p>
    <w:p w14:paraId="4799E3EA"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br/>
        <w:t xml:space="preserve">Idegen nyelvű </w:t>
      </w:r>
      <w:proofErr w:type="gramStart"/>
      <w:r w:rsidRPr="002B6307">
        <w:rPr>
          <w:rFonts w:ascii="Times New Roman" w:hAnsi="Times New Roman"/>
        </w:rPr>
        <w:t>konferencia</w:t>
      </w:r>
      <w:proofErr w:type="gramEnd"/>
      <w:r w:rsidRPr="002B6307">
        <w:rPr>
          <w:rFonts w:ascii="Times New Roman" w:hAnsi="Times New Roman"/>
        </w:rPr>
        <w:t xml:space="preserve"> előadások:</w:t>
      </w:r>
    </w:p>
    <w:p w14:paraId="75C963A4"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t xml:space="preserve">nemzetközi </w:t>
      </w:r>
      <w:proofErr w:type="gramStart"/>
      <w:r w:rsidRPr="002B6307">
        <w:rPr>
          <w:rFonts w:ascii="Times New Roman" w:hAnsi="Times New Roman"/>
        </w:rPr>
        <w:t>konferenciákon</w:t>
      </w:r>
      <w:proofErr w:type="gramEnd"/>
      <w:r w:rsidRPr="002B6307">
        <w:rPr>
          <w:rFonts w:ascii="Times New Roman" w:hAnsi="Times New Roman"/>
        </w:rPr>
        <w:t xml:space="preserve"> </w:t>
      </w:r>
      <w:r w:rsidRPr="002B6307">
        <w:rPr>
          <w:rFonts w:ascii="Times New Roman" w:hAnsi="Times New Roman"/>
          <w:b/>
        </w:rPr>
        <w:t>(25 pont)</w:t>
      </w:r>
    </w:p>
    <w:p w14:paraId="4A009066"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t xml:space="preserve">hazai </w:t>
      </w:r>
      <w:proofErr w:type="gramStart"/>
      <w:r w:rsidRPr="002B6307">
        <w:rPr>
          <w:rFonts w:ascii="Times New Roman" w:hAnsi="Times New Roman"/>
        </w:rPr>
        <w:t>konferenciákon</w:t>
      </w:r>
      <w:proofErr w:type="gramEnd"/>
      <w:r w:rsidRPr="002B6307">
        <w:rPr>
          <w:rFonts w:ascii="Times New Roman" w:hAnsi="Times New Roman"/>
        </w:rPr>
        <w:t xml:space="preserve"> </w:t>
      </w:r>
      <w:r w:rsidRPr="002B6307">
        <w:rPr>
          <w:rFonts w:ascii="Times New Roman" w:hAnsi="Times New Roman"/>
          <w:b/>
        </w:rPr>
        <w:t>(20 pont)</w:t>
      </w:r>
    </w:p>
    <w:p w14:paraId="12B082C8"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color w:val="000000"/>
        </w:rPr>
        <w:br/>
      </w:r>
      <w:r w:rsidRPr="002B6307">
        <w:rPr>
          <w:rFonts w:ascii="Times New Roman" w:hAnsi="Times New Roman"/>
        </w:rPr>
        <w:t xml:space="preserve">Magyar nyelvű </w:t>
      </w:r>
      <w:proofErr w:type="gramStart"/>
      <w:r w:rsidRPr="002B6307">
        <w:rPr>
          <w:rFonts w:ascii="Times New Roman" w:hAnsi="Times New Roman"/>
        </w:rPr>
        <w:t>konferencia</w:t>
      </w:r>
      <w:proofErr w:type="gramEnd"/>
      <w:r w:rsidRPr="002B6307">
        <w:rPr>
          <w:rFonts w:ascii="Times New Roman" w:hAnsi="Times New Roman"/>
        </w:rPr>
        <w:t>-előadások:</w:t>
      </w:r>
    </w:p>
    <w:p w14:paraId="1895F173"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t xml:space="preserve">nemzetközi </w:t>
      </w:r>
      <w:proofErr w:type="gramStart"/>
      <w:r w:rsidRPr="002B6307">
        <w:rPr>
          <w:rFonts w:ascii="Times New Roman" w:hAnsi="Times New Roman"/>
        </w:rPr>
        <w:t>konferenciákon</w:t>
      </w:r>
      <w:proofErr w:type="gramEnd"/>
      <w:r w:rsidRPr="002B6307">
        <w:rPr>
          <w:rFonts w:ascii="Times New Roman" w:hAnsi="Times New Roman"/>
        </w:rPr>
        <w:t xml:space="preserve"> </w:t>
      </w:r>
      <w:r w:rsidRPr="002B6307">
        <w:rPr>
          <w:rFonts w:ascii="Times New Roman" w:hAnsi="Times New Roman"/>
          <w:b/>
        </w:rPr>
        <w:t>(15 pont)</w:t>
      </w:r>
    </w:p>
    <w:p w14:paraId="4B5C847F" w14:textId="77777777" w:rsidR="002B6307" w:rsidRPr="002B6307" w:rsidRDefault="002B6307" w:rsidP="002B6307">
      <w:pPr>
        <w:pStyle w:val="Listaszerbekezds"/>
        <w:spacing w:after="0" w:line="240" w:lineRule="auto"/>
        <w:jc w:val="both"/>
        <w:rPr>
          <w:rFonts w:ascii="Times New Roman" w:hAnsi="Times New Roman"/>
        </w:rPr>
      </w:pPr>
      <w:r w:rsidRPr="002B6307">
        <w:rPr>
          <w:rFonts w:ascii="Times New Roman" w:hAnsi="Times New Roman"/>
        </w:rPr>
        <w:t xml:space="preserve">hazai </w:t>
      </w:r>
      <w:proofErr w:type="gramStart"/>
      <w:r w:rsidRPr="002B6307">
        <w:rPr>
          <w:rFonts w:ascii="Times New Roman" w:hAnsi="Times New Roman"/>
        </w:rPr>
        <w:t>konferenciákon</w:t>
      </w:r>
      <w:proofErr w:type="gramEnd"/>
      <w:r w:rsidRPr="002B6307">
        <w:rPr>
          <w:rFonts w:ascii="Times New Roman" w:hAnsi="Times New Roman"/>
        </w:rPr>
        <w:t xml:space="preserve"> </w:t>
      </w:r>
      <w:r w:rsidRPr="002B6307">
        <w:rPr>
          <w:rFonts w:ascii="Times New Roman" w:hAnsi="Times New Roman"/>
          <w:b/>
        </w:rPr>
        <w:t>(10 pont)</w:t>
      </w:r>
    </w:p>
    <w:p w14:paraId="3753CD0F" w14:textId="77777777" w:rsidR="002B6307" w:rsidRPr="002B6307" w:rsidRDefault="002B6307" w:rsidP="002B6307">
      <w:pPr>
        <w:pStyle w:val="Listaszerbekezds"/>
        <w:spacing w:after="0" w:line="240" w:lineRule="auto"/>
        <w:jc w:val="both"/>
        <w:rPr>
          <w:rFonts w:ascii="Times New Roman" w:hAnsi="Times New Roman"/>
          <w:b/>
        </w:rPr>
      </w:pPr>
      <w:r w:rsidRPr="002B6307">
        <w:rPr>
          <w:rFonts w:ascii="Times New Roman" w:hAnsi="Times New Roman"/>
        </w:rPr>
        <w:br/>
        <w:t xml:space="preserve">Szakmai fordítások </w:t>
      </w:r>
      <w:r w:rsidRPr="002B6307">
        <w:rPr>
          <w:rFonts w:ascii="Times New Roman" w:hAnsi="Times New Roman"/>
          <w:b/>
        </w:rPr>
        <w:t>(10 pont)</w:t>
      </w:r>
    </w:p>
    <w:p w14:paraId="24EE98E2" w14:textId="77777777" w:rsidR="002B6307" w:rsidRPr="002B6307" w:rsidRDefault="002B6307" w:rsidP="002B6307">
      <w:pPr>
        <w:pStyle w:val="Listaszerbekezds"/>
        <w:spacing w:after="0" w:line="240" w:lineRule="auto"/>
        <w:jc w:val="both"/>
        <w:rPr>
          <w:rFonts w:ascii="Times New Roman" w:hAnsi="Times New Roman"/>
        </w:rPr>
      </w:pPr>
    </w:p>
    <w:p w14:paraId="706BE72C" w14:textId="77777777" w:rsidR="002B6307" w:rsidRPr="002B6307" w:rsidRDefault="002B6307" w:rsidP="002B6307">
      <w:pPr>
        <w:pStyle w:val="Listaszerbekezds"/>
        <w:spacing w:after="0" w:line="240" w:lineRule="auto"/>
        <w:jc w:val="both"/>
        <w:rPr>
          <w:rFonts w:ascii="Times New Roman" w:hAnsi="Times New Roman"/>
        </w:rPr>
      </w:pPr>
    </w:p>
    <w:p w14:paraId="7690715A" w14:textId="77777777" w:rsidR="002B6307" w:rsidRPr="002B6307" w:rsidRDefault="002B6307" w:rsidP="00F83E93">
      <w:pPr>
        <w:pStyle w:val="Listaszerbekezds"/>
        <w:numPr>
          <w:ilvl w:val="0"/>
          <w:numId w:val="157"/>
        </w:numPr>
        <w:spacing w:after="0" w:line="240" w:lineRule="auto"/>
        <w:ind w:left="714" w:hanging="357"/>
        <w:jc w:val="both"/>
        <w:rPr>
          <w:rFonts w:ascii="Times New Roman" w:hAnsi="Times New Roman"/>
        </w:rPr>
      </w:pPr>
      <w:r w:rsidRPr="002B6307">
        <w:rPr>
          <w:rFonts w:ascii="Times New Roman" w:hAnsi="Times New Roman"/>
        </w:rPr>
        <w:t>Hivatkozások</w:t>
      </w:r>
      <w:r w:rsidRPr="002B6307">
        <w:rPr>
          <w:rFonts w:ascii="Times New Roman" w:hAnsi="Times New Roman"/>
        </w:rPr>
        <w:br/>
        <w:t xml:space="preserve">külföldi szerzőktől </w:t>
      </w:r>
      <w:r w:rsidRPr="002B6307">
        <w:rPr>
          <w:rFonts w:ascii="Times New Roman" w:hAnsi="Times New Roman"/>
          <w:b/>
        </w:rPr>
        <w:t>(30 pont)</w:t>
      </w:r>
    </w:p>
    <w:p w14:paraId="1E5978F7" w14:textId="77777777" w:rsidR="002B6307" w:rsidRPr="002B6307" w:rsidRDefault="002B6307" w:rsidP="002B6307">
      <w:pPr>
        <w:pStyle w:val="Listaszerbekezds"/>
        <w:spacing w:after="0" w:line="240" w:lineRule="auto"/>
        <w:contextualSpacing w:val="0"/>
        <w:jc w:val="both"/>
        <w:rPr>
          <w:rFonts w:ascii="Times New Roman" w:hAnsi="Times New Roman"/>
          <w:b/>
        </w:rPr>
      </w:pPr>
      <w:proofErr w:type="gramStart"/>
      <w:r w:rsidRPr="002B6307">
        <w:rPr>
          <w:rFonts w:ascii="Times New Roman" w:hAnsi="Times New Roman"/>
        </w:rPr>
        <w:t>hazai</w:t>
      </w:r>
      <w:proofErr w:type="gramEnd"/>
      <w:r w:rsidRPr="002B6307">
        <w:rPr>
          <w:rFonts w:ascii="Times New Roman" w:hAnsi="Times New Roman"/>
        </w:rPr>
        <w:t xml:space="preserve"> szerzőktől </w:t>
      </w:r>
      <w:r w:rsidRPr="002B6307">
        <w:rPr>
          <w:rFonts w:ascii="Times New Roman" w:hAnsi="Times New Roman"/>
          <w:b/>
        </w:rPr>
        <w:t>(15 pont)</w:t>
      </w:r>
    </w:p>
    <w:p w14:paraId="69826B87" w14:textId="77777777" w:rsidR="002B6307" w:rsidRPr="002B6307" w:rsidRDefault="002B6307" w:rsidP="002B6307">
      <w:pPr>
        <w:pStyle w:val="Listaszerbekezds"/>
        <w:spacing w:after="0" w:line="240" w:lineRule="auto"/>
        <w:contextualSpacing w:val="0"/>
        <w:jc w:val="both"/>
        <w:rPr>
          <w:rFonts w:ascii="Times New Roman" w:hAnsi="Times New Roman"/>
        </w:rPr>
      </w:pPr>
    </w:p>
    <w:p w14:paraId="4B64050A" w14:textId="77777777" w:rsidR="002B6307" w:rsidRPr="002B6307" w:rsidRDefault="002B6307" w:rsidP="00F83E93">
      <w:pPr>
        <w:pStyle w:val="Listaszerbekezds"/>
        <w:numPr>
          <w:ilvl w:val="0"/>
          <w:numId w:val="157"/>
        </w:numPr>
        <w:spacing w:after="0" w:line="240" w:lineRule="auto"/>
        <w:ind w:left="714" w:hanging="357"/>
        <w:contextualSpacing w:val="0"/>
        <w:jc w:val="both"/>
        <w:rPr>
          <w:rFonts w:ascii="Times New Roman" w:hAnsi="Times New Roman"/>
          <w:bCs/>
        </w:rPr>
      </w:pPr>
      <w:r w:rsidRPr="002B6307">
        <w:rPr>
          <w:rFonts w:ascii="Times New Roman" w:hAnsi="Times New Roman"/>
          <w:bCs/>
        </w:rPr>
        <w:t xml:space="preserve">Tudományos folyóirat </w:t>
      </w:r>
    </w:p>
    <w:p w14:paraId="57223928"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roofErr w:type="gramStart"/>
      <w:r w:rsidRPr="002B6307">
        <w:rPr>
          <w:rFonts w:ascii="Times New Roman" w:hAnsi="Times New Roman"/>
          <w:bCs/>
        </w:rPr>
        <w:t>főszerkesztő</w:t>
      </w:r>
      <w:proofErr w:type="gramEnd"/>
      <w:r w:rsidRPr="002B6307">
        <w:rPr>
          <w:rFonts w:ascii="Times New Roman" w:hAnsi="Times New Roman"/>
          <w:b/>
        </w:rPr>
        <w:t xml:space="preserve"> (30 pont)</w:t>
      </w:r>
    </w:p>
    <w:p w14:paraId="56F79C48"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roofErr w:type="gramStart"/>
      <w:r w:rsidRPr="002B6307">
        <w:rPr>
          <w:rFonts w:ascii="Times New Roman" w:hAnsi="Times New Roman"/>
          <w:bCs/>
        </w:rPr>
        <w:t>szerkesztésben</w:t>
      </w:r>
      <w:proofErr w:type="gramEnd"/>
      <w:r w:rsidRPr="002B6307">
        <w:rPr>
          <w:rFonts w:ascii="Times New Roman" w:hAnsi="Times New Roman"/>
          <w:bCs/>
        </w:rPr>
        <w:t xml:space="preserve"> közreműködő</w:t>
      </w:r>
      <w:r w:rsidRPr="002B6307">
        <w:rPr>
          <w:rFonts w:ascii="Times New Roman" w:hAnsi="Times New Roman"/>
          <w:b/>
        </w:rPr>
        <w:t xml:space="preserve"> (20 pont)</w:t>
      </w:r>
    </w:p>
    <w:p w14:paraId="74334D72" w14:textId="77777777" w:rsidR="002B6307" w:rsidRPr="002B6307" w:rsidRDefault="002B6307" w:rsidP="002B6307">
      <w:pPr>
        <w:ind w:firstLine="708"/>
        <w:jc w:val="both"/>
        <w:rPr>
          <w:b/>
          <w:sz w:val="22"/>
          <w:szCs w:val="22"/>
        </w:rPr>
      </w:pPr>
      <w:proofErr w:type="gramStart"/>
      <w:r w:rsidRPr="002B6307">
        <w:rPr>
          <w:bCs/>
          <w:sz w:val="22"/>
          <w:szCs w:val="22"/>
        </w:rPr>
        <w:t>tudományos</w:t>
      </w:r>
      <w:proofErr w:type="gramEnd"/>
      <w:r w:rsidRPr="002B6307">
        <w:rPr>
          <w:bCs/>
          <w:sz w:val="22"/>
          <w:szCs w:val="22"/>
        </w:rPr>
        <w:t xml:space="preserve"> folyóirat részére végzett lektorálás</w:t>
      </w:r>
      <w:r w:rsidRPr="002B6307">
        <w:rPr>
          <w:b/>
          <w:sz w:val="22"/>
          <w:szCs w:val="22"/>
        </w:rPr>
        <w:t xml:space="preserve"> (10 pont)</w:t>
      </w:r>
    </w:p>
    <w:p w14:paraId="6F2EFFB4" w14:textId="77777777" w:rsidR="002B6307" w:rsidRPr="002B6307" w:rsidRDefault="002B6307" w:rsidP="002B6307">
      <w:pPr>
        <w:ind w:firstLine="708"/>
        <w:jc w:val="both"/>
        <w:rPr>
          <w:b/>
          <w:sz w:val="22"/>
          <w:szCs w:val="22"/>
        </w:rPr>
      </w:pPr>
    </w:p>
    <w:p w14:paraId="79148ECE" w14:textId="77777777" w:rsidR="002B6307" w:rsidRPr="002B6307" w:rsidRDefault="002B6307" w:rsidP="00F83E93">
      <w:pPr>
        <w:pStyle w:val="Listaszerbekezds"/>
        <w:numPr>
          <w:ilvl w:val="0"/>
          <w:numId w:val="157"/>
        </w:numPr>
        <w:spacing w:after="0" w:line="240" w:lineRule="auto"/>
        <w:ind w:left="714" w:hanging="357"/>
        <w:jc w:val="both"/>
        <w:rPr>
          <w:rFonts w:ascii="Times New Roman" w:hAnsi="Times New Roman"/>
        </w:rPr>
      </w:pPr>
      <w:r w:rsidRPr="002B6307">
        <w:rPr>
          <w:rFonts w:ascii="Times New Roman" w:hAnsi="Times New Roman"/>
        </w:rPr>
        <w:t xml:space="preserve">Nemzetközi és hazai kutatási projektekben való részvétel </w:t>
      </w:r>
    </w:p>
    <w:p w14:paraId="24B75CC3" w14:textId="77777777" w:rsidR="002B6307" w:rsidRPr="002B6307" w:rsidRDefault="002B6307" w:rsidP="002B6307">
      <w:pPr>
        <w:pStyle w:val="Listaszerbekezds"/>
        <w:spacing w:after="0" w:line="240" w:lineRule="auto"/>
        <w:ind w:left="714"/>
        <w:contextualSpacing w:val="0"/>
        <w:jc w:val="both"/>
        <w:rPr>
          <w:rFonts w:ascii="Times New Roman" w:hAnsi="Times New Roman"/>
        </w:rPr>
      </w:pPr>
      <w:proofErr w:type="gramStart"/>
      <w:r w:rsidRPr="002B6307">
        <w:rPr>
          <w:rFonts w:ascii="Times New Roman" w:hAnsi="Times New Roman"/>
        </w:rPr>
        <w:t>projektvezetőként</w:t>
      </w:r>
      <w:proofErr w:type="gramEnd"/>
      <w:r w:rsidRPr="002B6307">
        <w:rPr>
          <w:rFonts w:ascii="Times New Roman" w:hAnsi="Times New Roman"/>
        </w:rPr>
        <w:t xml:space="preserve"> </w:t>
      </w:r>
      <w:r w:rsidRPr="002B6307">
        <w:rPr>
          <w:rFonts w:ascii="Times New Roman" w:hAnsi="Times New Roman"/>
          <w:b/>
        </w:rPr>
        <w:t>(25 pont)</w:t>
      </w:r>
    </w:p>
    <w:p w14:paraId="296E7C48"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roofErr w:type="gramStart"/>
      <w:r w:rsidRPr="002B6307">
        <w:rPr>
          <w:rFonts w:ascii="Times New Roman" w:hAnsi="Times New Roman"/>
        </w:rPr>
        <w:t>tagként</w:t>
      </w:r>
      <w:proofErr w:type="gramEnd"/>
      <w:r w:rsidRPr="002B6307">
        <w:rPr>
          <w:rFonts w:ascii="Times New Roman" w:hAnsi="Times New Roman"/>
        </w:rPr>
        <w:t xml:space="preserve"> </w:t>
      </w:r>
      <w:r w:rsidRPr="002B6307">
        <w:rPr>
          <w:rFonts w:ascii="Times New Roman" w:hAnsi="Times New Roman"/>
          <w:b/>
        </w:rPr>
        <w:t>(10 pont)</w:t>
      </w:r>
    </w:p>
    <w:p w14:paraId="0EA2AF06" w14:textId="77777777" w:rsidR="002B6307" w:rsidRPr="002B6307" w:rsidRDefault="002B6307" w:rsidP="002B6307">
      <w:pPr>
        <w:pStyle w:val="Listaszerbekezds"/>
        <w:spacing w:after="0" w:line="240" w:lineRule="auto"/>
        <w:ind w:left="714"/>
        <w:contextualSpacing w:val="0"/>
        <w:jc w:val="both"/>
        <w:rPr>
          <w:rFonts w:ascii="Times New Roman" w:hAnsi="Times New Roman"/>
        </w:rPr>
      </w:pPr>
    </w:p>
    <w:p w14:paraId="12213CFE" w14:textId="77777777" w:rsidR="002B6307" w:rsidRPr="002B6307" w:rsidRDefault="002B6307" w:rsidP="00F83E93">
      <w:pPr>
        <w:pStyle w:val="Listaszerbekezds"/>
        <w:numPr>
          <w:ilvl w:val="0"/>
          <w:numId w:val="157"/>
        </w:numPr>
        <w:spacing w:after="0" w:line="240" w:lineRule="auto"/>
        <w:ind w:left="714" w:hanging="357"/>
        <w:jc w:val="both"/>
        <w:rPr>
          <w:rFonts w:ascii="Times New Roman" w:hAnsi="Times New Roman"/>
          <w:bCs/>
        </w:rPr>
      </w:pPr>
      <w:r w:rsidRPr="002B6307">
        <w:rPr>
          <w:rFonts w:ascii="Times New Roman" w:hAnsi="Times New Roman"/>
          <w:bCs/>
        </w:rPr>
        <w:t>Kari kutatócsoport/ Kutatóközpont</w:t>
      </w:r>
    </w:p>
    <w:p w14:paraId="202D9E83" w14:textId="77777777" w:rsidR="002B6307" w:rsidRPr="002B6307" w:rsidRDefault="002B6307" w:rsidP="002B6307">
      <w:pPr>
        <w:pStyle w:val="Listaszerbekezds"/>
        <w:spacing w:after="0" w:line="240" w:lineRule="auto"/>
        <w:ind w:left="714"/>
        <w:jc w:val="both"/>
        <w:rPr>
          <w:rFonts w:ascii="Times New Roman" w:hAnsi="Times New Roman"/>
          <w:b/>
        </w:rPr>
      </w:pPr>
      <w:proofErr w:type="gramStart"/>
      <w:r w:rsidRPr="002B6307">
        <w:rPr>
          <w:rFonts w:ascii="Times New Roman" w:hAnsi="Times New Roman"/>
          <w:bCs/>
        </w:rPr>
        <w:t>vezetője</w:t>
      </w:r>
      <w:proofErr w:type="gramEnd"/>
      <w:r w:rsidRPr="002B6307">
        <w:rPr>
          <w:rFonts w:ascii="Times New Roman" w:hAnsi="Times New Roman"/>
          <w:b/>
        </w:rPr>
        <w:t xml:space="preserve"> (20 pont)</w:t>
      </w:r>
    </w:p>
    <w:p w14:paraId="1126D0F3"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roofErr w:type="gramStart"/>
      <w:r w:rsidRPr="002B6307">
        <w:rPr>
          <w:rFonts w:ascii="Times New Roman" w:hAnsi="Times New Roman"/>
          <w:bCs/>
        </w:rPr>
        <w:t>tagja</w:t>
      </w:r>
      <w:proofErr w:type="gramEnd"/>
      <w:r w:rsidRPr="002B6307">
        <w:rPr>
          <w:rFonts w:ascii="Times New Roman" w:hAnsi="Times New Roman"/>
          <w:bCs/>
        </w:rPr>
        <w:t xml:space="preserve"> </w:t>
      </w:r>
      <w:r w:rsidRPr="002B6307">
        <w:rPr>
          <w:rFonts w:ascii="Times New Roman" w:hAnsi="Times New Roman"/>
          <w:b/>
        </w:rPr>
        <w:t>(15 pont)</w:t>
      </w:r>
    </w:p>
    <w:p w14:paraId="192AA716"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
    <w:p w14:paraId="1458C24C" w14:textId="77777777" w:rsidR="002B6307" w:rsidRPr="002B6307" w:rsidRDefault="002B6307" w:rsidP="00F83E93">
      <w:pPr>
        <w:pStyle w:val="Listaszerbekezds"/>
        <w:numPr>
          <w:ilvl w:val="0"/>
          <w:numId w:val="157"/>
        </w:numPr>
        <w:spacing w:after="0" w:line="240" w:lineRule="auto"/>
        <w:ind w:left="714" w:hanging="357"/>
        <w:jc w:val="both"/>
        <w:rPr>
          <w:rFonts w:ascii="Times New Roman" w:hAnsi="Times New Roman"/>
          <w:bCs/>
        </w:rPr>
      </w:pPr>
      <w:r w:rsidRPr="002B6307">
        <w:rPr>
          <w:rFonts w:ascii="Times New Roman" w:hAnsi="Times New Roman"/>
          <w:bCs/>
        </w:rPr>
        <w:t>Konferenciaszervezés</w:t>
      </w:r>
    </w:p>
    <w:p w14:paraId="2C22A624" w14:textId="77777777" w:rsidR="002B6307" w:rsidRPr="002B6307" w:rsidRDefault="002B6307" w:rsidP="002B6307">
      <w:pPr>
        <w:pStyle w:val="Listaszerbekezds"/>
        <w:spacing w:after="0" w:line="240" w:lineRule="auto"/>
        <w:ind w:left="714"/>
        <w:jc w:val="both"/>
        <w:rPr>
          <w:rFonts w:ascii="Times New Roman" w:hAnsi="Times New Roman"/>
          <w:b/>
        </w:rPr>
      </w:pPr>
      <w:proofErr w:type="gramStart"/>
      <w:r w:rsidRPr="002B6307">
        <w:rPr>
          <w:rFonts w:ascii="Times New Roman" w:hAnsi="Times New Roman"/>
          <w:bCs/>
        </w:rPr>
        <w:t>nemzetközi</w:t>
      </w:r>
      <w:proofErr w:type="gramEnd"/>
      <w:r w:rsidRPr="002B6307">
        <w:rPr>
          <w:rFonts w:ascii="Times New Roman" w:hAnsi="Times New Roman"/>
          <w:bCs/>
        </w:rPr>
        <w:t xml:space="preserve"> </w:t>
      </w:r>
      <w:r w:rsidRPr="002B6307">
        <w:rPr>
          <w:rFonts w:ascii="Times New Roman" w:hAnsi="Times New Roman"/>
          <w:b/>
        </w:rPr>
        <w:t>(25 pont)</w:t>
      </w:r>
    </w:p>
    <w:p w14:paraId="484C8653" w14:textId="77777777" w:rsidR="002B6307" w:rsidRPr="002B6307" w:rsidRDefault="002B6307" w:rsidP="002B6307">
      <w:pPr>
        <w:pStyle w:val="Listaszerbekezds"/>
        <w:spacing w:after="0" w:line="240" w:lineRule="auto"/>
        <w:ind w:left="714"/>
        <w:jc w:val="both"/>
        <w:rPr>
          <w:rFonts w:ascii="Times New Roman" w:hAnsi="Times New Roman"/>
          <w:b/>
        </w:rPr>
      </w:pPr>
      <w:proofErr w:type="gramStart"/>
      <w:r w:rsidRPr="002B6307">
        <w:rPr>
          <w:rFonts w:ascii="Times New Roman" w:hAnsi="Times New Roman"/>
          <w:bCs/>
        </w:rPr>
        <w:t>hazai</w:t>
      </w:r>
      <w:proofErr w:type="gramEnd"/>
      <w:r w:rsidRPr="002B6307">
        <w:rPr>
          <w:rFonts w:ascii="Times New Roman" w:hAnsi="Times New Roman"/>
          <w:b/>
        </w:rPr>
        <w:t xml:space="preserve"> (15 pont)</w:t>
      </w:r>
    </w:p>
    <w:p w14:paraId="3AC9F06D"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r w:rsidRPr="002B6307">
        <w:rPr>
          <w:rFonts w:ascii="Times New Roman" w:hAnsi="Times New Roman"/>
          <w:bCs/>
        </w:rPr>
        <w:t>szekcióelnök</w:t>
      </w:r>
      <w:r w:rsidRPr="002B6307">
        <w:rPr>
          <w:rFonts w:ascii="Times New Roman" w:hAnsi="Times New Roman"/>
          <w:b/>
        </w:rPr>
        <w:t xml:space="preserve"> (nemzetközi konferencia– 15 pont, hazai </w:t>
      </w:r>
      <w:proofErr w:type="gramStart"/>
      <w:r w:rsidRPr="002B6307">
        <w:rPr>
          <w:rFonts w:ascii="Times New Roman" w:hAnsi="Times New Roman"/>
          <w:b/>
        </w:rPr>
        <w:t>konferencia</w:t>
      </w:r>
      <w:proofErr w:type="gramEnd"/>
      <w:r w:rsidRPr="002B6307">
        <w:rPr>
          <w:rFonts w:ascii="Times New Roman" w:hAnsi="Times New Roman"/>
          <w:b/>
        </w:rPr>
        <w:t xml:space="preserve"> 5 pont)</w:t>
      </w:r>
    </w:p>
    <w:p w14:paraId="70194A01" w14:textId="77777777" w:rsidR="002B6307" w:rsidRPr="002B6307" w:rsidRDefault="002B6307" w:rsidP="002B6307">
      <w:pPr>
        <w:pStyle w:val="Listaszerbekezds"/>
        <w:spacing w:after="0" w:line="240" w:lineRule="auto"/>
        <w:ind w:left="714"/>
        <w:contextualSpacing w:val="0"/>
        <w:jc w:val="both"/>
        <w:rPr>
          <w:rFonts w:ascii="Times New Roman" w:hAnsi="Times New Roman"/>
          <w:b/>
        </w:rPr>
      </w:pPr>
    </w:p>
    <w:p w14:paraId="15390259" w14:textId="77777777" w:rsidR="002B6307" w:rsidRPr="002B6307" w:rsidRDefault="002B6307" w:rsidP="00F83E93">
      <w:pPr>
        <w:pStyle w:val="Listaszerbekezds"/>
        <w:numPr>
          <w:ilvl w:val="0"/>
          <w:numId w:val="157"/>
        </w:numPr>
        <w:spacing w:after="0" w:line="240" w:lineRule="auto"/>
        <w:ind w:left="714" w:hanging="357"/>
        <w:contextualSpacing w:val="0"/>
        <w:jc w:val="both"/>
        <w:rPr>
          <w:rFonts w:ascii="Times New Roman" w:hAnsi="Times New Roman"/>
        </w:rPr>
      </w:pPr>
      <w:r w:rsidRPr="002B6307">
        <w:rPr>
          <w:rFonts w:ascii="Times New Roman" w:hAnsi="Times New Roman"/>
        </w:rPr>
        <w:t xml:space="preserve">Szakmai közéleti tevékenység, tudományos bizottságok, szakmai szervezetek munkájában való részvétel </w:t>
      </w:r>
      <w:r w:rsidRPr="002B6307">
        <w:rPr>
          <w:rFonts w:ascii="Times New Roman" w:hAnsi="Times New Roman"/>
          <w:b/>
        </w:rPr>
        <w:t>(egyéni pontszámítás)</w:t>
      </w:r>
    </w:p>
    <w:p w14:paraId="471BDF15" w14:textId="77777777" w:rsidR="002B6307" w:rsidRPr="002B6307" w:rsidRDefault="002B6307" w:rsidP="002B6307">
      <w:pPr>
        <w:pStyle w:val="Listaszerbekezds"/>
        <w:spacing w:after="0" w:line="240" w:lineRule="auto"/>
        <w:ind w:left="714"/>
        <w:contextualSpacing w:val="0"/>
        <w:jc w:val="both"/>
        <w:rPr>
          <w:rFonts w:ascii="Times New Roman" w:hAnsi="Times New Roman"/>
        </w:rPr>
      </w:pPr>
    </w:p>
    <w:p w14:paraId="1349FECD" w14:textId="77777777" w:rsidR="002B6307" w:rsidRPr="002B6307" w:rsidRDefault="002B6307" w:rsidP="00F83E93">
      <w:pPr>
        <w:pStyle w:val="Listaszerbekezds"/>
        <w:numPr>
          <w:ilvl w:val="0"/>
          <w:numId w:val="157"/>
        </w:numPr>
        <w:spacing w:after="0" w:line="240" w:lineRule="auto"/>
        <w:ind w:left="714" w:hanging="357"/>
        <w:contextualSpacing w:val="0"/>
        <w:jc w:val="both"/>
        <w:rPr>
          <w:rFonts w:ascii="Times New Roman" w:hAnsi="Times New Roman"/>
        </w:rPr>
      </w:pPr>
      <w:r w:rsidRPr="002B6307">
        <w:rPr>
          <w:rFonts w:ascii="Times New Roman" w:hAnsi="Times New Roman"/>
        </w:rPr>
        <w:t xml:space="preserve">Fokozatszerzés </w:t>
      </w:r>
      <w:r w:rsidRPr="002B6307">
        <w:rPr>
          <w:rFonts w:ascii="Times New Roman" w:hAnsi="Times New Roman"/>
          <w:b/>
        </w:rPr>
        <w:t>(egyéni pontszámítás)</w:t>
      </w:r>
    </w:p>
    <w:p w14:paraId="18C0AD9B" w14:textId="77777777" w:rsidR="002B6307" w:rsidRPr="002B6307" w:rsidRDefault="002B6307" w:rsidP="002B6307">
      <w:pPr>
        <w:pStyle w:val="Listaszerbekezds"/>
        <w:spacing w:after="0" w:line="240" w:lineRule="auto"/>
        <w:ind w:left="714"/>
        <w:contextualSpacing w:val="0"/>
        <w:jc w:val="both"/>
        <w:rPr>
          <w:rFonts w:ascii="Times New Roman" w:hAnsi="Times New Roman"/>
        </w:rPr>
      </w:pPr>
    </w:p>
    <w:p w14:paraId="32D0D074" w14:textId="77777777" w:rsidR="002B6307" w:rsidRPr="002B6307" w:rsidRDefault="002B6307" w:rsidP="00F83E93">
      <w:pPr>
        <w:numPr>
          <w:ilvl w:val="0"/>
          <w:numId w:val="157"/>
        </w:numPr>
        <w:ind w:left="714" w:hanging="357"/>
        <w:contextualSpacing/>
        <w:jc w:val="both"/>
        <w:rPr>
          <w:rFonts w:eastAsia="Calibri"/>
          <w:b/>
          <w:sz w:val="22"/>
          <w:szCs w:val="22"/>
        </w:rPr>
      </w:pPr>
      <w:r w:rsidRPr="002B6307">
        <w:rPr>
          <w:bCs/>
          <w:sz w:val="22"/>
          <w:szCs w:val="22"/>
        </w:rPr>
        <w:t xml:space="preserve">Szakmai elismerések, kitüntetések </w:t>
      </w:r>
      <w:r w:rsidRPr="002B6307">
        <w:rPr>
          <w:b/>
          <w:sz w:val="22"/>
          <w:szCs w:val="22"/>
        </w:rPr>
        <w:t>(egyéni pontszámítás)</w:t>
      </w:r>
    </w:p>
    <w:p w14:paraId="0FD9AE03" w14:textId="77777777" w:rsidR="002B6307" w:rsidRPr="002B6307" w:rsidRDefault="002B6307" w:rsidP="002B6307">
      <w:pPr>
        <w:ind w:left="714"/>
        <w:contextualSpacing/>
        <w:jc w:val="both"/>
        <w:rPr>
          <w:rFonts w:eastAsia="Calibri"/>
          <w:sz w:val="22"/>
          <w:szCs w:val="22"/>
        </w:rPr>
      </w:pPr>
    </w:p>
    <w:p w14:paraId="2CF56196" w14:textId="77777777" w:rsidR="002B6307" w:rsidRPr="002B6307" w:rsidRDefault="002B6307" w:rsidP="00F83E93">
      <w:pPr>
        <w:numPr>
          <w:ilvl w:val="0"/>
          <w:numId w:val="157"/>
        </w:numPr>
        <w:ind w:left="709"/>
        <w:contextualSpacing/>
        <w:jc w:val="both"/>
        <w:rPr>
          <w:rFonts w:eastAsia="Calibri"/>
          <w:bCs/>
          <w:sz w:val="22"/>
          <w:szCs w:val="22"/>
        </w:rPr>
      </w:pPr>
      <w:proofErr w:type="spellStart"/>
      <w:r w:rsidRPr="002B6307">
        <w:rPr>
          <w:rFonts w:eastAsia="Calibri"/>
          <w:bCs/>
          <w:sz w:val="22"/>
          <w:szCs w:val="22"/>
        </w:rPr>
        <w:t>Disszemináció</w:t>
      </w:r>
      <w:proofErr w:type="spellEnd"/>
      <w:r w:rsidRPr="002B6307">
        <w:rPr>
          <w:rFonts w:eastAsia="Calibri"/>
          <w:bCs/>
          <w:sz w:val="22"/>
          <w:szCs w:val="22"/>
        </w:rPr>
        <w:t>, ismeretterjesztő médiaszereplés</w:t>
      </w:r>
    </w:p>
    <w:p w14:paraId="5CAD8FAE" w14:textId="77777777" w:rsidR="002B6307" w:rsidRPr="002B6307" w:rsidRDefault="002B6307" w:rsidP="002B6307">
      <w:pPr>
        <w:ind w:left="709"/>
        <w:contextualSpacing/>
        <w:jc w:val="both"/>
        <w:rPr>
          <w:rFonts w:eastAsia="Calibri"/>
          <w:b/>
          <w:sz w:val="22"/>
          <w:szCs w:val="22"/>
        </w:rPr>
      </w:pPr>
      <w:proofErr w:type="gramStart"/>
      <w:r w:rsidRPr="002B6307">
        <w:rPr>
          <w:rFonts w:eastAsia="Calibri"/>
          <w:bCs/>
          <w:sz w:val="22"/>
          <w:szCs w:val="22"/>
        </w:rPr>
        <w:t>ismeretterjesztő</w:t>
      </w:r>
      <w:proofErr w:type="gramEnd"/>
      <w:r w:rsidRPr="002B6307">
        <w:rPr>
          <w:rFonts w:eastAsia="Calibri"/>
          <w:bCs/>
          <w:sz w:val="22"/>
          <w:szCs w:val="22"/>
        </w:rPr>
        <w:t>, nyitott egyetemi programok szervezése</w:t>
      </w:r>
      <w:r w:rsidRPr="002B6307">
        <w:rPr>
          <w:rFonts w:eastAsia="Calibri"/>
          <w:b/>
          <w:sz w:val="22"/>
          <w:szCs w:val="22"/>
        </w:rPr>
        <w:t xml:space="preserve"> (15 pont)</w:t>
      </w:r>
    </w:p>
    <w:p w14:paraId="096DFE66" w14:textId="77777777" w:rsidR="002B6307" w:rsidRPr="002B6307" w:rsidRDefault="002B6307" w:rsidP="002B6307">
      <w:pPr>
        <w:ind w:left="709"/>
        <w:contextualSpacing/>
        <w:jc w:val="both"/>
        <w:rPr>
          <w:rFonts w:eastAsia="Calibri"/>
          <w:b/>
          <w:sz w:val="22"/>
          <w:szCs w:val="22"/>
        </w:rPr>
      </w:pPr>
      <w:proofErr w:type="gramStart"/>
      <w:r w:rsidRPr="002B6307">
        <w:rPr>
          <w:rFonts w:eastAsia="Calibri"/>
          <w:bCs/>
          <w:sz w:val="22"/>
          <w:szCs w:val="22"/>
        </w:rPr>
        <w:t>előadás</w:t>
      </w:r>
      <w:proofErr w:type="gramEnd"/>
      <w:r w:rsidRPr="002B6307">
        <w:rPr>
          <w:rFonts w:eastAsia="Calibri"/>
          <w:bCs/>
          <w:sz w:val="22"/>
          <w:szCs w:val="22"/>
        </w:rPr>
        <w:t xml:space="preserve"> ismeretterjesztő, nyitott egyetemi programokon</w:t>
      </w:r>
      <w:r w:rsidRPr="002B6307">
        <w:rPr>
          <w:rFonts w:eastAsia="Calibri"/>
          <w:b/>
          <w:sz w:val="22"/>
          <w:szCs w:val="22"/>
        </w:rPr>
        <w:t xml:space="preserve"> (10 pont)</w:t>
      </w:r>
    </w:p>
    <w:p w14:paraId="5BC55004" w14:textId="77777777" w:rsidR="002B6307" w:rsidRPr="002B6307" w:rsidRDefault="002B6307" w:rsidP="002B6307">
      <w:pPr>
        <w:jc w:val="both"/>
        <w:rPr>
          <w:rFonts w:eastAsia="Calibri"/>
          <w:color w:val="FF0000"/>
          <w:sz w:val="22"/>
          <w:szCs w:val="22"/>
        </w:rPr>
      </w:pPr>
    </w:p>
    <w:p w14:paraId="3B9B95CD" w14:textId="77777777" w:rsidR="002B6307" w:rsidRPr="002B6307" w:rsidRDefault="002B6307" w:rsidP="002B6307">
      <w:pPr>
        <w:contextualSpacing/>
        <w:jc w:val="both"/>
        <w:rPr>
          <w:rFonts w:eastAsia="Calibri"/>
          <w:i/>
          <w:sz w:val="22"/>
          <w:szCs w:val="22"/>
        </w:rPr>
      </w:pPr>
    </w:p>
    <w:p w14:paraId="5ACEA5F9" w14:textId="77777777" w:rsidR="002B6307" w:rsidRPr="002B6307" w:rsidRDefault="002B6307" w:rsidP="002B6307">
      <w:pPr>
        <w:contextualSpacing/>
        <w:jc w:val="both"/>
        <w:rPr>
          <w:rFonts w:eastAsia="Calibri"/>
          <w:sz w:val="22"/>
          <w:szCs w:val="22"/>
        </w:rPr>
      </w:pPr>
      <w:r w:rsidRPr="002B6307">
        <w:rPr>
          <w:rFonts w:eastAsia="Calibri"/>
          <w:sz w:val="22"/>
          <w:szCs w:val="22"/>
        </w:rPr>
        <w:t xml:space="preserve">(3) Az </w:t>
      </w:r>
      <w:r w:rsidRPr="002B6307">
        <w:rPr>
          <w:rFonts w:eastAsia="Calibri"/>
          <w:b/>
          <w:sz w:val="22"/>
          <w:szCs w:val="22"/>
        </w:rPr>
        <w:t>oktatással összefüggő tevékenységek értékelésére</w:t>
      </w:r>
      <w:r w:rsidRPr="002B6307">
        <w:rPr>
          <w:rFonts w:eastAsia="Calibri"/>
          <w:sz w:val="22"/>
          <w:szCs w:val="22"/>
        </w:rPr>
        <w:t xml:space="preserve"> az alábbi szempontok figyelembevételével kerül sor:</w:t>
      </w:r>
    </w:p>
    <w:p w14:paraId="44C22CC1" w14:textId="77777777" w:rsidR="002B6307" w:rsidRPr="002B6307" w:rsidRDefault="002B6307" w:rsidP="002B6307">
      <w:pPr>
        <w:contextualSpacing/>
        <w:jc w:val="both"/>
        <w:rPr>
          <w:rFonts w:eastAsia="Calibri"/>
          <w:sz w:val="22"/>
          <w:szCs w:val="22"/>
        </w:rPr>
      </w:pPr>
    </w:p>
    <w:p w14:paraId="683BC625" w14:textId="77777777" w:rsidR="002B6307" w:rsidRPr="002B6307" w:rsidRDefault="002B6307" w:rsidP="00F83E93">
      <w:pPr>
        <w:pStyle w:val="Listaszerbekezds"/>
        <w:numPr>
          <w:ilvl w:val="0"/>
          <w:numId w:val="180"/>
        </w:numPr>
        <w:spacing w:after="0" w:line="240" w:lineRule="auto"/>
        <w:ind w:left="714" w:hanging="357"/>
        <w:jc w:val="both"/>
        <w:rPr>
          <w:rFonts w:ascii="Times New Roman" w:hAnsi="Times New Roman"/>
          <w:iCs/>
        </w:rPr>
      </w:pPr>
      <w:r w:rsidRPr="002B6307">
        <w:rPr>
          <w:rFonts w:ascii="Times New Roman" w:hAnsi="Times New Roman"/>
          <w:iCs/>
        </w:rPr>
        <w:t>Oktatási tevékenység mennyisége</w:t>
      </w:r>
    </w:p>
    <w:p w14:paraId="582D7812" w14:textId="77777777" w:rsidR="002B6307" w:rsidRPr="00962C23" w:rsidRDefault="002B6307" w:rsidP="00D11FA3">
      <w:pPr>
        <w:ind w:left="708"/>
        <w:jc w:val="both"/>
        <w:rPr>
          <w:sz w:val="22"/>
          <w:szCs w:val="22"/>
        </w:rPr>
      </w:pPr>
      <w:r w:rsidRPr="002B6307">
        <w:rPr>
          <w:sz w:val="22"/>
          <w:szCs w:val="22"/>
        </w:rPr>
        <w:t xml:space="preserve">A magyar nyelven megtartott </w:t>
      </w:r>
      <w:proofErr w:type="gramStart"/>
      <w:r w:rsidRPr="002B6307">
        <w:rPr>
          <w:sz w:val="22"/>
          <w:szCs w:val="22"/>
        </w:rPr>
        <w:t>kontakt órák</w:t>
      </w:r>
      <w:proofErr w:type="gramEnd"/>
      <w:r w:rsidRPr="002B6307">
        <w:rPr>
          <w:sz w:val="22"/>
          <w:szCs w:val="22"/>
        </w:rPr>
        <w:t xml:space="preserve"> 1,00 teljesítménypontot érnek. Az idegen nyelven megtartott órák esetében egy kontaktóra 1,5 pontnak feleltethető meg.</w:t>
      </w:r>
      <w:r w:rsidR="00D11FA3">
        <w:rPr>
          <w:sz w:val="22"/>
          <w:szCs w:val="22"/>
        </w:rPr>
        <w:t xml:space="preserve"> </w:t>
      </w:r>
      <w:r w:rsidR="00D11FA3" w:rsidRPr="00962C23">
        <w:rPr>
          <w:sz w:val="22"/>
          <w:szCs w:val="22"/>
        </w:rPr>
        <w:t>Nemzetközi mobilitásban való részvétel további 20 többletpontot eredményez.</w:t>
      </w:r>
      <w:r w:rsidR="00D11FA3" w:rsidRPr="00962C23">
        <w:rPr>
          <w:rStyle w:val="Lbjegyzet-hivatkozs"/>
          <w:sz w:val="22"/>
          <w:szCs w:val="22"/>
        </w:rPr>
        <w:footnoteReference w:id="475"/>
      </w:r>
    </w:p>
    <w:p w14:paraId="63642354" w14:textId="77777777" w:rsidR="002B6307" w:rsidRPr="002B6307" w:rsidRDefault="002B6307" w:rsidP="002B6307">
      <w:pPr>
        <w:ind w:left="708"/>
        <w:jc w:val="both"/>
        <w:rPr>
          <w:sz w:val="22"/>
          <w:szCs w:val="22"/>
        </w:rPr>
      </w:pPr>
    </w:p>
    <w:p w14:paraId="13AC30B9" w14:textId="77777777" w:rsidR="002B6307" w:rsidRPr="002B6307" w:rsidRDefault="002B6307" w:rsidP="00F83E93">
      <w:pPr>
        <w:pStyle w:val="Listaszerbekezds"/>
        <w:numPr>
          <w:ilvl w:val="0"/>
          <w:numId w:val="180"/>
        </w:numPr>
        <w:spacing w:after="0" w:line="240" w:lineRule="auto"/>
        <w:ind w:left="714" w:hanging="357"/>
        <w:jc w:val="both"/>
        <w:rPr>
          <w:rFonts w:ascii="Times New Roman" w:hAnsi="Times New Roman"/>
          <w:bCs/>
        </w:rPr>
      </w:pPr>
      <w:r w:rsidRPr="002B6307">
        <w:rPr>
          <w:rFonts w:ascii="Times New Roman" w:hAnsi="Times New Roman"/>
          <w:bCs/>
        </w:rPr>
        <w:t>Az oktatói munka hallgatói véleményezése (OMHV)</w:t>
      </w:r>
    </w:p>
    <w:p w14:paraId="4FD5EF90" w14:textId="77777777" w:rsidR="002B6307" w:rsidRPr="002B6307" w:rsidRDefault="002B6307" w:rsidP="002B6307">
      <w:pPr>
        <w:pStyle w:val="Listaszerbekezds"/>
        <w:spacing w:after="0" w:line="240" w:lineRule="auto"/>
        <w:ind w:left="714"/>
        <w:jc w:val="both"/>
        <w:rPr>
          <w:rFonts w:ascii="Times New Roman" w:hAnsi="Times New Roman"/>
        </w:rPr>
      </w:pPr>
      <w:r w:rsidRPr="002B6307">
        <w:rPr>
          <w:rFonts w:ascii="Times New Roman" w:hAnsi="Times New Roman"/>
        </w:rPr>
        <w:t>Az OMHV reprezentatív (minimum 25%-</w:t>
      </w:r>
      <w:proofErr w:type="spellStart"/>
      <w:r w:rsidRPr="002B6307">
        <w:rPr>
          <w:rFonts w:ascii="Times New Roman" w:hAnsi="Times New Roman"/>
        </w:rPr>
        <w:t>os</w:t>
      </w:r>
      <w:proofErr w:type="spellEnd"/>
      <w:r w:rsidRPr="002B6307">
        <w:rPr>
          <w:rFonts w:ascii="Times New Roman" w:hAnsi="Times New Roman"/>
        </w:rPr>
        <w:t xml:space="preserve"> kitöltöttséget feltételező) adatfelvételének ötfokozatú eredményei az alábbi súlyszámok figyelembevételével módosítják az oktatási tevékenység mennyiségére adott éves pontszámot:</w:t>
      </w:r>
    </w:p>
    <w:p w14:paraId="5D5456A8" w14:textId="77777777" w:rsidR="002B6307" w:rsidRPr="002B6307" w:rsidRDefault="002B6307" w:rsidP="002B6307">
      <w:pPr>
        <w:pStyle w:val="Listaszerbekezds"/>
        <w:spacing w:after="0" w:line="240" w:lineRule="auto"/>
        <w:ind w:left="714"/>
        <w:jc w:val="both"/>
        <w:rPr>
          <w:rFonts w:ascii="Times New Roman" w:hAnsi="Times New Roman"/>
        </w:rPr>
      </w:pPr>
    </w:p>
    <w:p w14:paraId="078D41BA" w14:textId="77777777" w:rsidR="002B6307" w:rsidRPr="002B6307" w:rsidRDefault="002B6307" w:rsidP="00F83E93">
      <w:pPr>
        <w:pStyle w:val="Listaszerbekezds"/>
        <w:numPr>
          <w:ilvl w:val="0"/>
          <w:numId w:val="156"/>
        </w:numPr>
        <w:spacing w:after="0" w:line="240" w:lineRule="auto"/>
        <w:ind w:left="1068"/>
        <w:jc w:val="both"/>
        <w:rPr>
          <w:rFonts w:ascii="Times New Roman" w:hAnsi="Times New Roman"/>
          <w:iCs/>
        </w:rPr>
      </w:pPr>
      <w:r w:rsidRPr="002B6307">
        <w:rPr>
          <w:rFonts w:ascii="Times New Roman" w:hAnsi="Times New Roman"/>
          <w:iCs/>
        </w:rPr>
        <w:t>4,9-es minősítéstől (1,2)</w:t>
      </w:r>
    </w:p>
    <w:p w14:paraId="511F361D" w14:textId="77777777" w:rsidR="002B6307" w:rsidRPr="002B6307" w:rsidRDefault="002B6307" w:rsidP="00F83E93">
      <w:pPr>
        <w:pStyle w:val="Listaszerbekezds"/>
        <w:numPr>
          <w:ilvl w:val="0"/>
          <w:numId w:val="156"/>
        </w:numPr>
        <w:spacing w:after="0" w:line="240" w:lineRule="auto"/>
        <w:ind w:left="1068"/>
        <w:jc w:val="both"/>
        <w:rPr>
          <w:rFonts w:ascii="Times New Roman" w:hAnsi="Times New Roman"/>
          <w:iCs/>
        </w:rPr>
      </w:pPr>
      <w:r w:rsidRPr="002B6307">
        <w:rPr>
          <w:rFonts w:ascii="Times New Roman" w:hAnsi="Times New Roman"/>
          <w:iCs/>
        </w:rPr>
        <w:t>4,7-es minősítéstől (1,1)</w:t>
      </w:r>
    </w:p>
    <w:p w14:paraId="356BE38F" w14:textId="77777777" w:rsidR="002B6307" w:rsidRPr="002B6307" w:rsidRDefault="002B6307" w:rsidP="00F83E93">
      <w:pPr>
        <w:pStyle w:val="Listaszerbekezds"/>
        <w:numPr>
          <w:ilvl w:val="0"/>
          <w:numId w:val="156"/>
        </w:numPr>
        <w:spacing w:after="0" w:line="240" w:lineRule="auto"/>
        <w:ind w:left="1068"/>
        <w:jc w:val="both"/>
        <w:rPr>
          <w:rFonts w:ascii="Times New Roman" w:hAnsi="Times New Roman"/>
          <w:iCs/>
        </w:rPr>
      </w:pPr>
      <w:r w:rsidRPr="002B6307">
        <w:rPr>
          <w:rFonts w:ascii="Times New Roman" w:hAnsi="Times New Roman"/>
          <w:iCs/>
        </w:rPr>
        <w:t>4,5-ös minősítéstől (1,05)</w:t>
      </w:r>
    </w:p>
    <w:p w14:paraId="0705A371" w14:textId="77777777" w:rsidR="002B6307" w:rsidRPr="002B6307" w:rsidRDefault="002B6307" w:rsidP="00F83E93">
      <w:pPr>
        <w:pStyle w:val="Listaszerbekezds"/>
        <w:numPr>
          <w:ilvl w:val="0"/>
          <w:numId w:val="156"/>
        </w:numPr>
        <w:spacing w:after="0" w:line="240" w:lineRule="auto"/>
        <w:ind w:left="1068"/>
        <w:jc w:val="both"/>
        <w:rPr>
          <w:rFonts w:ascii="Times New Roman" w:hAnsi="Times New Roman"/>
          <w:i/>
        </w:rPr>
      </w:pPr>
      <w:r w:rsidRPr="002B6307">
        <w:rPr>
          <w:rFonts w:ascii="Times New Roman" w:hAnsi="Times New Roman"/>
          <w:iCs/>
        </w:rPr>
        <w:t>4,5 alatti minősítés (1,0)</w:t>
      </w:r>
    </w:p>
    <w:p w14:paraId="7E5BEC41" w14:textId="77777777" w:rsidR="002B6307" w:rsidRPr="002B6307" w:rsidRDefault="002B6307" w:rsidP="002B6307">
      <w:pPr>
        <w:pStyle w:val="Listaszerbekezds"/>
        <w:spacing w:after="0" w:line="240" w:lineRule="auto"/>
        <w:ind w:left="1068"/>
        <w:jc w:val="both"/>
        <w:rPr>
          <w:rFonts w:ascii="Times New Roman" w:hAnsi="Times New Roman"/>
          <w:b/>
          <w:i/>
        </w:rPr>
      </w:pPr>
    </w:p>
    <w:p w14:paraId="27838163" w14:textId="77777777" w:rsidR="002B6307" w:rsidRPr="002B6307" w:rsidRDefault="002B6307" w:rsidP="002B6307">
      <w:pPr>
        <w:ind w:firstLine="708"/>
        <w:jc w:val="both"/>
        <w:rPr>
          <w:sz w:val="22"/>
          <w:szCs w:val="22"/>
        </w:rPr>
      </w:pPr>
      <w:r w:rsidRPr="002B6307">
        <w:rPr>
          <w:sz w:val="22"/>
          <w:szCs w:val="22"/>
        </w:rPr>
        <w:t xml:space="preserve">"Kiváló oktatói munkáért" elismerés </w:t>
      </w:r>
      <w:r w:rsidRPr="002B6307">
        <w:rPr>
          <w:bCs/>
          <w:sz w:val="22"/>
          <w:szCs w:val="22"/>
        </w:rPr>
        <w:t>további 10 többletpontot</w:t>
      </w:r>
      <w:r w:rsidRPr="002B6307">
        <w:rPr>
          <w:sz w:val="22"/>
          <w:szCs w:val="22"/>
        </w:rPr>
        <w:t xml:space="preserve"> eredményez.</w:t>
      </w:r>
    </w:p>
    <w:p w14:paraId="7B076B88" w14:textId="77777777" w:rsidR="002B6307" w:rsidRPr="002B6307" w:rsidRDefault="002B6307" w:rsidP="002B6307">
      <w:pPr>
        <w:ind w:firstLine="708"/>
        <w:jc w:val="both"/>
        <w:rPr>
          <w:sz w:val="22"/>
          <w:szCs w:val="22"/>
        </w:rPr>
      </w:pPr>
    </w:p>
    <w:p w14:paraId="66B545ED" w14:textId="77777777" w:rsidR="002B6307" w:rsidRPr="002B6307" w:rsidRDefault="002B6307" w:rsidP="00F83E93">
      <w:pPr>
        <w:pStyle w:val="Listaszerbekezds"/>
        <w:numPr>
          <w:ilvl w:val="0"/>
          <w:numId w:val="180"/>
        </w:numPr>
        <w:spacing w:after="0" w:line="240" w:lineRule="auto"/>
        <w:ind w:left="714" w:hanging="357"/>
        <w:jc w:val="both"/>
        <w:rPr>
          <w:rFonts w:ascii="Times New Roman" w:hAnsi="Times New Roman"/>
          <w:bCs/>
          <w:iCs/>
        </w:rPr>
      </w:pPr>
      <w:r w:rsidRPr="002B6307">
        <w:rPr>
          <w:rFonts w:ascii="Times New Roman" w:hAnsi="Times New Roman"/>
          <w:bCs/>
          <w:iCs/>
        </w:rPr>
        <w:t>Tehetséggondozás</w:t>
      </w:r>
    </w:p>
    <w:p w14:paraId="53488950" w14:textId="77777777" w:rsidR="002B6307" w:rsidRPr="002B6307" w:rsidRDefault="002B6307" w:rsidP="00F83E93">
      <w:pPr>
        <w:pStyle w:val="Listaszerbekezds"/>
        <w:numPr>
          <w:ilvl w:val="0"/>
          <w:numId w:val="182"/>
        </w:numPr>
        <w:spacing w:after="0" w:line="240" w:lineRule="auto"/>
        <w:jc w:val="both"/>
        <w:rPr>
          <w:rFonts w:ascii="Times New Roman" w:hAnsi="Times New Roman"/>
          <w:bCs/>
        </w:rPr>
      </w:pPr>
      <w:r w:rsidRPr="002B6307">
        <w:rPr>
          <w:rFonts w:ascii="Times New Roman" w:hAnsi="Times New Roman"/>
          <w:bCs/>
        </w:rPr>
        <w:t xml:space="preserve">Doktori iskolai </w:t>
      </w:r>
      <w:proofErr w:type="gramStart"/>
      <w:r w:rsidRPr="002B6307">
        <w:rPr>
          <w:rFonts w:ascii="Times New Roman" w:hAnsi="Times New Roman"/>
          <w:bCs/>
        </w:rPr>
        <w:t>aktivitások</w:t>
      </w:r>
      <w:proofErr w:type="gramEnd"/>
      <w:r w:rsidRPr="002B6307">
        <w:rPr>
          <w:rFonts w:ascii="Times New Roman" w:hAnsi="Times New Roman"/>
          <w:bCs/>
        </w:rPr>
        <w:t>:</w:t>
      </w:r>
    </w:p>
    <w:p w14:paraId="20C89157"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Doktori iskola vezetője</w:t>
      </w:r>
      <w:r w:rsidRPr="002B6307">
        <w:rPr>
          <w:rFonts w:ascii="Times New Roman" w:hAnsi="Times New Roman"/>
          <w:b/>
        </w:rPr>
        <w:t xml:space="preserve"> (60 pont)</w:t>
      </w:r>
    </w:p>
    <w:p w14:paraId="497C70D3"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Programvezető</w:t>
      </w:r>
      <w:r w:rsidRPr="002B6307">
        <w:rPr>
          <w:rFonts w:ascii="Times New Roman" w:hAnsi="Times New Roman"/>
          <w:b/>
        </w:rPr>
        <w:t xml:space="preserve"> (35 pont) </w:t>
      </w:r>
    </w:p>
    <w:p w14:paraId="46012DA9"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Doktori iskola törzstagja</w:t>
      </w:r>
      <w:r w:rsidRPr="002B6307">
        <w:rPr>
          <w:rFonts w:ascii="Times New Roman" w:hAnsi="Times New Roman"/>
          <w:b/>
        </w:rPr>
        <w:t xml:space="preserve"> (30 pont)</w:t>
      </w:r>
    </w:p>
    <w:p w14:paraId="36419286"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Témakiíró</w:t>
      </w:r>
      <w:r w:rsidRPr="002B6307">
        <w:rPr>
          <w:rFonts w:ascii="Times New Roman" w:hAnsi="Times New Roman"/>
          <w:b/>
        </w:rPr>
        <w:t xml:space="preserve"> (15 pont)</w:t>
      </w:r>
    </w:p>
    <w:p w14:paraId="0C9EE843"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 xml:space="preserve">Témavezető </w:t>
      </w:r>
      <w:r w:rsidRPr="002B6307">
        <w:rPr>
          <w:rFonts w:ascii="Times New Roman" w:hAnsi="Times New Roman"/>
          <w:b/>
        </w:rPr>
        <w:t>(25 pont/hallgató/félév)</w:t>
      </w:r>
    </w:p>
    <w:p w14:paraId="4741140D"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lastRenderedPageBreak/>
        <w:t>Bizottsági elnök</w:t>
      </w:r>
      <w:r w:rsidRPr="002B6307">
        <w:rPr>
          <w:rFonts w:ascii="Times New Roman" w:hAnsi="Times New Roman"/>
          <w:b/>
        </w:rPr>
        <w:t xml:space="preserve"> (25 pont)</w:t>
      </w:r>
    </w:p>
    <w:p w14:paraId="26AB1C07"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Bizottsági tag</w:t>
      </w:r>
      <w:r w:rsidRPr="002B6307">
        <w:rPr>
          <w:rFonts w:ascii="Times New Roman" w:hAnsi="Times New Roman"/>
          <w:b/>
        </w:rPr>
        <w:t xml:space="preserve"> (15 pont)</w:t>
      </w:r>
    </w:p>
    <w:p w14:paraId="0D5F0233"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Opponens</w:t>
      </w:r>
      <w:r w:rsidRPr="002B6307">
        <w:rPr>
          <w:rFonts w:ascii="Times New Roman" w:hAnsi="Times New Roman"/>
          <w:b/>
        </w:rPr>
        <w:t xml:space="preserve"> (10 pont)</w:t>
      </w:r>
    </w:p>
    <w:p w14:paraId="10E42736"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Titkár</w:t>
      </w:r>
      <w:r w:rsidRPr="002B6307">
        <w:rPr>
          <w:rFonts w:ascii="Times New Roman" w:hAnsi="Times New Roman"/>
          <w:b/>
        </w:rPr>
        <w:t xml:space="preserve"> (10 pont)</w:t>
      </w:r>
    </w:p>
    <w:p w14:paraId="1BC0FD70" w14:textId="77777777" w:rsidR="002B6307" w:rsidRPr="002B6307" w:rsidRDefault="002B6307" w:rsidP="00F83E93">
      <w:pPr>
        <w:pStyle w:val="Listaszerbekezds"/>
        <w:numPr>
          <w:ilvl w:val="0"/>
          <w:numId w:val="182"/>
        </w:numPr>
        <w:spacing w:after="0" w:line="240" w:lineRule="auto"/>
        <w:jc w:val="both"/>
        <w:rPr>
          <w:rFonts w:ascii="Times New Roman" w:hAnsi="Times New Roman"/>
        </w:rPr>
      </w:pPr>
      <w:r w:rsidRPr="002B6307">
        <w:rPr>
          <w:rFonts w:ascii="Times New Roman" w:hAnsi="Times New Roman"/>
        </w:rPr>
        <w:t xml:space="preserve">Tudományos diákköri vagy szakkollégiumi vezetői, szervezői tevékenység </w:t>
      </w:r>
      <w:r w:rsidRPr="002B6307">
        <w:rPr>
          <w:rFonts w:ascii="Times New Roman" w:hAnsi="Times New Roman"/>
          <w:b/>
        </w:rPr>
        <w:t>(10 pont)</w:t>
      </w:r>
    </w:p>
    <w:p w14:paraId="55C77BB7" w14:textId="77777777" w:rsidR="002B6307" w:rsidRPr="002B6307" w:rsidRDefault="002B6307" w:rsidP="00F83E93">
      <w:pPr>
        <w:pStyle w:val="Listaszerbekezds"/>
        <w:numPr>
          <w:ilvl w:val="0"/>
          <w:numId w:val="182"/>
        </w:numPr>
        <w:spacing w:after="0" w:line="240" w:lineRule="auto"/>
        <w:jc w:val="both"/>
        <w:rPr>
          <w:rFonts w:ascii="Times New Roman" w:hAnsi="Times New Roman"/>
        </w:rPr>
      </w:pPr>
      <w:r w:rsidRPr="002B6307">
        <w:rPr>
          <w:rFonts w:ascii="Times New Roman" w:hAnsi="Times New Roman"/>
        </w:rPr>
        <w:t xml:space="preserve">Szakkollégiumi témavezetői tevékenység </w:t>
      </w:r>
      <w:r w:rsidRPr="002B6307">
        <w:rPr>
          <w:rFonts w:ascii="Times New Roman" w:hAnsi="Times New Roman"/>
          <w:b/>
        </w:rPr>
        <w:t>(10 pont)</w:t>
      </w:r>
    </w:p>
    <w:p w14:paraId="60E20700" w14:textId="77777777" w:rsidR="002B6307" w:rsidRPr="002B6307" w:rsidRDefault="002B6307" w:rsidP="00F83E93">
      <w:pPr>
        <w:pStyle w:val="Listaszerbekezds"/>
        <w:numPr>
          <w:ilvl w:val="0"/>
          <w:numId w:val="182"/>
        </w:numPr>
        <w:spacing w:after="0" w:line="240" w:lineRule="auto"/>
        <w:jc w:val="both"/>
        <w:rPr>
          <w:rFonts w:ascii="Times New Roman" w:hAnsi="Times New Roman"/>
        </w:rPr>
      </w:pPr>
      <w:r w:rsidRPr="002B6307">
        <w:rPr>
          <w:rFonts w:ascii="Times New Roman" w:hAnsi="Times New Roman"/>
        </w:rPr>
        <w:t xml:space="preserve">Tudományos diákköri témavezetői tevékenység </w:t>
      </w:r>
      <w:r w:rsidRPr="002B6307">
        <w:rPr>
          <w:rFonts w:ascii="Times New Roman" w:hAnsi="Times New Roman"/>
          <w:b/>
        </w:rPr>
        <w:t>(7 pont/hallgató)</w:t>
      </w:r>
    </w:p>
    <w:p w14:paraId="5A337DF0"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rPr>
        <w:t>OTDK-n induló dolgozat témavezetése</w:t>
      </w:r>
      <w:r w:rsidRPr="002B6307">
        <w:rPr>
          <w:rFonts w:ascii="Times New Roman" w:hAnsi="Times New Roman"/>
          <w:b/>
        </w:rPr>
        <w:t xml:space="preserve"> (10 pont/hallgató)</w:t>
      </w:r>
    </w:p>
    <w:p w14:paraId="04735275" w14:textId="77777777" w:rsidR="002B6307" w:rsidRPr="002B6307" w:rsidRDefault="002B6307" w:rsidP="00F83E93">
      <w:pPr>
        <w:pStyle w:val="Listaszerbekezds"/>
        <w:numPr>
          <w:ilvl w:val="0"/>
          <w:numId w:val="182"/>
        </w:numPr>
        <w:spacing w:after="0" w:line="240" w:lineRule="auto"/>
        <w:jc w:val="both"/>
        <w:rPr>
          <w:rFonts w:ascii="Times New Roman" w:hAnsi="Times New Roman"/>
        </w:rPr>
      </w:pPr>
      <w:r w:rsidRPr="002B6307">
        <w:rPr>
          <w:rFonts w:ascii="Times New Roman" w:hAnsi="Times New Roman"/>
        </w:rPr>
        <w:t>OTDK-n díjazott dolgozat témavezetése:</w:t>
      </w:r>
    </w:p>
    <w:p w14:paraId="572F060E"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bCs/>
          <w:color w:val="000000" w:themeColor="text1"/>
        </w:rPr>
        <w:t>I. helyezés</w:t>
      </w:r>
      <w:r w:rsidRPr="002B6307">
        <w:rPr>
          <w:rFonts w:ascii="Times New Roman" w:hAnsi="Times New Roman"/>
          <w:b/>
          <w:color w:val="000000" w:themeColor="text1"/>
        </w:rPr>
        <w:t xml:space="preserve"> </w:t>
      </w:r>
      <w:r w:rsidRPr="002B6307">
        <w:rPr>
          <w:rFonts w:ascii="Times New Roman" w:hAnsi="Times New Roman"/>
          <w:b/>
        </w:rPr>
        <w:t xml:space="preserve">(30 pont), </w:t>
      </w:r>
      <w:r w:rsidRPr="002B6307">
        <w:rPr>
          <w:rFonts w:ascii="Times New Roman" w:hAnsi="Times New Roman"/>
          <w:bCs/>
        </w:rPr>
        <w:t>II. helyezés</w:t>
      </w:r>
      <w:r w:rsidRPr="002B6307">
        <w:rPr>
          <w:rFonts w:ascii="Times New Roman" w:hAnsi="Times New Roman"/>
          <w:b/>
        </w:rPr>
        <w:t xml:space="preserve"> (25 pont), </w:t>
      </w:r>
      <w:r w:rsidRPr="002B6307">
        <w:rPr>
          <w:rFonts w:ascii="Times New Roman" w:hAnsi="Times New Roman"/>
          <w:bCs/>
        </w:rPr>
        <w:t>III. helyezés</w:t>
      </w:r>
      <w:r w:rsidRPr="002B6307">
        <w:rPr>
          <w:rFonts w:ascii="Times New Roman" w:hAnsi="Times New Roman"/>
          <w:b/>
        </w:rPr>
        <w:t xml:space="preserve"> (20 pont), </w:t>
      </w:r>
      <w:r w:rsidRPr="002B6307">
        <w:rPr>
          <w:rFonts w:ascii="Times New Roman" w:hAnsi="Times New Roman"/>
          <w:bCs/>
        </w:rPr>
        <w:t>különdíj</w:t>
      </w:r>
      <w:r w:rsidRPr="002B6307">
        <w:rPr>
          <w:rFonts w:ascii="Times New Roman" w:hAnsi="Times New Roman"/>
          <w:b/>
        </w:rPr>
        <w:t xml:space="preserve"> (15 pont)</w:t>
      </w:r>
    </w:p>
    <w:p w14:paraId="42081FBA" w14:textId="77777777" w:rsidR="002B6307" w:rsidRPr="002B6307" w:rsidRDefault="002B6307" w:rsidP="00F83E93">
      <w:pPr>
        <w:pStyle w:val="Listaszerbekezds"/>
        <w:numPr>
          <w:ilvl w:val="0"/>
          <w:numId w:val="182"/>
        </w:numPr>
        <w:spacing w:after="0" w:line="240" w:lineRule="auto"/>
        <w:jc w:val="both"/>
        <w:rPr>
          <w:rFonts w:ascii="Times New Roman" w:hAnsi="Times New Roman"/>
          <w:b/>
        </w:rPr>
      </w:pPr>
      <w:r w:rsidRPr="002B6307">
        <w:rPr>
          <w:rFonts w:ascii="Times New Roman" w:hAnsi="Times New Roman"/>
        </w:rPr>
        <w:t>Művészeti</w:t>
      </w:r>
      <w:r w:rsidRPr="002B6307">
        <w:rPr>
          <w:rFonts w:ascii="Times New Roman" w:hAnsi="Times New Roman"/>
          <w:bCs/>
        </w:rPr>
        <w:t>-szakmai,</w:t>
      </w:r>
      <w:r w:rsidRPr="002B6307">
        <w:rPr>
          <w:rFonts w:ascii="Times New Roman" w:hAnsi="Times New Roman"/>
        </w:rPr>
        <w:t xml:space="preserve"> </w:t>
      </w:r>
      <w:proofErr w:type="gramStart"/>
      <w:r w:rsidRPr="002B6307">
        <w:rPr>
          <w:rFonts w:ascii="Times New Roman" w:hAnsi="Times New Roman"/>
        </w:rPr>
        <w:t>mentori</w:t>
      </w:r>
      <w:proofErr w:type="gramEnd"/>
      <w:r w:rsidRPr="002B6307">
        <w:rPr>
          <w:rFonts w:ascii="Times New Roman" w:hAnsi="Times New Roman"/>
        </w:rPr>
        <w:t xml:space="preserve"> és szervezői tevékenység</w:t>
      </w:r>
      <w:r w:rsidRPr="002B6307">
        <w:rPr>
          <w:rFonts w:ascii="Times New Roman" w:hAnsi="Times New Roman"/>
          <w:b/>
        </w:rPr>
        <w:t xml:space="preserve">, </w:t>
      </w:r>
      <w:r w:rsidRPr="002B6307">
        <w:rPr>
          <w:rFonts w:ascii="Times New Roman" w:hAnsi="Times New Roman"/>
        </w:rPr>
        <w:t xml:space="preserve">versenyfelkészítés országos szakmai, művészeti, tanulmányi és sportversenyekre </w:t>
      </w:r>
      <w:r w:rsidRPr="002B6307">
        <w:rPr>
          <w:rFonts w:ascii="Times New Roman" w:hAnsi="Times New Roman"/>
          <w:b/>
        </w:rPr>
        <w:t>(5-15 pont)</w:t>
      </w:r>
    </w:p>
    <w:p w14:paraId="4CB5F7D7" w14:textId="77777777" w:rsidR="002B6307" w:rsidRPr="002B6307" w:rsidRDefault="002B6307" w:rsidP="00F83E93">
      <w:pPr>
        <w:pStyle w:val="Listaszerbekezds"/>
        <w:numPr>
          <w:ilvl w:val="0"/>
          <w:numId w:val="182"/>
        </w:numPr>
        <w:spacing w:after="0" w:line="240" w:lineRule="auto"/>
        <w:jc w:val="both"/>
        <w:rPr>
          <w:rFonts w:ascii="Times New Roman" w:hAnsi="Times New Roman"/>
        </w:rPr>
      </w:pPr>
      <w:r w:rsidRPr="002B6307">
        <w:rPr>
          <w:rFonts w:ascii="Times New Roman" w:hAnsi="Times New Roman"/>
        </w:rPr>
        <w:t xml:space="preserve">Nyári egyetemi szervezői, tevékenység </w:t>
      </w:r>
      <w:r w:rsidRPr="002B6307">
        <w:rPr>
          <w:rFonts w:ascii="Times New Roman" w:hAnsi="Times New Roman"/>
          <w:b/>
        </w:rPr>
        <w:t>(10 pont)</w:t>
      </w:r>
    </w:p>
    <w:p w14:paraId="7BF1C1B4" w14:textId="77777777" w:rsidR="002B6307" w:rsidRPr="002B6307" w:rsidRDefault="002B6307" w:rsidP="002B6307">
      <w:pPr>
        <w:ind w:left="708"/>
        <w:jc w:val="both"/>
        <w:rPr>
          <w:color w:val="FF0000"/>
          <w:sz w:val="22"/>
          <w:szCs w:val="22"/>
        </w:rPr>
      </w:pPr>
    </w:p>
    <w:p w14:paraId="04A104FD" w14:textId="77777777" w:rsidR="00D11FA3" w:rsidRPr="002B6307" w:rsidRDefault="00D11FA3" w:rsidP="00F83E93">
      <w:pPr>
        <w:pStyle w:val="Listaszerbekezds"/>
        <w:numPr>
          <w:ilvl w:val="0"/>
          <w:numId w:val="180"/>
        </w:numPr>
        <w:spacing w:after="0" w:line="240" w:lineRule="auto"/>
        <w:ind w:left="714" w:hanging="357"/>
        <w:jc w:val="both"/>
        <w:rPr>
          <w:rFonts w:ascii="Times New Roman" w:hAnsi="Times New Roman"/>
          <w:bCs/>
          <w:iCs/>
        </w:rPr>
      </w:pPr>
      <w:r w:rsidRPr="002B6307">
        <w:rPr>
          <w:rFonts w:ascii="Times New Roman" w:hAnsi="Times New Roman"/>
          <w:bCs/>
          <w:iCs/>
        </w:rPr>
        <w:t>Oktatásfejlesztési tevékenység</w:t>
      </w:r>
    </w:p>
    <w:p w14:paraId="30491549" w14:textId="77777777" w:rsidR="00D11FA3" w:rsidRPr="002B6307" w:rsidRDefault="00D11FA3" w:rsidP="00F83E93">
      <w:pPr>
        <w:pStyle w:val="Listaszerbekezds"/>
        <w:numPr>
          <w:ilvl w:val="0"/>
          <w:numId w:val="183"/>
        </w:numPr>
        <w:spacing w:after="0" w:line="240" w:lineRule="auto"/>
        <w:jc w:val="both"/>
        <w:rPr>
          <w:rFonts w:ascii="Times New Roman" w:hAnsi="Times New Roman"/>
        </w:rPr>
      </w:pPr>
      <w:r w:rsidRPr="002B6307">
        <w:rPr>
          <w:rFonts w:ascii="Times New Roman" w:hAnsi="Times New Roman"/>
        </w:rPr>
        <w:t xml:space="preserve">Szakfelelősi feladatok </w:t>
      </w:r>
      <w:r w:rsidRPr="002B6307">
        <w:rPr>
          <w:rFonts w:ascii="Times New Roman" w:hAnsi="Times New Roman"/>
          <w:b/>
        </w:rPr>
        <w:t>(20 pont/tanév)</w:t>
      </w:r>
    </w:p>
    <w:p w14:paraId="7EC24DE9" w14:textId="77777777" w:rsidR="00D11FA3" w:rsidRPr="002B6307" w:rsidRDefault="00D11FA3" w:rsidP="00F83E93">
      <w:pPr>
        <w:pStyle w:val="Listaszerbekezds"/>
        <w:numPr>
          <w:ilvl w:val="0"/>
          <w:numId w:val="183"/>
        </w:numPr>
        <w:spacing w:after="0" w:line="240" w:lineRule="auto"/>
        <w:jc w:val="both"/>
        <w:rPr>
          <w:rFonts w:ascii="Times New Roman" w:hAnsi="Times New Roman"/>
        </w:rPr>
      </w:pPr>
      <w:r w:rsidRPr="002B6307">
        <w:rPr>
          <w:rFonts w:ascii="Times New Roman" w:hAnsi="Times New Roman"/>
        </w:rPr>
        <w:t xml:space="preserve">Szakkoordinátori feladatok ellátása </w:t>
      </w:r>
      <w:r w:rsidRPr="002B6307">
        <w:rPr>
          <w:rFonts w:ascii="Times New Roman" w:hAnsi="Times New Roman"/>
          <w:b/>
        </w:rPr>
        <w:t>(15 pont/tanév)</w:t>
      </w:r>
    </w:p>
    <w:p w14:paraId="7F33CCEA" w14:textId="77777777" w:rsidR="00D11FA3" w:rsidRPr="002B6307" w:rsidRDefault="00D11FA3" w:rsidP="00F83E93">
      <w:pPr>
        <w:pStyle w:val="Listaszerbekezds"/>
        <w:numPr>
          <w:ilvl w:val="0"/>
          <w:numId w:val="183"/>
        </w:numPr>
        <w:spacing w:after="0" w:line="240" w:lineRule="auto"/>
        <w:contextualSpacing w:val="0"/>
        <w:jc w:val="both"/>
        <w:rPr>
          <w:rFonts w:ascii="Times New Roman" w:hAnsi="Times New Roman"/>
          <w:bCs/>
        </w:rPr>
      </w:pPr>
      <w:r w:rsidRPr="002B6307">
        <w:rPr>
          <w:rFonts w:ascii="Times New Roman" w:hAnsi="Times New Roman"/>
          <w:bCs/>
        </w:rPr>
        <w:t>Új szak kidolgozása</w:t>
      </w:r>
    </w:p>
    <w:p w14:paraId="01493528" w14:textId="77777777" w:rsidR="00D11FA3" w:rsidRPr="002B6307" w:rsidRDefault="00D11FA3" w:rsidP="00D11FA3">
      <w:pPr>
        <w:pStyle w:val="Listaszerbekezds"/>
        <w:spacing w:after="0" w:line="240" w:lineRule="auto"/>
        <w:ind w:left="1068"/>
        <w:contextualSpacing w:val="0"/>
        <w:jc w:val="both"/>
        <w:rPr>
          <w:rFonts w:ascii="Times New Roman" w:hAnsi="Times New Roman"/>
          <w:b/>
        </w:rPr>
      </w:pPr>
      <w:proofErr w:type="gramStart"/>
      <w:r w:rsidRPr="002B6307">
        <w:rPr>
          <w:rFonts w:ascii="Times New Roman" w:hAnsi="Times New Roman"/>
          <w:bCs/>
        </w:rPr>
        <w:t>szakfelelősként</w:t>
      </w:r>
      <w:proofErr w:type="gramEnd"/>
      <w:r w:rsidRPr="002B6307">
        <w:rPr>
          <w:rFonts w:ascii="Times New Roman" w:hAnsi="Times New Roman"/>
          <w:b/>
        </w:rPr>
        <w:t xml:space="preserve"> (80 pont)</w:t>
      </w:r>
    </w:p>
    <w:p w14:paraId="7088F4A7" w14:textId="77777777" w:rsidR="00D11FA3" w:rsidRPr="002B6307" w:rsidRDefault="00D11FA3" w:rsidP="00D11FA3">
      <w:pPr>
        <w:pStyle w:val="Listaszerbekezds"/>
        <w:spacing w:after="0" w:line="240" w:lineRule="auto"/>
        <w:ind w:left="1068"/>
        <w:contextualSpacing w:val="0"/>
        <w:jc w:val="both"/>
        <w:rPr>
          <w:rFonts w:ascii="Times New Roman" w:hAnsi="Times New Roman"/>
          <w:b/>
        </w:rPr>
      </w:pPr>
      <w:proofErr w:type="gramStart"/>
      <w:r w:rsidRPr="002B6307">
        <w:rPr>
          <w:rFonts w:ascii="Times New Roman" w:hAnsi="Times New Roman"/>
          <w:bCs/>
        </w:rPr>
        <w:t>szakfelelősként</w:t>
      </w:r>
      <w:proofErr w:type="gramEnd"/>
      <w:r w:rsidRPr="002B6307">
        <w:rPr>
          <w:rFonts w:ascii="Times New Roman" w:hAnsi="Times New Roman"/>
          <w:bCs/>
        </w:rPr>
        <w:t xml:space="preserve"> másokkal közreműködve</w:t>
      </w:r>
      <w:r w:rsidRPr="002B6307">
        <w:rPr>
          <w:rFonts w:ascii="Times New Roman" w:hAnsi="Times New Roman"/>
          <w:b/>
        </w:rPr>
        <w:t xml:space="preserve"> (60 pont)</w:t>
      </w:r>
    </w:p>
    <w:p w14:paraId="511EA28E" w14:textId="77777777" w:rsidR="00D11FA3" w:rsidRPr="002B6307" w:rsidRDefault="00D11FA3" w:rsidP="00D11FA3">
      <w:pPr>
        <w:pStyle w:val="Listaszerbekezds"/>
        <w:spacing w:after="0" w:line="240" w:lineRule="auto"/>
        <w:ind w:left="1068"/>
        <w:contextualSpacing w:val="0"/>
        <w:jc w:val="both"/>
        <w:rPr>
          <w:rFonts w:ascii="Times New Roman" w:hAnsi="Times New Roman"/>
          <w:b/>
          <w:color w:val="0070C0"/>
        </w:rPr>
      </w:pPr>
      <w:proofErr w:type="gramStart"/>
      <w:r w:rsidRPr="002B6307">
        <w:rPr>
          <w:rFonts w:ascii="Times New Roman" w:hAnsi="Times New Roman"/>
          <w:bCs/>
        </w:rPr>
        <w:t>közreműködőként</w:t>
      </w:r>
      <w:proofErr w:type="gramEnd"/>
      <w:r w:rsidRPr="002B6307">
        <w:rPr>
          <w:rFonts w:ascii="Times New Roman" w:hAnsi="Times New Roman"/>
          <w:bCs/>
        </w:rPr>
        <w:t xml:space="preserve"> </w:t>
      </w:r>
      <w:r w:rsidRPr="002B6307">
        <w:rPr>
          <w:rFonts w:ascii="Times New Roman" w:hAnsi="Times New Roman"/>
          <w:b/>
        </w:rPr>
        <w:t>(40 pont</w:t>
      </w:r>
      <w:r w:rsidRPr="002B6307">
        <w:rPr>
          <w:rFonts w:ascii="Times New Roman" w:hAnsi="Times New Roman"/>
          <w:b/>
          <w:color w:val="0070C0"/>
        </w:rPr>
        <w:t>)</w:t>
      </w:r>
    </w:p>
    <w:p w14:paraId="1F4EF894" w14:textId="77777777" w:rsidR="00D11FA3" w:rsidRPr="002B6307" w:rsidRDefault="00D11FA3" w:rsidP="00F83E93">
      <w:pPr>
        <w:pStyle w:val="Listaszerbekezds"/>
        <w:numPr>
          <w:ilvl w:val="0"/>
          <w:numId w:val="183"/>
        </w:numPr>
        <w:spacing w:after="0" w:line="240" w:lineRule="auto"/>
        <w:jc w:val="both"/>
        <w:rPr>
          <w:rFonts w:ascii="Times New Roman" w:hAnsi="Times New Roman"/>
          <w:b/>
        </w:rPr>
      </w:pPr>
      <w:r w:rsidRPr="002B6307">
        <w:rPr>
          <w:rFonts w:ascii="Times New Roman" w:hAnsi="Times New Roman"/>
          <w:bCs/>
        </w:rPr>
        <w:t>Tantárgyleírás készítése új szak esetén</w:t>
      </w:r>
      <w:r w:rsidRPr="002B6307">
        <w:rPr>
          <w:rFonts w:ascii="Times New Roman" w:hAnsi="Times New Roman"/>
          <w:b/>
        </w:rPr>
        <w:t xml:space="preserve"> (3 pont/tárgyleírás)</w:t>
      </w:r>
    </w:p>
    <w:p w14:paraId="33A31B2F" w14:textId="77777777" w:rsidR="00D11FA3" w:rsidRPr="002B6307" w:rsidRDefault="00D11FA3" w:rsidP="00F83E93">
      <w:pPr>
        <w:pStyle w:val="Listaszerbekezds"/>
        <w:numPr>
          <w:ilvl w:val="0"/>
          <w:numId w:val="183"/>
        </w:numPr>
        <w:spacing w:after="0" w:line="240" w:lineRule="auto"/>
        <w:jc w:val="both"/>
        <w:rPr>
          <w:rFonts w:ascii="Times New Roman" w:hAnsi="Times New Roman"/>
          <w:b/>
        </w:rPr>
      </w:pPr>
      <w:r w:rsidRPr="002B6307">
        <w:rPr>
          <w:rFonts w:ascii="Times New Roman" w:hAnsi="Times New Roman"/>
          <w:bCs/>
        </w:rPr>
        <w:t>Tankönyv, oktatási segédanyag kidolgozása</w:t>
      </w:r>
      <w:r>
        <w:rPr>
          <w:rFonts w:ascii="Times New Roman" w:hAnsi="Times New Roman"/>
          <w:bCs/>
        </w:rPr>
        <w:t>,</w:t>
      </w:r>
      <w:r w:rsidRPr="001C10FE">
        <w:t xml:space="preserve"> </w:t>
      </w:r>
      <w:r w:rsidRPr="00962C23">
        <w:rPr>
          <w:rFonts w:ascii="Times New Roman" w:hAnsi="Times New Roman"/>
          <w:bCs/>
        </w:rPr>
        <w:t>elektronikus, e-</w:t>
      </w:r>
      <w:proofErr w:type="spellStart"/>
      <w:r w:rsidRPr="00962C23">
        <w:rPr>
          <w:rFonts w:ascii="Times New Roman" w:hAnsi="Times New Roman"/>
          <w:bCs/>
        </w:rPr>
        <w:t>learning</w:t>
      </w:r>
      <w:proofErr w:type="spellEnd"/>
      <w:r w:rsidRPr="00962C23">
        <w:rPr>
          <w:rFonts w:ascii="Times New Roman" w:hAnsi="Times New Roman"/>
          <w:bCs/>
        </w:rPr>
        <w:t xml:space="preserve"> tananyagfejlesztés </w:t>
      </w:r>
      <w:r w:rsidRPr="002B6307">
        <w:rPr>
          <w:rFonts w:ascii="Times New Roman" w:hAnsi="Times New Roman"/>
          <w:b/>
        </w:rPr>
        <w:t>(50 pont)</w:t>
      </w:r>
      <w:r>
        <w:rPr>
          <w:rStyle w:val="Lbjegyzet-hivatkozs"/>
          <w:rFonts w:ascii="Times New Roman" w:hAnsi="Times New Roman"/>
          <w:b/>
        </w:rPr>
        <w:footnoteReference w:id="476"/>
      </w:r>
    </w:p>
    <w:p w14:paraId="1356B69D" w14:textId="77777777" w:rsidR="00D11FA3" w:rsidRPr="002B6307" w:rsidRDefault="00D11FA3" w:rsidP="00F83E93">
      <w:pPr>
        <w:pStyle w:val="Listaszerbekezds"/>
        <w:numPr>
          <w:ilvl w:val="0"/>
          <w:numId w:val="183"/>
        </w:numPr>
        <w:spacing w:after="0" w:line="240" w:lineRule="auto"/>
        <w:contextualSpacing w:val="0"/>
        <w:jc w:val="both"/>
        <w:rPr>
          <w:rFonts w:ascii="Times New Roman" w:hAnsi="Times New Roman"/>
          <w:b/>
        </w:rPr>
      </w:pPr>
      <w:r w:rsidRPr="002B6307">
        <w:rPr>
          <w:rFonts w:ascii="Times New Roman" w:hAnsi="Times New Roman"/>
          <w:bCs/>
        </w:rPr>
        <w:t>Tankönyv lektorálása</w:t>
      </w:r>
      <w:r w:rsidRPr="002B6307">
        <w:rPr>
          <w:rFonts w:ascii="Times New Roman" w:hAnsi="Times New Roman"/>
          <w:b/>
        </w:rPr>
        <w:t xml:space="preserve"> (15 pont)</w:t>
      </w:r>
    </w:p>
    <w:p w14:paraId="00A86507" w14:textId="77777777" w:rsidR="00D11FA3" w:rsidRDefault="00D11FA3" w:rsidP="00F83E93">
      <w:pPr>
        <w:pStyle w:val="Listaszerbekezds"/>
        <w:numPr>
          <w:ilvl w:val="0"/>
          <w:numId w:val="183"/>
        </w:numPr>
        <w:spacing w:after="0" w:line="240" w:lineRule="auto"/>
        <w:jc w:val="both"/>
        <w:rPr>
          <w:rFonts w:ascii="Times New Roman" w:hAnsi="Times New Roman"/>
          <w:b/>
        </w:rPr>
      </w:pPr>
      <w:r w:rsidRPr="002B6307">
        <w:rPr>
          <w:rFonts w:ascii="Times New Roman" w:hAnsi="Times New Roman"/>
          <w:bCs/>
        </w:rPr>
        <w:t>Szakmai végzettség szerzése</w:t>
      </w:r>
      <w:r w:rsidRPr="002B6307">
        <w:rPr>
          <w:rFonts w:ascii="Times New Roman" w:hAnsi="Times New Roman"/>
          <w:b/>
        </w:rPr>
        <w:t xml:space="preserve"> (egyéni pontszámítás)</w:t>
      </w:r>
    </w:p>
    <w:p w14:paraId="573875AA" w14:textId="77777777" w:rsidR="00D11FA3" w:rsidRPr="00962C23" w:rsidRDefault="00D11FA3" w:rsidP="00F83E93">
      <w:pPr>
        <w:pStyle w:val="Listaszerbekezds"/>
        <w:numPr>
          <w:ilvl w:val="0"/>
          <w:numId w:val="183"/>
        </w:numPr>
        <w:spacing w:after="0" w:line="240" w:lineRule="auto"/>
        <w:jc w:val="both"/>
        <w:rPr>
          <w:rFonts w:ascii="Times New Roman" w:hAnsi="Times New Roman"/>
        </w:rPr>
      </w:pPr>
      <w:r w:rsidRPr="00962C23">
        <w:rPr>
          <w:rFonts w:ascii="Times New Roman" w:hAnsi="Times New Roman"/>
        </w:rPr>
        <w:t xml:space="preserve">Felsőoktatás-módszertani képzésen való részvétel </w:t>
      </w:r>
      <w:r w:rsidRPr="00962C23">
        <w:rPr>
          <w:rFonts w:ascii="Times New Roman" w:hAnsi="Times New Roman"/>
          <w:b/>
        </w:rPr>
        <w:t>(egyéni pontszámítás)</w:t>
      </w:r>
      <w:r w:rsidRPr="00962C23">
        <w:rPr>
          <w:rStyle w:val="Lbjegyzet-hivatkozs"/>
          <w:rFonts w:ascii="Times New Roman" w:hAnsi="Times New Roman"/>
        </w:rPr>
        <w:footnoteReference w:id="477"/>
      </w:r>
    </w:p>
    <w:p w14:paraId="2C06D679" w14:textId="77777777" w:rsidR="002B6307" w:rsidRPr="002B6307" w:rsidRDefault="002B6307" w:rsidP="002B6307">
      <w:pPr>
        <w:ind w:firstLine="708"/>
        <w:jc w:val="both"/>
        <w:rPr>
          <w:sz w:val="22"/>
          <w:szCs w:val="22"/>
        </w:rPr>
      </w:pPr>
    </w:p>
    <w:p w14:paraId="1D5EAB7D" w14:textId="77777777" w:rsidR="002B6307" w:rsidRPr="002B6307" w:rsidRDefault="002B6307" w:rsidP="00F83E93">
      <w:pPr>
        <w:pStyle w:val="Listaszerbekezds"/>
        <w:numPr>
          <w:ilvl w:val="0"/>
          <w:numId w:val="180"/>
        </w:numPr>
        <w:spacing w:after="0" w:line="240" w:lineRule="auto"/>
        <w:ind w:left="714" w:hanging="357"/>
        <w:jc w:val="both"/>
        <w:rPr>
          <w:rFonts w:ascii="Times New Roman" w:hAnsi="Times New Roman"/>
          <w:i/>
        </w:rPr>
      </w:pPr>
      <w:r w:rsidRPr="002B6307">
        <w:rPr>
          <w:rFonts w:ascii="Times New Roman" w:hAnsi="Times New Roman"/>
          <w:iCs/>
        </w:rPr>
        <w:t>Egyéb, oktatáshoz kapcsolódó tevékenységek</w:t>
      </w:r>
    </w:p>
    <w:p w14:paraId="53E5917B" w14:textId="77777777" w:rsidR="002B6307" w:rsidRPr="002B6307" w:rsidRDefault="002B6307" w:rsidP="002B6307">
      <w:pPr>
        <w:ind w:left="708"/>
        <w:jc w:val="both"/>
        <w:rPr>
          <w:rFonts w:eastAsia="Calibri"/>
          <w:sz w:val="22"/>
          <w:szCs w:val="22"/>
        </w:rPr>
      </w:pPr>
      <w:r w:rsidRPr="002B6307">
        <w:rPr>
          <w:rFonts w:eastAsia="Calibri"/>
          <w:sz w:val="22"/>
          <w:szCs w:val="22"/>
        </w:rPr>
        <w:t xml:space="preserve">A féléves </w:t>
      </w:r>
      <w:proofErr w:type="gramStart"/>
      <w:r w:rsidRPr="002B6307">
        <w:rPr>
          <w:rFonts w:eastAsia="Calibri"/>
          <w:sz w:val="22"/>
          <w:szCs w:val="22"/>
        </w:rPr>
        <w:t>kurzusok</w:t>
      </w:r>
      <w:proofErr w:type="gramEnd"/>
      <w:r w:rsidRPr="002B6307">
        <w:rPr>
          <w:rFonts w:eastAsia="Calibri"/>
          <w:sz w:val="22"/>
          <w:szCs w:val="22"/>
        </w:rPr>
        <w:t xml:space="preserve"> vizsgáztatásakor a hallgatószám figyelembevétele hivatott kompenzálni az eltérő csoportméretből eredő többletfeladatokat. </w:t>
      </w:r>
    </w:p>
    <w:p w14:paraId="290B08EE" w14:textId="77777777" w:rsidR="002B6307" w:rsidRPr="002B6307" w:rsidRDefault="002B6307" w:rsidP="002B6307">
      <w:pPr>
        <w:ind w:left="708"/>
        <w:jc w:val="both"/>
        <w:rPr>
          <w:rFonts w:eastAsia="Calibri"/>
          <w:sz w:val="22"/>
          <w:szCs w:val="22"/>
        </w:rPr>
      </w:pPr>
    </w:p>
    <w:p w14:paraId="276265DC" w14:textId="77777777" w:rsidR="002B6307" w:rsidRPr="002B6307" w:rsidRDefault="002B6307" w:rsidP="002B6307">
      <w:pPr>
        <w:ind w:firstLine="708"/>
        <w:jc w:val="both"/>
        <w:rPr>
          <w:sz w:val="22"/>
          <w:szCs w:val="22"/>
        </w:rPr>
      </w:pPr>
      <w:r w:rsidRPr="002B6307">
        <w:rPr>
          <w:sz w:val="22"/>
          <w:szCs w:val="22"/>
        </w:rPr>
        <w:t>Az alábbi tevékenységek teljesítményponttal történő értékelése javasolt:</w:t>
      </w:r>
    </w:p>
    <w:p w14:paraId="04EA62C5"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bCs/>
        </w:rPr>
        <w:t>Szóbeli vizsga</w:t>
      </w:r>
      <w:r w:rsidRPr="002B6307">
        <w:rPr>
          <w:rFonts w:ascii="Times New Roman" w:hAnsi="Times New Roman"/>
          <w:b/>
        </w:rPr>
        <w:t xml:space="preserve"> (0,5 pont/hallgató)</w:t>
      </w:r>
    </w:p>
    <w:p w14:paraId="2EDBDBBC"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bCs/>
        </w:rPr>
        <w:t>Írásbeli vizsga</w:t>
      </w:r>
      <w:r w:rsidRPr="002B6307">
        <w:rPr>
          <w:rFonts w:ascii="Times New Roman" w:hAnsi="Times New Roman"/>
          <w:b/>
        </w:rPr>
        <w:t xml:space="preserve"> (0,25 pont/hallgató)</w:t>
      </w:r>
    </w:p>
    <w:p w14:paraId="43898FAB"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Szemináriumi jegy </w:t>
      </w:r>
      <w:r w:rsidRPr="002B6307">
        <w:rPr>
          <w:rFonts w:ascii="Times New Roman" w:hAnsi="Times New Roman"/>
          <w:b/>
        </w:rPr>
        <w:t>(0,5 pont/hallgató)</w:t>
      </w:r>
    </w:p>
    <w:p w14:paraId="0F595AD5"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Gyakorlati jegy </w:t>
      </w:r>
      <w:r w:rsidRPr="002B6307">
        <w:rPr>
          <w:rFonts w:ascii="Times New Roman" w:hAnsi="Times New Roman"/>
          <w:b/>
        </w:rPr>
        <w:t>(0,5 pont/hallgató)</w:t>
      </w:r>
      <w:r w:rsidRPr="002B6307">
        <w:rPr>
          <w:rFonts w:ascii="Times New Roman" w:hAnsi="Times New Roman"/>
        </w:rPr>
        <w:t xml:space="preserve"> </w:t>
      </w:r>
    </w:p>
    <w:p w14:paraId="71FE4A55"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Záróvizsgáztatás </w:t>
      </w:r>
      <w:r w:rsidRPr="002B6307">
        <w:rPr>
          <w:rFonts w:ascii="Times New Roman" w:hAnsi="Times New Roman"/>
          <w:b/>
        </w:rPr>
        <w:t>(0,75 pont/hallgató)</w:t>
      </w:r>
    </w:p>
    <w:p w14:paraId="43769E7B"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rPr>
        <w:t xml:space="preserve">Zárótanítás </w:t>
      </w:r>
      <w:r w:rsidRPr="002B6307">
        <w:rPr>
          <w:rFonts w:ascii="Times New Roman" w:hAnsi="Times New Roman"/>
          <w:b/>
        </w:rPr>
        <w:t>(3 pont/hallgató)</w:t>
      </w:r>
    </w:p>
    <w:p w14:paraId="38AABB69"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Zárófoglalkozás </w:t>
      </w:r>
      <w:r w:rsidRPr="002B6307">
        <w:rPr>
          <w:rFonts w:ascii="Times New Roman" w:hAnsi="Times New Roman"/>
          <w:b/>
        </w:rPr>
        <w:t>(4 pont/hallgató)</w:t>
      </w:r>
    </w:p>
    <w:p w14:paraId="08E4861C"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Felvételi beszélgetés, alkalmassági vizsga </w:t>
      </w:r>
      <w:r w:rsidRPr="002B6307">
        <w:rPr>
          <w:rFonts w:ascii="Times New Roman" w:hAnsi="Times New Roman"/>
          <w:b/>
        </w:rPr>
        <w:t>(0,25 pont/hallgató)</w:t>
      </w:r>
    </w:p>
    <w:p w14:paraId="41F9A747"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Szakdolgozati </w:t>
      </w:r>
      <w:proofErr w:type="gramStart"/>
      <w:r w:rsidRPr="002B6307">
        <w:rPr>
          <w:rFonts w:ascii="Times New Roman" w:hAnsi="Times New Roman"/>
        </w:rPr>
        <w:t>konzultáció</w:t>
      </w:r>
      <w:proofErr w:type="gramEnd"/>
      <w:r w:rsidRPr="002B6307">
        <w:rPr>
          <w:rFonts w:ascii="Times New Roman" w:hAnsi="Times New Roman"/>
        </w:rPr>
        <w:t xml:space="preserve"> </w:t>
      </w:r>
      <w:r w:rsidRPr="002B6307">
        <w:rPr>
          <w:rFonts w:ascii="Times New Roman" w:hAnsi="Times New Roman"/>
          <w:b/>
        </w:rPr>
        <w:t>(7,5 pont/hallgató)</w:t>
      </w:r>
    </w:p>
    <w:p w14:paraId="21933718"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Szakdolgozat bírálat </w:t>
      </w:r>
      <w:r w:rsidRPr="002B6307">
        <w:rPr>
          <w:rFonts w:ascii="Times New Roman" w:hAnsi="Times New Roman"/>
          <w:b/>
        </w:rPr>
        <w:t>(4 pont/szakdolgozat)</w:t>
      </w:r>
    </w:p>
    <w:p w14:paraId="27B56791"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bCs/>
        </w:rPr>
        <w:t>Portfólió bírálat</w:t>
      </w:r>
      <w:r w:rsidRPr="002B6307">
        <w:rPr>
          <w:rFonts w:ascii="Times New Roman" w:hAnsi="Times New Roman"/>
          <w:b/>
        </w:rPr>
        <w:t xml:space="preserve"> (2 pont/portfólió)</w:t>
      </w:r>
    </w:p>
    <w:p w14:paraId="7552E2F7"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bCs/>
        </w:rPr>
        <w:t>Módszertani tervezet bírálat</w:t>
      </w:r>
      <w:r w:rsidRPr="002B6307">
        <w:rPr>
          <w:rFonts w:ascii="Times New Roman" w:hAnsi="Times New Roman"/>
          <w:b/>
        </w:rPr>
        <w:t xml:space="preserve"> (0,5 pont/hallgató)</w:t>
      </w:r>
    </w:p>
    <w:p w14:paraId="07DA0DE7" w14:textId="77777777" w:rsidR="002B6307" w:rsidRPr="002B6307" w:rsidRDefault="002B6307" w:rsidP="00F83E93">
      <w:pPr>
        <w:pStyle w:val="Listaszerbekezds"/>
        <w:numPr>
          <w:ilvl w:val="0"/>
          <w:numId w:val="184"/>
        </w:numPr>
        <w:spacing w:after="0" w:line="240" w:lineRule="auto"/>
        <w:jc w:val="both"/>
        <w:rPr>
          <w:rFonts w:ascii="Times New Roman" w:hAnsi="Times New Roman"/>
        </w:rPr>
      </w:pPr>
      <w:r w:rsidRPr="002B6307">
        <w:rPr>
          <w:rFonts w:ascii="Times New Roman" w:hAnsi="Times New Roman"/>
        </w:rPr>
        <w:t xml:space="preserve">Gyakorlati képzés </w:t>
      </w:r>
      <w:proofErr w:type="gramStart"/>
      <w:r w:rsidRPr="002B6307">
        <w:rPr>
          <w:rFonts w:ascii="Times New Roman" w:hAnsi="Times New Roman"/>
        </w:rPr>
        <w:t>koordinálása</w:t>
      </w:r>
      <w:proofErr w:type="gramEnd"/>
      <w:r w:rsidRPr="002B6307">
        <w:rPr>
          <w:rFonts w:ascii="Times New Roman" w:hAnsi="Times New Roman"/>
        </w:rPr>
        <w:t xml:space="preserve"> </w:t>
      </w:r>
      <w:r w:rsidRPr="002B6307">
        <w:rPr>
          <w:rFonts w:ascii="Times New Roman" w:hAnsi="Times New Roman"/>
          <w:b/>
        </w:rPr>
        <w:t>(1 pont/hallgató)</w:t>
      </w:r>
    </w:p>
    <w:p w14:paraId="5354073F" w14:textId="77777777" w:rsidR="002B6307" w:rsidRPr="002B6307" w:rsidRDefault="002B6307" w:rsidP="00F83E93">
      <w:pPr>
        <w:pStyle w:val="Listaszerbekezds"/>
        <w:numPr>
          <w:ilvl w:val="0"/>
          <w:numId w:val="184"/>
        </w:numPr>
        <w:spacing w:after="0" w:line="240" w:lineRule="auto"/>
        <w:jc w:val="both"/>
        <w:rPr>
          <w:rFonts w:ascii="Times New Roman" w:hAnsi="Times New Roman"/>
          <w:b/>
        </w:rPr>
      </w:pPr>
      <w:r w:rsidRPr="002B6307">
        <w:rPr>
          <w:rFonts w:ascii="Times New Roman" w:hAnsi="Times New Roman"/>
          <w:bCs/>
        </w:rPr>
        <w:t>Gyakorlatok látogatása</w:t>
      </w:r>
      <w:r w:rsidRPr="002B6307">
        <w:rPr>
          <w:rFonts w:ascii="Times New Roman" w:hAnsi="Times New Roman"/>
          <w:b/>
        </w:rPr>
        <w:t xml:space="preserve"> (egyéni pontszámítás)</w:t>
      </w:r>
    </w:p>
    <w:p w14:paraId="59A6DBCB" w14:textId="77777777" w:rsidR="002B6307" w:rsidRPr="002B6307" w:rsidRDefault="002B6307" w:rsidP="002B6307">
      <w:pPr>
        <w:ind w:firstLine="708"/>
        <w:jc w:val="both"/>
        <w:rPr>
          <w:b/>
          <w:sz w:val="22"/>
          <w:szCs w:val="22"/>
        </w:rPr>
      </w:pPr>
    </w:p>
    <w:p w14:paraId="714AE7C4" w14:textId="77777777" w:rsidR="002B6307" w:rsidRPr="002B6307" w:rsidRDefault="002B6307" w:rsidP="002B6307">
      <w:pPr>
        <w:jc w:val="both"/>
        <w:rPr>
          <w:rFonts w:eastAsia="Calibri"/>
          <w:strike/>
          <w:sz w:val="22"/>
          <w:szCs w:val="22"/>
        </w:rPr>
      </w:pPr>
      <w:r w:rsidRPr="002B6307">
        <w:rPr>
          <w:rFonts w:eastAsia="Calibri"/>
          <w:sz w:val="22"/>
          <w:szCs w:val="22"/>
        </w:rPr>
        <w:t xml:space="preserve">(4) Intézmény-menedzsmenttel és kari képviselettel kapcsolatos feladatok értékelésére a dékán, a dékán esetében a rektor jogosult azzal a megjegyzéssel, hogy a pontszámok nem </w:t>
      </w:r>
      <w:proofErr w:type="gramStart"/>
      <w:r w:rsidRPr="002B6307">
        <w:rPr>
          <w:rFonts w:eastAsia="Calibri"/>
          <w:sz w:val="22"/>
          <w:szCs w:val="22"/>
        </w:rPr>
        <w:t>automatikusan</w:t>
      </w:r>
      <w:proofErr w:type="gramEnd"/>
      <w:r w:rsidRPr="002B6307">
        <w:rPr>
          <w:rFonts w:eastAsia="Calibri"/>
          <w:sz w:val="22"/>
          <w:szCs w:val="22"/>
        </w:rPr>
        <w:t xml:space="preserve"> járnak, hanem a beszámítható maximumot mutatják:</w:t>
      </w:r>
      <w:r w:rsidRPr="002B6307">
        <w:rPr>
          <w:sz w:val="22"/>
          <w:szCs w:val="22"/>
        </w:rPr>
        <w:t xml:space="preserve"> </w:t>
      </w:r>
    </w:p>
    <w:p w14:paraId="61AA2F0E" w14:textId="77777777" w:rsidR="002B6307" w:rsidRPr="002B6307" w:rsidRDefault="002B6307" w:rsidP="002B6307">
      <w:pPr>
        <w:jc w:val="both"/>
        <w:rPr>
          <w:rFonts w:eastAsia="Calibri"/>
          <w:sz w:val="22"/>
          <w:szCs w:val="22"/>
        </w:rPr>
      </w:pPr>
    </w:p>
    <w:p w14:paraId="58DC18CE"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lastRenderedPageBreak/>
        <w:t xml:space="preserve">Dékán </w:t>
      </w:r>
      <w:r w:rsidRPr="002B6307">
        <w:rPr>
          <w:rFonts w:ascii="Times New Roman" w:hAnsi="Times New Roman"/>
          <w:b/>
        </w:rPr>
        <w:t>(300 pont)</w:t>
      </w:r>
    </w:p>
    <w:p w14:paraId="0EB0862F"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Dékánhelyettes </w:t>
      </w:r>
      <w:r w:rsidRPr="002B6307">
        <w:rPr>
          <w:rFonts w:ascii="Times New Roman" w:hAnsi="Times New Roman"/>
          <w:b/>
        </w:rPr>
        <w:t>(150 pont)</w:t>
      </w:r>
    </w:p>
    <w:p w14:paraId="25186968"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Intézetigazgató </w:t>
      </w:r>
      <w:r w:rsidRPr="002B6307">
        <w:rPr>
          <w:rFonts w:ascii="Times New Roman" w:hAnsi="Times New Roman"/>
          <w:b/>
        </w:rPr>
        <w:t>(65 pont)</w:t>
      </w:r>
    </w:p>
    <w:p w14:paraId="34907454"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Dékáni megbízott </w:t>
      </w:r>
      <w:r w:rsidRPr="002B6307">
        <w:rPr>
          <w:rFonts w:ascii="Times New Roman" w:hAnsi="Times New Roman"/>
          <w:b/>
        </w:rPr>
        <w:t>(30 pont)</w:t>
      </w:r>
    </w:p>
    <w:p w14:paraId="24CB812D"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Tanszékvezető </w:t>
      </w:r>
      <w:r w:rsidRPr="002B6307">
        <w:rPr>
          <w:rFonts w:ascii="Times New Roman" w:hAnsi="Times New Roman"/>
          <w:b/>
        </w:rPr>
        <w:t>(30 pont)</w:t>
      </w:r>
    </w:p>
    <w:p w14:paraId="2E2759D7"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Kari Tanács tagság </w:t>
      </w:r>
      <w:r w:rsidRPr="002B6307">
        <w:rPr>
          <w:rFonts w:ascii="Times New Roman" w:hAnsi="Times New Roman"/>
          <w:b/>
        </w:rPr>
        <w:t>(15 pont)</w:t>
      </w:r>
    </w:p>
    <w:p w14:paraId="36AE5350"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Kari Tanács állandó bizottság elnöke </w:t>
      </w:r>
      <w:r w:rsidRPr="002B6307">
        <w:rPr>
          <w:rFonts w:ascii="Times New Roman" w:hAnsi="Times New Roman"/>
          <w:b/>
        </w:rPr>
        <w:t>(2 pont/ülést)</w:t>
      </w:r>
    </w:p>
    <w:p w14:paraId="58BF0578"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Kari Tanács állandó bizottság tagja </w:t>
      </w:r>
      <w:r w:rsidRPr="002B6307">
        <w:rPr>
          <w:rFonts w:ascii="Times New Roman" w:hAnsi="Times New Roman"/>
          <w:b/>
        </w:rPr>
        <w:t>(1 pont/ülés)</w:t>
      </w:r>
    </w:p>
    <w:p w14:paraId="3341AB87"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Szenátusi tag </w:t>
      </w:r>
      <w:r w:rsidRPr="002B6307">
        <w:rPr>
          <w:rFonts w:ascii="Times New Roman" w:hAnsi="Times New Roman"/>
          <w:b/>
        </w:rPr>
        <w:t>(30 pont)</w:t>
      </w:r>
    </w:p>
    <w:p w14:paraId="795E3933"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Szenátusi állandó bizottság elnöke </w:t>
      </w:r>
      <w:r w:rsidRPr="002B6307">
        <w:rPr>
          <w:rFonts w:ascii="Times New Roman" w:hAnsi="Times New Roman"/>
          <w:b/>
        </w:rPr>
        <w:t>(20 pont)</w:t>
      </w:r>
    </w:p>
    <w:p w14:paraId="2EC54D98"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Szenátusi állandó bizottság tagja </w:t>
      </w:r>
      <w:r w:rsidRPr="002B6307">
        <w:rPr>
          <w:rFonts w:ascii="Times New Roman" w:hAnsi="Times New Roman"/>
          <w:b/>
        </w:rPr>
        <w:t>(15 pont)</w:t>
      </w:r>
    </w:p>
    <w:p w14:paraId="623E81A1" w14:textId="77777777" w:rsidR="00A6278B" w:rsidRPr="002B6307" w:rsidRDefault="00A6278B" w:rsidP="00F83E93">
      <w:pPr>
        <w:pStyle w:val="Listaszerbekezds"/>
        <w:numPr>
          <w:ilvl w:val="0"/>
          <w:numId w:val="185"/>
        </w:numPr>
        <w:spacing w:after="160" w:line="259" w:lineRule="auto"/>
        <w:jc w:val="both"/>
        <w:rPr>
          <w:rFonts w:ascii="Times New Roman" w:hAnsi="Times New Roman"/>
        </w:rPr>
      </w:pPr>
      <w:r w:rsidRPr="002B6307">
        <w:rPr>
          <w:rFonts w:ascii="Times New Roman" w:hAnsi="Times New Roman"/>
        </w:rPr>
        <w:t>Kari Erasmus koordinátor (20 pont)</w:t>
      </w:r>
    </w:p>
    <w:p w14:paraId="12FFED49" w14:textId="77777777" w:rsidR="00A6278B" w:rsidRPr="002B6307" w:rsidRDefault="00A6278B" w:rsidP="00F83E93">
      <w:pPr>
        <w:pStyle w:val="Listaszerbekezds"/>
        <w:numPr>
          <w:ilvl w:val="0"/>
          <w:numId w:val="185"/>
        </w:numPr>
        <w:spacing w:after="0" w:line="240" w:lineRule="auto"/>
        <w:jc w:val="both"/>
        <w:rPr>
          <w:rFonts w:ascii="Times New Roman" w:hAnsi="Times New Roman"/>
          <w:b/>
        </w:rPr>
      </w:pPr>
      <w:r w:rsidRPr="002B6307">
        <w:rPr>
          <w:rFonts w:ascii="Times New Roman" w:hAnsi="Times New Roman"/>
          <w:bCs/>
        </w:rPr>
        <w:t>Kari ECL nyelvvizsgahely vezető</w:t>
      </w:r>
      <w:r w:rsidRPr="002B6307">
        <w:rPr>
          <w:rFonts w:ascii="Times New Roman" w:hAnsi="Times New Roman"/>
          <w:b/>
        </w:rPr>
        <w:t xml:space="preserve"> (30 pont)</w:t>
      </w:r>
    </w:p>
    <w:p w14:paraId="7F3EBD4B" w14:textId="77777777" w:rsidR="00A6278B" w:rsidRPr="002B6307" w:rsidRDefault="00A6278B" w:rsidP="00F83E93">
      <w:pPr>
        <w:pStyle w:val="Listaszerbekezds"/>
        <w:numPr>
          <w:ilvl w:val="0"/>
          <w:numId w:val="185"/>
        </w:numPr>
        <w:spacing w:after="0" w:line="240" w:lineRule="auto"/>
        <w:jc w:val="both"/>
        <w:rPr>
          <w:rFonts w:ascii="Times New Roman" w:hAnsi="Times New Roman"/>
          <w:b/>
        </w:rPr>
      </w:pPr>
      <w:r w:rsidRPr="002B6307">
        <w:rPr>
          <w:rFonts w:ascii="Times New Roman" w:hAnsi="Times New Roman"/>
          <w:bCs/>
        </w:rPr>
        <w:t>Kari ECL nyelvvizsga koordinátor</w:t>
      </w:r>
      <w:r w:rsidRPr="002B6307">
        <w:rPr>
          <w:rFonts w:ascii="Times New Roman" w:hAnsi="Times New Roman"/>
          <w:b/>
        </w:rPr>
        <w:t xml:space="preserve"> (20 pont)</w:t>
      </w:r>
    </w:p>
    <w:p w14:paraId="24F0D3CB" w14:textId="77777777" w:rsidR="00A6278B" w:rsidRDefault="00A6278B" w:rsidP="00F83E93">
      <w:pPr>
        <w:pStyle w:val="Listaszerbekezds"/>
        <w:numPr>
          <w:ilvl w:val="0"/>
          <w:numId w:val="185"/>
        </w:numPr>
        <w:spacing w:after="0" w:line="240" w:lineRule="auto"/>
        <w:jc w:val="both"/>
        <w:rPr>
          <w:rFonts w:ascii="Times New Roman" w:hAnsi="Times New Roman"/>
          <w:b/>
        </w:rPr>
      </w:pPr>
      <w:r w:rsidRPr="002B6307">
        <w:rPr>
          <w:rFonts w:ascii="Times New Roman" w:hAnsi="Times New Roman"/>
          <w:bCs/>
        </w:rPr>
        <w:t xml:space="preserve">Belső Képzési </w:t>
      </w:r>
      <w:proofErr w:type="gramStart"/>
      <w:r w:rsidRPr="002B6307">
        <w:rPr>
          <w:rFonts w:ascii="Times New Roman" w:hAnsi="Times New Roman"/>
          <w:bCs/>
        </w:rPr>
        <w:t>Központ vezető</w:t>
      </w:r>
      <w:proofErr w:type="gramEnd"/>
      <w:r w:rsidRPr="002B6307">
        <w:rPr>
          <w:rFonts w:ascii="Times New Roman" w:hAnsi="Times New Roman"/>
          <w:b/>
        </w:rPr>
        <w:t xml:space="preserve"> (30 pont)</w:t>
      </w:r>
    </w:p>
    <w:p w14:paraId="45F9DBCD" w14:textId="77777777" w:rsidR="00A6278B" w:rsidRPr="00962C23" w:rsidRDefault="00A6278B" w:rsidP="00F83E93">
      <w:pPr>
        <w:pStyle w:val="Listaszerbekezds"/>
        <w:numPr>
          <w:ilvl w:val="0"/>
          <w:numId w:val="185"/>
        </w:numPr>
        <w:jc w:val="both"/>
        <w:rPr>
          <w:rFonts w:ascii="Times New Roman" w:hAnsi="Times New Roman"/>
        </w:rPr>
      </w:pPr>
      <w:r w:rsidRPr="00962C23">
        <w:rPr>
          <w:rFonts w:ascii="Times New Roman" w:hAnsi="Times New Roman"/>
        </w:rPr>
        <w:t xml:space="preserve">Alsófokú Pedagógusképzési Alközpont vezetője </w:t>
      </w:r>
      <w:r w:rsidRPr="00962C23">
        <w:rPr>
          <w:rFonts w:ascii="Times New Roman" w:hAnsi="Times New Roman"/>
          <w:b/>
        </w:rPr>
        <w:t>(30 pont)</w:t>
      </w:r>
      <w:r w:rsidRPr="00962C23">
        <w:rPr>
          <w:rStyle w:val="Lbjegyzet-hivatkozs"/>
          <w:rFonts w:ascii="Times New Roman" w:hAnsi="Times New Roman"/>
        </w:rPr>
        <w:footnoteReference w:id="478"/>
      </w:r>
      <w:r w:rsidRPr="00962C23">
        <w:rPr>
          <w:rFonts w:ascii="Times New Roman" w:hAnsi="Times New Roman"/>
        </w:rPr>
        <w:t xml:space="preserve"> </w:t>
      </w:r>
    </w:p>
    <w:p w14:paraId="1D722523" w14:textId="77777777" w:rsidR="00A6278B" w:rsidRPr="00962C23" w:rsidRDefault="00A6278B" w:rsidP="00F83E93">
      <w:pPr>
        <w:pStyle w:val="Listaszerbekezds"/>
        <w:numPr>
          <w:ilvl w:val="0"/>
          <w:numId w:val="185"/>
        </w:numPr>
        <w:spacing w:after="0" w:line="240" w:lineRule="auto"/>
        <w:jc w:val="both"/>
        <w:rPr>
          <w:rFonts w:ascii="Times New Roman" w:hAnsi="Times New Roman"/>
        </w:rPr>
      </w:pPr>
      <w:r w:rsidRPr="00962C23">
        <w:rPr>
          <w:rFonts w:ascii="Times New Roman" w:hAnsi="Times New Roman"/>
        </w:rPr>
        <w:t xml:space="preserve">Alsófokú Pedagógusképzési Alközpont tagja </w:t>
      </w:r>
      <w:r w:rsidRPr="00962C23">
        <w:rPr>
          <w:rFonts w:ascii="Times New Roman" w:hAnsi="Times New Roman"/>
          <w:b/>
        </w:rPr>
        <w:t>(15 pont)</w:t>
      </w:r>
      <w:r w:rsidRPr="00962C23">
        <w:rPr>
          <w:rStyle w:val="Lbjegyzet-hivatkozs"/>
          <w:rFonts w:ascii="Times New Roman" w:hAnsi="Times New Roman"/>
        </w:rPr>
        <w:footnoteReference w:id="479"/>
      </w:r>
    </w:p>
    <w:p w14:paraId="3F076524"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Kari ünnepi rendezvények szervezői</w:t>
      </w:r>
      <w:r w:rsidRPr="002B6307">
        <w:rPr>
          <w:rFonts w:ascii="Times New Roman" w:hAnsi="Times New Roman"/>
          <w:b/>
        </w:rPr>
        <w:t xml:space="preserve"> (10 pont)</w:t>
      </w:r>
    </w:p>
    <w:p w14:paraId="19BFDD1D" w14:textId="77777777" w:rsidR="00A6278B" w:rsidRPr="002B6307" w:rsidRDefault="00A6278B" w:rsidP="00F83E93">
      <w:pPr>
        <w:pStyle w:val="Listaszerbekezds"/>
        <w:numPr>
          <w:ilvl w:val="0"/>
          <w:numId w:val="185"/>
        </w:numPr>
        <w:spacing w:after="0" w:line="240" w:lineRule="auto"/>
        <w:jc w:val="both"/>
        <w:rPr>
          <w:rFonts w:ascii="Times New Roman" w:hAnsi="Times New Roman"/>
        </w:rPr>
      </w:pPr>
      <w:r w:rsidRPr="002B6307">
        <w:rPr>
          <w:rFonts w:ascii="Times New Roman" w:hAnsi="Times New Roman"/>
        </w:rPr>
        <w:t xml:space="preserve">Beiskolázással összefüggő tevékenység </w:t>
      </w:r>
      <w:r w:rsidRPr="002B6307">
        <w:rPr>
          <w:rFonts w:ascii="Times New Roman" w:hAnsi="Times New Roman"/>
          <w:b/>
        </w:rPr>
        <w:t>(3 pont/program)</w:t>
      </w:r>
    </w:p>
    <w:p w14:paraId="70925C80" w14:textId="77777777" w:rsidR="00A6278B" w:rsidRPr="002B6307" w:rsidRDefault="00A6278B" w:rsidP="00F83E93">
      <w:pPr>
        <w:pStyle w:val="Listaszerbekezds"/>
        <w:numPr>
          <w:ilvl w:val="0"/>
          <w:numId w:val="185"/>
        </w:numPr>
        <w:spacing w:after="0" w:line="240" w:lineRule="auto"/>
        <w:jc w:val="both"/>
        <w:rPr>
          <w:rFonts w:ascii="Times New Roman" w:hAnsi="Times New Roman"/>
          <w:b/>
        </w:rPr>
      </w:pPr>
      <w:r w:rsidRPr="002B6307">
        <w:rPr>
          <w:rFonts w:ascii="Times New Roman" w:hAnsi="Times New Roman"/>
        </w:rPr>
        <w:t xml:space="preserve">Pályázatokkal és egyéb kari bevételt generáló projektekkel összefüggő tevékenység </w:t>
      </w:r>
      <w:r w:rsidRPr="002B6307">
        <w:rPr>
          <w:rFonts w:ascii="Times New Roman" w:hAnsi="Times New Roman"/>
          <w:b/>
        </w:rPr>
        <w:t>(egyéni pontszámítás)</w:t>
      </w:r>
    </w:p>
    <w:p w14:paraId="39F398D4" w14:textId="77777777" w:rsidR="002B6307" w:rsidRPr="002B6307" w:rsidRDefault="002B6307" w:rsidP="002B6307">
      <w:pPr>
        <w:contextualSpacing/>
        <w:jc w:val="center"/>
        <w:rPr>
          <w:rFonts w:eastAsia="Calibri"/>
          <w:b/>
          <w:iCs/>
          <w:sz w:val="22"/>
          <w:szCs w:val="22"/>
        </w:rPr>
      </w:pPr>
    </w:p>
    <w:p w14:paraId="513AE072" w14:textId="77777777" w:rsidR="002B6307" w:rsidRPr="002B6307" w:rsidRDefault="002B6307" w:rsidP="002B6307">
      <w:pPr>
        <w:contextualSpacing/>
        <w:jc w:val="center"/>
        <w:rPr>
          <w:rFonts w:eastAsia="Calibri"/>
          <w:b/>
          <w:iCs/>
          <w:sz w:val="22"/>
          <w:szCs w:val="22"/>
        </w:rPr>
      </w:pPr>
      <w:r w:rsidRPr="002B6307">
        <w:rPr>
          <w:rFonts w:eastAsia="Calibri"/>
          <w:b/>
          <w:iCs/>
          <w:sz w:val="22"/>
          <w:szCs w:val="22"/>
        </w:rPr>
        <w:t>Az elért eredmények minősítése</w:t>
      </w:r>
    </w:p>
    <w:p w14:paraId="5AC150AD" w14:textId="77777777" w:rsidR="002B6307" w:rsidRPr="002B6307" w:rsidRDefault="002B6307" w:rsidP="002B6307">
      <w:pPr>
        <w:contextualSpacing/>
        <w:jc w:val="both"/>
        <w:rPr>
          <w:rFonts w:eastAsia="Calibri"/>
          <w:b/>
          <w:bCs/>
          <w:iCs/>
          <w:sz w:val="22"/>
          <w:szCs w:val="22"/>
          <w:u w:val="single"/>
        </w:rPr>
      </w:pPr>
    </w:p>
    <w:p w14:paraId="4540DFD4" w14:textId="77777777" w:rsidR="002B6307" w:rsidRPr="002B6307" w:rsidRDefault="002B6307" w:rsidP="002B6307">
      <w:pPr>
        <w:jc w:val="both"/>
        <w:rPr>
          <w:iCs/>
          <w:sz w:val="22"/>
          <w:szCs w:val="22"/>
        </w:rPr>
      </w:pPr>
      <w:r w:rsidRPr="002B6307">
        <w:rPr>
          <w:b/>
          <w:iCs/>
          <w:sz w:val="22"/>
          <w:szCs w:val="22"/>
        </w:rPr>
        <w:t>4. §</w:t>
      </w:r>
      <w:r w:rsidRPr="002B6307">
        <w:rPr>
          <w:b/>
          <w:bCs/>
          <w:iCs/>
          <w:sz w:val="22"/>
          <w:szCs w:val="22"/>
        </w:rPr>
        <w:t xml:space="preserve"> </w:t>
      </w:r>
      <w:r w:rsidRPr="002B6307">
        <w:rPr>
          <w:iCs/>
          <w:sz w:val="22"/>
          <w:szCs w:val="22"/>
        </w:rPr>
        <w:t xml:space="preserve">(1) A TÉR minősítési rendje oktatói </w:t>
      </w:r>
      <w:proofErr w:type="gramStart"/>
      <w:r w:rsidRPr="002B6307">
        <w:rPr>
          <w:iCs/>
          <w:sz w:val="22"/>
          <w:szCs w:val="22"/>
        </w:rPr>
        <w:t>kategóriák</w:t>
      </w:r>
      <w:proofErr w:type="gramEnd"/>
      <w:r w:rsidRPr="002B6307">
        <w:rPr>
          <w:iCs/>
          <w:sz w:val="22"/>
          <w:szCs w:val="22"/>
        </w:rPr>
        <w:t xml:space="preserve"> szerint az alábbi minimális éves pontszámot kívánja meg:</w:t>
      </w:r>
    </w:p>
    <w:p w14:paraId="64D79FD4" w14:textId="77777777" w:rsidR="002B6307" w:rsidRPr="002B6307" w:rsidRDefault="002B6307" w:rsidP="00F83E93">
      <w:pPr>
        <w:pStyle w:val="Listaszerbekezds"/>
        <w:numPr>
          <w:ilvl w:val="0"/>
          <w:numId w:val="162"/>
        </w:numPr>
        <w:spacing w:after="0" w:line="240" w:lineRule="auto"/>
        <w:ind w:left="284" w:firstLine="0"/>
        <w:jc w:val="both"/>
        <w:rPr>
          <w:rFonts w:ascii="Times New Roman" w:hAnsi="Times New Roman"/>
          <w:iCs/>
        </w:rPr>
      </w:pPr>
      <w:r w:rsidRPr="002B6307">
        <w:rPr>
          <w:rFonts w:ascii="Times New Roman" w:hAnsi="Times New Roman"/>
          <w:iCs/>
        </w:rPr>
        <w:t>egyetemi tanár, tudományos tanácsadó, kutatóprofesszor 650 pont</w:t>
      </w:r>
    </w:p>
    <w:p w14:paraId="3F1B83B9" w14:textId="77777777" w:rsidR="002B6307" w:rsidRPr="002B6307" w:rsidRDefault="002B6307" w:rsidP="00F83E93">
      <w:pPr>
        <w:pStyle w:val="Listaszerbekezds"/>
        <w:numPr>
          <w:ilvl w:val="0"/>
          <w:numId w:val="162"/>
        </w:numPr>
        <w:spacing w:after="0" w:line="240" w:lineRule="auto"/>
        <w:ind w:left="284" w:firstLine="0"/>
        <w:jc w:val="both"/>
        <w:rPr>
          <w:rFonts w:ascii="Times New Roman" w:hAnsi="Times New Roman"/>
          <w:iCs/>
        </w:rPr>
      </w:pPr>
      <w:r w:rsidRPr="002B6307">
        <w:rPr>
          <w:rFonts w:ascii="Times New Roman" w:hAnsi="Times New Roman"/>
          <w:iCs/>
        </w:rPr>
        <w:t>főiskolai tanár, egyetemi docens, tudományos főmunkatárs 600 pont</w:t>
      </w:r>
    </w:p>
    <w:p w14:paraId="1D9925C7" w14:textId="77777777" w:rsidR="002B6307" w:rsidRPr="002B6307" w:rsidRDefault="002B6307" w:rsidP="00F83E93">
      <w:pPr>
        <w:pStyle w:val="Listaszerbekezds"/>
        <w:numPr>
          <w:ilvl w:val="0"/>
          <w:numId w:val="162"/>
        </w:numPr>
        <w:spacing w:after="0" w:line="240" w:lineRule="auto"/>
        <w:ind w:left="284" w:firstLine="0"/>
        <w:jc w:val="both"/>
        <w:rPr>
          <w:rFonts w:ascii="Times New Roman" w:hAnsi="Times New Roman"/>
          <w:iCs/>
        </w:rPr>
      </w:pPr>
      <w:r w:rsidRPr="002B6307">
        <w:rPr>
          <w:rFonts w:ascii="Times New Roman" w:hAnsi="Times New Roman"/>
          <w:iCs/>
        </w:rPr>
        <w:t>adjunktus, tudományos munkatárs, mesteroktató 550 pont</w:t>
      </w:r>
    </w:p>
    <w:p w14:paraId="174B0768" w14:textId="77777777" w:rsidR="002B6307" w:rsidRPr="002B6307" w:rsidRDefault="002B6307" w:rsidP="00F83E93">
      <w:pPr>
        <w:pStyle w:val="Listaszerbekezds"/>
        <w:numPr>
          <w:ilvl w:val="0"/>
          <w:numId w:val="162"/>
        </w:numPr>
        <w:spacing w:after="0" w:line="240" w:lineRule="auto"/>
        <w:ind w:left="284" w:firstLine="0"/>
        <w:jc w:val="both"/>
        <w:rPr>
          <w:rFonts w:ascii="Times New Roman" w:hAnsi="Times New Roman"/>
          <w:iCs/>
        </w:rPr>
      </w:pPr>
      <w:r w:rsidRPr="002B6307">
        <w:rPr>
          <w:rFonts w:ascii="Times New Roman" w:hAnsi="Times New Roman"/>
          <w:iCs/>
        </w:rPr>
        <w:t>tanársegéd, tudományos segédmunkatárs 500 pont</w:t>
      </w:r>
    </w:p>
    <w:p w14:paraId="3467D887" w14:textId="77777777" w:rsidR="002B6307" w:rsidRPr="002B6307" w:rsidRDefault="002B6307" w:rsidP="002B6307">
      <w:pPr>
        <w:pStyle w:val="Listaszerbekezds"/>
        <w:spacing w:after="0" w:line="240" w:lineRule="auto"/>
        <w:ind w:left="284"/>
        <w:jc w:val="both"/>
        <w:rPr>
          <w:rFonts w:ascii="Times New Roman" w:hAnsi="Times New Roman"/>
          <w:iCs/>
        </w:rPr>
      </w:pPr>
    </w:p>
    <w:p w14:paraId="0EEA9248" w14:textId="77777777" w:rsidR="002B6307" w:rsidRPr="002B6307" w:rsidRDefault="002B6307" w:rsidP="002B6307">
      <w:pPr>
        <w:jc w:val="both"/>
        <w:rPr>
          <w:iCs/>
          <w:sz w:val="22"/>
          <w:szCs w:val="22"/>
        </w:rPr>
      </w:pPr>
      <w:r w:rsidRPr="002B6307">
        <w:rPr>
          <w:iCs/>
          <w:sz w:val="22"/>
          <w:szCs w:val="22"/>
        </w:rPr>
        <w:t>(2) Az oktató a minősítés eredményeként:</w:t>
      </w:r>
    </w:p>
    <w:p w14:paraId="57FA8276" w14:textId="77777777" w:rsidR="002B6307" w:rsidRPr="002B6307" w:rsidRDefault="002B6307" w:rsidP="00F83E93">
      <w:pPr>
        <w:pStyle w:val="Listaszerbekezds"/>
        <w:numPr>
          <w:ilvl w:val="0"/>
          <w:numId w:val="163"/>
        </w:numPr>
        <w:spacing w:after="0" w:line="240" w:lineRule="auto"/>
        <w:ind w:left="284" w:firstLine="0"/>
        <w:jc w:val="both"/>
        <w:rPr>
          <w:rFonts w:ascii="Times New Roman" w:hAnsi="Times New Roman"/>
          <w:iCs/>
        </w:rPr>
      </w:pPr>
      <w:r w:rsidRPr="002B6307">
        <w:rPr>
          <w:rFonts w:ascii="Times New Roman" w:hAnsi="Times New Roman"/>
          <w:iCs/>
        </w:rPr>
        <w:t>kiválóan alkalmas (80-100%)</w:t>
      </w:r>
    </w:p>
    <w:p w14:paraId="406BCC72" w14:textId="77777777" w:rsidR="002B6307" w:rsidRPr="002B6307" w:rsidRDefault="002B6307" w:rsidP="00F83E93">
      <w:pPr>
        <w:pStyle w:val="Listaszerbekezds"/>
        <w:numPr>
          <w:ilvl w:val="0"/>
          <w:numId w:val="163"/>
        </w:numPr>
        <w:spacing w:after="0" w:line="240" w:lineRule="auto"/>
        <w:ind w:left="284" w:firstLine="0"/>
        <w:jc w:val="both"/>
        <w:rPr>
          <w:rFonts w:ascii="Times New Roman" w:hAnsi="Times New Roman"/>
          <w:iCs/>
        </w:rPr>
      </w:pPr>
      <w:r w:rsidRPr="002B6307">
        <w:rPr>
          <w:rFonts w:ascii="Times New Roman" w:hAnsi="Times New Roman"/>
          <w:iCs/>
        </w:rPr>
        <w:t>alkalmas (60-79%)</w:t>
      </w:r>
    </w:p>
    <w:p w14:paraId="028F1A9E" w14:textId="77777777" w:rsidR="002B6307" w:rsidRPr="002B6307" w:rsidRDefault="002B6307" w:rsidP="00F83E93">
      <w:pPr>
        <w:pStyle w:val="Listaszerbekezds"/>
        <w:numPr>
          <w:ilvl w:val="0"/>
          <w:numId w:val="163"/>
        </w:numPr>
        <w:spacing w:after="0" w:line="240" w:lineRule="auto"/>
        <w:ind w:left="284" w:firstLine="0"/>
        <w:jc w:val="both"/>
        <w:rPr>
          <w:rFonts w:ascii="Times New Roman" w:hAnsi="Times New Roman"/>
          <w:iCs/>
        </w:rPr>
      </w:pPr>
      <w:r w:rsidRPr="002B6307">
        <w:rPr>
          <w:rFonts w:ascii="Times New Roman" w:hAnsi="Times New Roman"/>
          <w:iCs/>
        </w:rPr>
        <w:t>kevéssé alkalmas (30-59%)</w:t>
      </w:r>
    </w:p>
    <w:p w14:paraId="46FCD3C6" w14:textId="77777777" w:rsidR="002B6307" w:rsidRPr="002B6307" w:rsidRDefault="002B6307" w:rsidP="00F83E93">
      <w:pPr>
        <w:pStyle w:val="Listaszerbekezds"/>
        <w:numPr>
          <w:ilvl w:val="0"/>
          <w:numId w:val="163"/>
        </w:numPr>
        <w:spacing w:after="0" w:line="240" w:lineRule="auto"/>
        <w:ind w:left="284" w:firstLine="0"/>
        <w:jc w:val="both"/>
        <w:rPr>
          <w:rFonts w:ascii="Times New Roman" w:hAnsi="Times New Roman"/>
          <w:iCs/>
        </w:rPr>
      </w:pPr>
      <w:r w:rsidRPr="002B6307">
        <w:rPr>
          <w:rFonts w:ascii="Times New Roman" w:hAnsi="Times New Roman"/>
          <w:iCs/>
        </w:rPr>
        <w:t>alkalmatlan (30 % alatt)</w:t>
      </w:r>
    </w:p>
    <w:p w14:paraId="6C552B7F" w14:textId="77777777" w:rsidR="002B6307" w:rsidRPr="002B6307" w:rsidRDefault="002B6307" w:rsidP="002B6307">
      <w:pPr>
        <w:pStyle w:val="Listaszerbekezds"/>
        <w:spacing w:after="0" w:line="240" w:lineRule="auto"/>
        <w:ind w:left="284"/>
        <w:jc w:val="both"/>
        <w:rPr>
          <w:rFonts w:ascii="Times New Roman" w:hAnsi="Times New Roman"/>
          <w:iCs/>
        </w:rPr>
      </w:pPr>
      <w:proofErr w:type="gramStart"/>
      <w:r w:rsidRPr="002B6307">
        <w:rPr>
          <w:rFonts w:ascii="Times New Roman" w:hAnsi="Times New Roman"/>
          <w:iCs/>
        </w:rPr>
        <w:t>minősítést</w:t>
      </w:r>
      <w:proofErr w:type="gramEnd"/>
      <w:r w:rsidRPr="002B6307">
        <w:rPr>
          <w:rFonts w:ascii="Times New Roman" w:hAnsi="Times New Roman"/>
          <w:iCs/>
        </w:rPr>
        <w:t xml:space="preserve"> kaphat.</w:t>
      </w:r>
    </w:p>
    <w:p w14:paraId="1A728C71" w14:textId="77777777" w:rsidR="002B6307" w:rsidRPr="002B6307" w:rsidRDefault="002B6307" w:rsidP="002B6307">
      <w:pPr>
        <w:contextualSpacing/>
        <w:jc w:val="center"/>
        <w:rPr>
          <w:rFonts w:eastAsia="Calibri"/>
          <w:b/>
          <w:sz w:val="22"/>
          <w:szCs w:val="22"/>
        </w:rPr>
      </w:pPr>
    </w:p>
    <w:p w14:paraId="378294B5" w14:textId="77777777" w:rsidR="002B6307" w:rsidRPr="002B6307" w:rsidRDefault="002B6307" w:rsidP="002B6307">
      <w:pPr>
        <w:contextualSpacing/>
        <w:jc w:val="center"/>
        <w:rPr>
          <w:rFonts w:eastAsia="Calibri"/>
          <w:b/>
          <w:sz w:val="22"/>
          <w:szCs w:val="22"/>
        </w:rPr>
      </w:pPr>
    </w:p>
    <w:p w14:paraId="278FAC70" w14:textId="77777777" w:rsidR="002B6307" w:rsidRPr="002B6307" w:rsidRDefault="002B6307" w:rsidP="002B6307">
      <w:pPr>
        <w:contextualSpacing/>
        <w:jc w:val="center"/>
        <w:rPr>
          <w:rFonts w:eastAsia="Calibri"/>
          <w:b/>
          <w:sz w:val="22"/>
          <w:szCs w:val="22"/>
        </w:rPr>
      </w:pPr>
      <w:r w:rsidRPr="002B6307">
        <w:rPr>
          <w:rFonts w:eastAsia="Calibri"/>
          <w:b/>
          <w:sz w:val="22"/>
          <w:szCs w:val="22"/>
        </w:rPr>
        <w:t>Záró és hatályba léptető rendelkezések</w:t>
      </w:r>
    </w:p>
    <w:p w14:paraId="4DD6FF81" w14:textId="77777777" w:rsidR="002B6307" w:rsidRPr="002B6307" w:rsidRDefault="002B6307" w:rsidP="002B6307">
      <w:pPr>
        <w:contextualSpacing/>
        <w:jc w:val="center"/>
        <w:rPr>
          <w:rFonts w:eastAsia="Calibri"/>
          <w:b/>
          <w:sz w:val="22"/>
          <w:szCs w:val="22"/>
        </w:rPr>
      </w:pPr>
    </w:p>
    <w:p w14:paraId="4C14E841" w14:textId="77777777" w:rsidR="002B6307" w:rsidRPr="002B6307" w:rsidRDefault="002B6307" w:rsidP="002B6307">
      <w:pPr>
        <w:contextualSpacing/>
        <w:jc w:val="both"/>
        <w:rPr>
          <w:rFonts w:eastAsia="Calibri"/>
          <w:sz w:val="22"/>
          <w:szCs w:val="22"/>
        </w:rPr>
      </w:pPr>
      <w:r w:rsidRPr="002B6307">
        <w:rPr>
          <w:rFonts w:eastAsia="Calibri"/>
          <w:b/>
          <w:sz w:val="22"/>
          <w:szCs w:val="22"/>
        </w:rPr>
        <w:t>5. §</w:t>
      </w:r>
      <w:r w:rsidRPr="002B6307">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591EF122" w14:textId="77777777" w:rsidR="002B6307" w:rsidRPr="002B6307" w:rsidRDefault="002B6307" w:rsidP="002B6307">
      <w:pPr>
        <w:contextualSpacing/>
        <w:jc w:val="both"/>
        <w:rPr>
          <w:rFonts w:eastAsia="Calibri"/>
          <w:sz w:val="22"/>
          <w:szCs w:val="22"/>
        </w:rPr>
      </w:pPr>
    </w:p>
    <w:p w14:paraId="1315984B" w14:textId="77777777" w:rsidR="002B6307" w:rsidRPr="002B6307" w:rsidRDefault="002B6307" w:rsidP="002B6307">
      <w:pPr>
        <w:contextualSpacing/>
        <w:jc w:val="both"/>
        <w:rPr>
          <w:rFonts w:eastAsia="Calibri"/>
          <w:sz w:val="22"/>
          <w:szCs w:val="22"/>
        </w:rPr>
      </w:pPr>
      <w:r w:rsidRPr="002B6307">
        <w:rPr>
          <w:rFonts w:eastAsia="Calibri"/>
          <w:sz w:val="22"/>
          <w:szCs w:val="22"/>
        </w:rPr>
        <w:t xml:space="preserve">(2)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a Kar dékáni utasításban rendelkezhet. </w:t>
      </w:r>
    </w:p>
    <w:p w14:paraId="3E804126" w14:textId="77777777" w:rsidR="002B6307" w:rsidRPr="002B6307" w:rsidRDefault="002B6307" w:rsidP="002B6307">
      <w:pPr>
        <w:rPr>
          <w:sz w:val="22"/>
          <w:szCs w:val="22"/>
        </w:rPr>
      </w:pPr>
    </w:p>
    <w:p w14:paraId="595028B8" w14:textId="77777777" w:rsidR="002B6307" w:rsidRDefault="002B6307" w:rsidP="00FD0545">
      <w:pPr>
        <w:contextualSpacing/>
        <w:jc w:val="both"/>
        <w:rPr>
          <w:rFonts w:eastAsia="Calibri"/>
          <w:sz w:val="22"/>
          <w:szCs w:val="22"/>
        </w:rPr>
      </w:pPr>
    </w:p>
    <w:p w14:paraId="7336F37B" w14:textId="77777777" w:rsidR="00EF20BD" w:rsidRPr="002B6307" w:rsidRDefault="00EF20BD" w:rsidP="00FD0545">
      <w:pPr>
        <w:contextualSpacing/>
        <w:jc w:val="both"/>
        <w:rPr>
          <w:rFonts w:eastAsia="Calibri"/>
          <w:sz w:val="22"/>
          <w:szCs w:val="22"/>
        </w:rPr>
      </w:pPr>
    </w:p>
    <w:p w14:paraId="1E27B151" w14:textId="77777777" w:rsidR="002B6307" w:rsidRPr="00934AB0" w:rsidRDefault="002B6307" w:rsidP="002B6307">
      <w:pPr>
        <w:contextualSpacing/>
        <w:jc w:val="both"/>
        <w:rPr>
          <w:rFonts w:eastAsia="Calibri"/>
          <w:b/>
          <w:sz w:val="22"/>
          <w:szCs w:val="22"/>
          <w:u w:val="single"/>
        </w:rPr>
      </w:pPr>
      <w:r w:rsidRPr="00934AB0">
        <w:rPr>
          <w:rFonts w:eastAsia="Calibri"/>
          <w:b/>
          <w:sz w:val="22"/>
          <w:szCs w:val="22"/>
          <w:u w:val="single"/>
        </w:rPr>
        <w:lastRenderedPageBreak/>
        <w:t>Záradék:</w:t>
      </w:r>
    </w:p>
    <w:p w14:paraId="73CA3F2C" w14:textId="77777777" w:rsidR="002B6307" w:rsidRDefault="002B6307" w:rsidP="002B6307">
      <w:pPr>
        <w:pStyle w:val="paragraph"/>
        <w:shd w:val="clear" w:color="auto" w:fill="FFFFFF" w:themeFill="background1"/>
        <w:spacing w:before="0" w:beforeAutospacing="0" w:after="0" w:afterAutospacing="0"/>
        <w:jc w:val="both"/>
        <w:rPr>
          <w:rStyle w:val="normaltextrun"/>
          <w:bCs/>
          <w:i/>
          <w:sz w:val="20"/>
          <w:szCs w:val="22"/>
        </w:rPr>
      </w:pPr>
      <w:r w:rsidRPr="002B6307">
        <w:rPr>
          <w:rStyle w:val="normaltextrun"/>
          <w:bCs/>
          <w:i/>
          <w:sz w:val="20"/>
          <w:szCs w:val="22"/>
        </w:rPr>
        <w:t>A Pécsi Tudományegyetem foglalkoztatási követelményrendszere 1/7. számú melléklete, a Pécsi Tudományegyetem Kultúratudományi, Pedagógusképző és Vidékfejlesztési Karának Teljesítményértékelési Szabályzata átfogó módosítását az Oktatási Bizottság 44/2020. (04.16.) számú határozatával hagyta jóvá. A módosított melléklet 2020. július 1. napjával hatályos és először a 2020/2021. tanév vonatkozásában alkalmazandó.</w:t>
      </w:r>
    </w:p>
    <w:p w14:paraId="30E67784" w14:textId="77777777" w:rsidR="00EF20BD" w:rsidRPr="002B6307" w:rsidRDefault="00EF20BD" w:rsidP="002B6307">
      <w:pPr>
        <w:pStyle w:val="paragraph"/>
        <w:shd w:val="clear" w:color="auto" w:fill="FFFFFF" w:themeFill="background1"/>
        <w:spacing w:before="0" w:beforeAutospacing="0" w:after="0" w:afterAutospacing="0"/>
        <w:jc w:val="both"/>
        <w:rPr>
          <w:rStyle w:val="normaltextrun"/>
          <w:bCs/>
          <w:i/>
          <w:sz w:val="20"/>
          <w:szCs w:val="22"/>
        </w:rPr>
      </w:pPr>
    </w:p>
    <w:p w14:paraId="1483D899" w14:textId="77777777" w:rsidR="00EF20BD" w:rsidRPr="00962C23" w:rsidRDefault="00EF20BD" w:rsidP="00EF20BD">
      <w:pPr>
        <w:pStyle w:val="paragraph"/>
        <w:shd w:val="clear" w:color="auto" w:fill="FFFFFF" w:themeFill="background1"/>
        <w:spacing w:before="0" w:beforeAutospacing="0" w:after="0" w:afterAutospacing="0"/>
        <w:jc w:val="both"/>
        <w:rPr>
          <w:rStyle w:val="normaltextrun"/>
          <w:bCs/>
          <w:sz w:val="20"/>
          <w:szCs w:val="22"/>
        </w:rPr>
      </w:pPr>
      <w:r w:rsidRPr="00962C23">
        <w:rPr>
          <w:rStyle w:val="normaltextrun"/>
          <w:bCs/>
          <w:sz w:val="20"/>
          <w:szCs w:val="22"/>
        </w:rPr>
        <w:t>A Pécsi Tudományegyetem foglalkoztatási követelményrendszere 1/7. számú melléklete, a Pécsi Tudományegyetem Kultúratudományi, Pedagógusképző és Vidékfejlesztési Karának Teljesítményértékelési Szabályzata módosítását az Oktatási Bizottság 61/2020. (07.03.) OB határozat számú határozatával hagyta jóvá. A módosított melléklet 2020. július 3. napjával hatályos és először a 2020/2021. tanév vonatkozásában alkalmazandó.</w:t>
      </w:r>
    </w:p>
    <w:p w14:paraId="211930AA" w14:textId="77777777" w:rsidR="002B6307" w:rsidRPr="00E13CE5" w:rsidRDefault="002B6307" w:rsidP="00FD0545">
      <w:pPr>
        <w:contextualSpacing/>
        <w:jc w:val="both"/>
        <w:rPr>
          <w:rFonts w:eastAsia="Calibri"/>
          <w:sz w:val="22"/>
          <w:szCs w:val="22"/>
        </w:rPr>
      </w:pPr>
    </w:p>
    <w:p w14:paraId="2AC89D45" w14:textId="77777777" w:rsidR="00E66932" w:rsidRPr="00472194" w:rsidRDefault="00FD0545" w:rsidP="00E66932">
      <w:pPr>
        <w:contextualSpacing/>
        <w:jc w:val="center"/>
        <w:rPr>
          <w:b/>
          <w:sz w:val="22"/>
          <w:szCs w:val="22"/>
        </w:rPr>
      </w:pPr>
      <w:r w:rsidRPr="00E13CE5">
        <w:br w:type="page"/>
      </w:r>
      <w:r w:rsidR="00E66932" w:rsidRPr="00472194">
        <w:rPr>
          <w:b/>
          <w:sz w:val="22"/>
          <w:szCs w:val="22"/>
        </w:rPr>
        <w:lastRenderedPageBreak/>
        <w:t>1/8. számú melléklet</w:t>
      </w:r>
    </w:p>
    <w:p w14:paraId="6D461ACF" w14:textId="77777777" w:rsidR="00E66932" w:rsidRPr="00472194" w:rsidRDefault="00E66932" w:rsidP="00E66932">
      <w:pPr>
        <w:contextualSpacing/>
        <w:jc w:val="center"/>
        <w:rPr>
          <w:b/>
          <w:sz w:val="22"/>
          <w:szCs w:val="22"/>
        </w:rPr>
      </w:pPr>
      <w:r w:rsidRPr="00472194">
        <w:rPr>
          <w:b/>
          <w:sz w:val="22"/>
          <w:szCs w:val="22"/>
        </w:rPr>
        <w:t>A Pécsi Tudományegyetem Műszaki és Informatikai Karának Teljesítményértékelési Szabályzata</w:t>
      </w:r>
      <w:r w:rsidRPr="00472194">
        <w:rPr>
          <w:rStyle w:val="Lbjegyzet-hivatkozs"/>
          <w:b/>
          <w:sz w:val="22"/>
          <w:szCs w:val="22"/>
        </w:rPr>
        <w:footnoteReference w:id="480"/>
      </w:r>
    </w:p>
    <w:p w14:paraId="357F60A0" w14:textId="77777777" w:rsidR="00E66932" w:rsidRPr="00472194" w:rsidRDefault="00E66932" w:rsidP="00E66932">
      <w:pPr>
        <w:contextualSpacing/>
        <w:rPr>
          <w:b/>
        </w:rPr>
      </w:pPr>
    </w:p>
    <w:p w14:paraId="72AAA37A" w14:textId="77777777" w:rsidR="00E66932" w:rsidRPr="00472194" w:rsidRDefault="00E66932" w:rsidP="00E66932">
      <w:pPr>
        <w:contextualSpacing/>
        <w:rPr>
          <w:rFonts w:eastAsia="Calibri"/>
          <w:sz w:val="22"/>
          <w:szCs w:val="22"/>
        </w:rPr>
      </w:pPr>
    </w:p>
    <w:p w14:paraId="174E78DB" w14:textId="77777777" w:rsidR="00E66932" w:rsidRPr="00472194" w:rsidRDefault="00E66932" w:rsidP="00E66932">
      <w:pPr>
        <w:autoSpaceDE w:val="0"/>
        <w:autoSpaceDN w:val="0"/>
        <w:adjustRightInd w:val="0"/>
        <w:spacing w:line="276" w:lineRule="auto"/>
        <w:jc w:val="both"/>
        <w:rPr>
          <w:rFonts w:eastAsia="Calibri"/>
          <w:sz w:val="22"/>
          <w:szCs w:val="22"/>
        </w:rPr>
      </w:pPr>
      <w:r w:rsidRPr="00472194">
        <w:rPr>
          <w:rFonts w:eastAsia="Calibri"/>
          <w:sz w:val="22"/>
          <w:szCs w:val="22"/>
        </w:rPr>
        <w:t>A PTE Műszaki és Informatikai Karának (továbbiakban: MIK vagy Kar) kiemelt célja az egyéni életpályák követése és segítése, valamint az oktatás és a kutatás színvonalának folyamatos javítása. Az oktatási és kutatási tevékenységet végző, vagy abban részt vevő munkatársak teljesítményértékelése (továbbiakban: TÉR) során a minősítés szempontjainak alapjául szolgáló értékelési rendet a Kar jelen szabályzatban határozza meg.</w:t>
      </w:r>
    </w:p>
    <w:p w14:paraId="387F3503" w14:textId="77777777" w:rsidR="00E66932" w:rsidRPr="00472194" w:rsidRDefault="00E66932" w:rsidP="00E66932">
      <w:pPr>
        <w:spacing w:line="276" w:lineRule="auto"/>
        <w:contextualSpacing/>
        <w:rPr>
          <w:rFonts w:eastAsia="Calibri"/>
          <w:sz w:val="22"/>
          <w:szCs w:val="22"/>
        </w:rPr>
      </w:pPr>
    </w:p>
    <w:p w14:paraId="03218A90" w14:textId="77777777" w:rsidR="00E66932" w:rsidRPr="00472194" w:rsidRDefault="00E66932" w:rsidP="00E66932">
      <w:pPr>
        <w:spacing w:line="276" w:lineRule="auto"/>
        <w:jc w:val="center"/>
        <w:rPr>
          <w:rFonts w:eastAsia="Calibri"/>
          <w:b/>
          <w:sz w:val="22"/>
          <w:szCs w:val="22"/>
        </w:rPr>
      </w:pPr>
    </w:p>
    <w:p w14:paraId="38CD5AF4" w14:textId="77777777" w:rsidR="00E66932" w:rsidRPr="00472194" w:rsidRDefault="00E66932" w:rsidP="00E66932">
      <w:pPr>
        <w:spacing w:line="276" w:lineRule="auto"/>
        <w:jc w:val="center"/>
        <w:rPr>
          <w:rFonts w:eastAsia="Calibri"/>
          <w:b/>
          <w:sz w:val="22"/>
          <w:szCs w:val="22"/>
        </w:rPr>
      </w:pPr>
      <w:r w:rsidRPr="00472194">
        <w:rPr>
          <w:rFonts w:eastAsia="Calibri"/>
          <w:b/>
          <w:sz w:val="22"/>
          <w:szCs w:val="22"/>
        </w:rPr>
        <w:t>A szabályzat személyi hatálya</w:t>
      </w:r>
    </w:p>
    <w:p w14:paraId="392715AA" w14:textId="77777777" w:rsidR="00E66932" w:rsidRPr="00472194" w:rsidRDefault="00E66932" w:rsidP="00E66932">
      <w:pPr>
        <w:spacing w:line="276" w:lineRule="auto"/>
        <w:rPr>
          <w:rFonts w:eastAsia="Calibri"/>
          <w:sz w:val="22"/>
          <w:szCs w:val="22"/>
        </w:rPr>
      </w:pPr>
    </w:p>
    <w:p w14:paraId="2B76EF21" w14:textId="77777777" w:rsidR="00E66932" w:rsidRPr="00472194" w:rsidRDefault="00E66932" w:rsidP="00E66932">
      <w:pPr>
        <w:autoSpaceDE w:val="0"/>
        <w:autoSpaceDN w:val="0"/>
        <w:adjustRightInd w:val="0"/>
        <w:spacing w:line="276" w:lineRule="auto"/>
        <w:jc w:val="both"/>
        <w:rPr>
          <w:rFonts w:eastAsia="Calibri"/>
          <w:sz w:val="22"/>
          <w:szCs w:val="22"/>
        </w:rPr>
      </w:pPr>
      <w:r w:rsidRPr="00472194">
        <w:rPr>
          <w:rFonts w:eastAsia="Calibri"/>
          <w:b/>
          <w:sz w:val="22"/>
          <w:szCs w:val="22"/>
        </w:rPr>
        <w:t>1. §</w:t>
      </w:r>
      <w:r w:rsidRPr="00472194">
        <w:rPr>
          <w:rFonts w:eastAsia="Calibri"/>
          <w:sz w:val="22"/>
          <w:szCs w:val="22"/>
        </w:rPr>
        <w:t xml:space="preserve"> (1) A jelen szabályzat személyi hatálya kiterjed a Karral közalkalmazotti jogviszonyban álló valamennyi oktatási és kutatási tevékenységet végző, vagy abban részt vevő munkatársra, így különösen az oktatókra, kutatókra, mestertanárokra, mesteroktatókra, nyelvtanárokra, szakmai szolgáltató munkatársakra és tanszéki mérnökökre.</w:t>
      </w:r>
    </w:p>
    <w:p w14:paraId="0CC08CB3" w14:textId="77777777" w:rsidR="00E66932" w:rsidRPr="00472194" w:rsidRDefault="00E66932" w:rsidP="00E66932">
      <w:pPr>
        <w:spacing w:line="276" w:lineRule="auto"/>
        <w:jc w:val="both"/>
        <w:rPr>
          <w:rFonts w:eastAsia="Calibri"/>
          <w:sz w:val="22"/>
          <w:szCs w:val="22"/>
        </w:rPr>
      </w:pPr>
    </w:p>
    <w:p w14:paraId="51E25BFC"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(2) A próbaidő alatt álló és tartós távolléten tartózkodó közalkalmazottakra távollétük időtartama alatt a jelen Szabályzat hatálya nem terjed ki.</w:t>
      </w:r>
    </w:p>
    <w:p w14:paraId="73EFABC9" w14:textId="77777777" w:rsidR="00E66932" w:rsidRPr="00472194" w:rsidRDefault="00E66932" w:rsidP="00E66932">
      <w:pPr>
        <w:spacing w:line="276" w:lineRule="auto"/>
        <w:jc w:val="both"/>
        <w:rPr>
          <w:rFonts w:eastAsia="Calibri"/>
          <w:sz w:val="22"/>
          <w:szCs w:val="22"/>
        </w:rPr>
      </w:pPr>
    </w:p>
    <w:p w14:paraId="4C9E24AC"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(3) A jelen szabályzat hatálya nem terjed ki az oktatási vagy kutatási tevékenységet végző, nem közalkalmazotti </w:t>
      </w:r>
      <w:proofErr w:type="gramStart"/>
      <w:r w:rsidRPr="00472194">
        <w:rPr>
          <w:rFonts w:eastAsia="Calibri"/>
          <w:sz w:val="22"/>
          <w:szCs w:val="22"/>
        </w:rPr>
        <w:t>státuszban</w:t>
      </w:r>
      <w:proofErr w:type="gramEnd"/>
      <w:r w:rsidRPr="00472194">
        <w:rPr>
          <w:rFonts w:eastAsia="Calibri"/>
          <w:sz w:val="22"/>
          <w:szCs w:val="22"/>
        </w:rPr>
        <w:t xml:space="preserve"> foglalkoztatottakra (pl. Professor Emeriták és Emeritusok, megbízási szerződéssel foglalkoztatottak).</w:t>
      </w:r>
    </w:p>
    <w:p w14:paraId="69F1AEA0" w14:textId="77777777" w:rsidR="00E66932" w:rsidRPr="00472194" w:rsidRDefault="00E66932" w:rsidP="00E66932">
      <w:pPr>
        <w:spacing w:line="276" w:lineRule="auto"/>
        <w:jc w:val="both"/>
        <w:rPr>
          <w:rFonts w:eastAsia="Calibri"/>
          <w:sz w:val="22"/>
          <w:szCs w:val="22"/>
        </w:rPr>
      </w:pPr>
    </w:p>
    <w:p w14:paraId="77C52FA6"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(4) Az oktatási és kutatási tevékenységet nem végző, és abban részt nem vevő közalkalmazottakra munkavégzésük </w:t>
      </w:r>
      <w:proofErr w:type="gramStart"/>
      <w:r w:rsidRPr="00472194">
        <w:rPr>
          <w:rFonts w:eastAsia="Calibri"/>
          <w:sz w:val="22"/>
          <w:szCs w:val="22"/>
        </w:rPr>
        <w:t>során</w:t>
      </w:r>
      <w:proofErr w:type="gramEnd"/>
      <w:r w:rsidRPr="00472194">
        <w:rPr>
          <w:rFonts w:eastAsia="Calibri"/>
          <w:sz w:val="22"/>
          <w:szCs w:val="22"/>
        </w:rPr>
        <w:t xml:space="preserve"> mint a rendelkezéseket alkalmazókra – ideértve az adatbázisok kezelését és ellenőrzését – terjed ki a személyi hatály.</w:t>
      </w:r>
    </w:p>
    <w:p w14:paraId="62C1F959" w14:textId="77777777" w:rsidR="00E66932" w:rsidRPr="00472194" w:rsidRDefault="00E66932" w:rsidP="00E66932">
      <w:pPr>
        <w:spacing w:line="276" w:lineRule="auto"/>
        <w:jc w:val="both"/>
        <w:rPr>
          <w:rFonts w:eastAsia="Calibri"/>
          <w:sz w:val="22"/>
          <w:szCs w:val="22"/>
        </w:rPr>
      </w:pPr>
    </w:p>
    <w:p w14:paraId="4687C9E3"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(5) Az adminisztratív feladatot végzők teljesítmény értékelésének szabályait dékáni utasítás határozza meg.</w:t>
      </w:r>
    </w:p>
    <w:p w14:paraId="6258DB49" w14:textId="77777777" w:rsidR="00E66932" w:rsidRPr="00472194" w:rsidRDefault="00E66932" w:rsidP="00E66932">
      <w:pPr>
        <w:spacing w:line="276" w:lineRule="auto"/>
        <w:jc w:val="both"/>
        <w:rPr>
          <w:rFonts w:eastAsia="Calibri"/>
          <w:sz w:val="22"/>
          <w:szCs w:val="22"/>
        </w:rPr>
      </w:pPr>
    </w:p>
    <w:p w14:paraId="05E166D9" w14:textId="77777777" w:rsidR="00E66932" w:rsidRPr="00472194" w:rsidRDefault="00E66932" w:rsidP="00E66932">
      <w:pPr>
        <w:spacing w:line="276" w:lineRule="auto"/>
        <w:jc w:val="center"/>
        <w:rPr>
          <w:rFonts w:eastAsia="Calibri"/>
          <w:b/>
          <w:sz w:val="22"/>
          <w:szCs w:val="22"/>
        </w:rPr>
      </w:pPr>
      <w:r w:rsidRPr="00472194">
        <w:rPr>
          <w:rFonts w:eastAsia="Calibri"/>
          <w:b/>
          <w:sz w:val="22"/>
          <w:szCs w:val="22"/>
        </w:rPr>
        <w:t>Az oktatási és kutatási tevékenységet végző, vagy abban részt vevő munkatársak tevékenységének mérési rendszere</w:t>
      </w:r>
    </w:p>
    <w:p w14:paraId="333358D1" w14:textId="77777777" w:rsidR="00E66932" w:rsidRPr="00472194" w:rsidRDefault="00E66932" w:rsidP="00E66932">
      <w:pPr>
        <w:spacing w:line="276" w:lineRule="auto"/>
        <w:jc w:val="center"/>
        <w:rPr>
          <w:rFonts w:eastAsia="Calibri"/>
          <w:sz w:val="22"/>
          <w:szCs w:val="22"/>
        </w:rPr>
      </w:pPr>
    </w:p>
    <w:p w14:paraId="53E3166D" w14:textId="77777777" w:rsidR="00E66932" w:rsidRPr="00472194" w:rsidRDefault="00E66932" w:rsidP="00E66932">
      <w:pPr>
        <w:spacing w:line="276" w:lineRule="auto"/>
        <w:jc w:val="both"/>
        <w:rPr>
          <w:rFonts w:eastAsia="Calibri"/>
          <w:sz w:val="22"/>
          <w:szCs w:val="22"/>
        </w:rPr>
      </w:pPr>
      <w:r w:rsidRPr="00472194">
        <w:rPr>
          <w:rFonts w:eastAsia="Calibri"/>
          <w:b/>
          <w:sz w:val="22"/>
          <w:szCs w:val="22"/>
        </w:rPr>
        <w:t>2. §</w:t>
      </w:r>
      <w:r w:rsidRPr="00472194">
        <w:rPr>
          <w:rFonts w:eastAsia="Calibri"/>
          <w:sz w:val="22"/>
          <w:szCs w:val="22"/>
        </w:rPr>
        <w:t xml:space="preserve"> (1) Az oktatási és kutatási tevékenységet végző, vagy abban részt vevő munkatársak teljesítményének mérése egy mennyiségi és minőségi paramétereket egyaránt tartalmazó pontszámrendszer alapján történik, amely a tevékenységek intézményi szintű hasznosságának súlyozásával készült. </w:t>
      </w:r>
    </w:p>
    <w:p w14:paraId="49E03EE5" w14:textId="77777777" w:rsidR="00E66932" w:rsidRPr="00472194" w:rsidRDefault="00E66932" w:rsidP="00E66932">
      <w:pPr>
        <w:spacing w:line="276" w:lineRule="auto"/>
        <w:jc w:val="both"/>
        <w:rPr>
          <w:rFonts w:eastAsia="Calibri"/>
          <w:sz w:val="22"/>
          <w:szCs w:val="22"/>
        </w:rPr>
      </w:pPr>
    </w:p>
    <w:p w14:paraId="3AD9B53A"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(2) A TÉR a teljesítményeket három alapvető tevékenység vonatkozásában méri és pontozza:</w:t>
      </w:r>
    </w:p>
    <w:p w14:paraId="4D0A4A56" w14:textId="77777777" w:rsidR="00E66932" w:rsidRPr="00472194" w:rsidRDefault="00E66932" w:rsidP="00F83E93">
      <w:pPr>
        <w:numPr>
          <w:ilvl w:val="0"/>
          <w:numId w:val="187"/>
        </w:numPr>
        <w:spacing w:line="276" w:lineRule="auto"/>
        <w:contextualSpacing/>
        <w:jc w:val="both"/>
        <w:rPr>
          <w:rFonts w:eastAsia="Calibri"/>
          <w:sz w:val="22"/>
          <w:szCs w:val="22"/>
        </w:rPr>
      </w:pPr>
      <w:r w:rsidRPr="00472194">
        <w:rPr>
          <w:rFonts w:eastAsia="Calibri"/>
          <w:sz w:val="22"/>
          <w:szCs w:val="22"/>
        </w:rPr>
        <w:t>oktatási tevékenység,</w:t>
      </w:r>
    </w:p>
    <w:p w14:paraId="1ED29E09" w14:textId="77777777" w:rsidR="00E66932" w:rsidRPr="00472194" w:rsidRDefault="00E66932" w:rsidP="00F83E93">
      <w:pPr>
        <w:numPr>
          <w:ilvl w:val="0"/>
          <w:numId w:val="187"/>
        </w:numPr>
        <w:spacing w:line="276" w:lineRule="auto"/>
        <w:contextualSpacing/>
        <w:jc w:val="both"/>
        <w:rPr>
          <w:rFonts w:eastAsia="Calibri"/>
          <w:sz w:val="22"/>
          <w:szCs w:val="22"/>
        </w:rPr>
      </w:pPr>
      <w:r w:rsidRPr="00472194">
        <w:rPr>
          <w:rFonts w:eastAsia="Calibri"/>
          <w:sz w:val="22"/>
          <w:szCs w:val="22"/>
        </w:rPr>
        <w:t xml:space="preserve">tudományos és művészeti tevékenység, </w:t>
      </w:r>
    </w:p>
    <w:p w14:paraId="11057C1D" w14:textId="77777777" w:rsidR="00E66932" w:rsidRPr="00472194" w:rsidRDefault="00E66932" w:rsidP="00F83E93">
      <w:pPr>
        <w:numPr>
          <w:ilvl w:val="0"/>
          <w:numId w:val="187"/>
        </w:numPr>
        <w:spacing w:line="276" w:lineRule="auto"/>
        <w:contextualSpacing/>
        <w:jc w:val="both"/>
        <w:rPr>
          <w:rFonts w:eastAsia="Calibri"/>
          <w:sz w:val="22"/>
          <w:szCs w:val="22"/>
        </w:rPr>
      </w:pPr>
      <w:r w:rsidRPr="00472194">
        <w:rPr>
          <w:rFonts w:eastAsia="Calibri"/>
          <w:sz w:val="22"/>
          <w:szCs w:val="22"/>
        </w:rPr>
        <w:lastRenderedPageBreak/>
        <w:t>menedzsment tevékenységek.</w:t>
      </w:r>
    </w:p>
    <w:p w14:paraId="1A772AE5" w14:textId="77777777" w:rsidR="00E66932" w:rsidRPr="00472194" w:rsidRDefault="00E66932" w:rsidP="00E66932">
      <w:pPr>
        <w:spacing w:line="276" w:lineRule="auto"/>
        <w:ind w:left="720"/>
        <w:contextualSpacing/>
        <w:jc w:val="both"/>
        <w:rPr>
          <w:rFonts w:eastAsia="Calibri"/>
          <w:sz w:val="22"/>
          <w:szCs w:val="22"/>
        </w:rPr>
      </w:pPr>
    </w:p>
    <w:p w14:paraId="68B55C2B"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(3) Ezt követi az egyéni szintű összesített pontszám </w:t>
      </w:r>
      <w:r w:rsidRPr="00472194">
        <w:rPr>
          <w:sz w:val="22"/>
          <w:szCs w:val="22"/>
        </w:rPr>
        <w:t xml:space="preserve">meghatározása és az adott </w:t>
      </w:r>
      <w:proofErr w:type="gramStart"/>
      <w:r w:rsidRPr="00472194">
        <w:rPr>
          <w:sz w:val="22"/>
          <w:szCs w:val="22"/>
        </w:rPr>
        <w:t>kategóriában</w:t>
      </w:r>
      <w:proofErr w:type="gramEnd"/>
      <w:r w:rsidRPr="00472194">
        <w:rPr>
          <w:sz w:val="22"/>
          <w:szCs w:val="22"/>
        </w:rPr>
        <w:t xml:space="preserve"> meghatározott minimálisan elvárt pontszámmal való összehasonlítás révén történő </w:t>
      </w:r>
      <w:r w:rsidRPr="00472194">
        <w:rPr>
          <w:rFonts w:eastAsia="Calibri"/>
          <w:sz w:val="22"/>
          <w:szCs w:val="22"/>
        </w:rPr>
        <w:t>minősítés.</w:t>
      </w:r>
    </w:p>
    <w:p w14:paraId="109DDAAE" w14:textId="77777777" w:rsidR="00E66932" w:rsidRPr="00472194" w:rsidRDefault="00E66932" w:rsidP="00E66932">
      <w:pPr>
        <w:spacing w:line="276" w:lineRule="auto"/>
        <w:jc w:val="both"/>
        <w:rPr>
          <w:rFonts w:eastAsia="Calibri"/>
          <w:sz w:val="22"/>
          <w:szCs w:val="22"/>
        </w:rPr>
      </w:pPr>
    </w:p>
    <w:p w14:paraId="12DAFEC2"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(4) A méréshez szükséges </w:t>
      </w:r>
      <w:proofErr w:type="gramStart"/>
      <w:r w:rsidRPr="00472194">
        <w:rPr>
          <w:rFonts w:eastAsia="Calibri"/>
          <w:sz w:val="22"/>
          <w:szCs w:val="22"/>
        </w:rPr>
        <w:t>információk</w:t>
      </w:r>
      <w:proofErr w:type="gramEnd"/>
      <w:r w:rsidRPr="00472194">
        <w:rPr>
          <w:rFonts w:eastAsia="Calibri"/>
          <w:sz w:val="22"/>
          <w:szCs w:val="22"/>
        </w:rPr>
        <w:t xml:space="preserve"> az elektronikus tanulmányi rendszerből (jelenleg: NEPTUN), a Magyar Tudományos Művek Tárából (MTMT), egyéb adatbázisokból és a munkatársak önbevallásából származnak. </w:t>
      </w:r>
    </w:p>
    <w:p w14:paraId="766C1F22" w14:textId="77777777" w:rsidR="00E66932" w:rsidRPr="00472194" w:rsidRDefault="00E66932" w:rsidP="00E66932">
      <w:pPr>
        <w:spacing w:line="276" w:lineRule="auto"/>
        <w:jc w:val="both"/>
        <w:rPr>
          <w:rFonts w:eastAsia="Calibri"/>
          <w:sz w:val="22"/>
          <w:szCs w:val="22"/>
        </w:rPr>
      </w:pPr>
    </w:p>
    <w:p w14:paraId="2CF34035" w14:textId="77777777" w:rsidR="00E66932" w:rsidRPr="00472194" w:rsidRDefault="00E66932" w:rsidP="00E66932">
      <w:pPr>
        <w:spacing w:line="276" w:lineRule="auto"/>
        <w:jc w:val="both"/>
        <w:rPr>
          <w:rFonts w:eastAsia="Calibri"/>
          <w:sz w:val="22"/>
          <w:szCs w:val="22"/>
        </w:rPr>
      </w:pPr>
      <w:r w:rsidRPr="00472194">
        <w:rPr>
          <w:rFonts w:eastAsia="Calibri"/>
          <w:b/>
          <w:sz w:val="22"/>
          <w:szCs w:val="22"/>
        </w:rPr>
        <w:t>3. §</w:t>
      </w:r>
      <w:r w:rsidRPr="00472194">
        <w:rPr>
          <w:rFonts w:eastAsia="Calibri"/>
          <w:sz w:val="22"/>
          <w:szCs w:val="22"/>
        </w:rPr>
        <w:t xml:space="preserve"> Az oktatási tevékenységet a rendszer két egységben osztályozza:</w:t>
      </w:r>
    </w:p>
    <w:p w14:paraId="0AF2F79D"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ab/>
      </w:r>
      <w:proofErr w:type="gramStart"/>
      <w:r w:rsidRPr="00472194">
        <w:rPr>
          <w:rFonts w:eastAsia="Calibri"/>
          <w:sz w:val="22"/>
          <w:szCs w:val="22"/>
        </w:rPr>
        <w:t>a</w:t>
      </w:r>
      <w:proofErr w:type="gramEnd"/>
      <w:r w:rsidRPr="00472194">
        <w:rPr>
          <w:rFonts w:eastAsia="Calibri"/>
          <w:sz w:val="22"/>
          <w:szCs w:val="22"/>
        </w:rPr>
        <w:t>) A NEPTUN Tanulmányi Rendszer adataira épülő oktatói, tanári kontaktóraszám meghatározásáról szóló dékáni utasítás alapján félévenként meghatározásra kerül a kontaktóraszám. Ezt súlyozzuk a létszám, munkarend és oktatás nyelvének figyelembevételével az alábbi táblázat szerint:</w:t>
      </w:r>
    </w:p>
    <w:p w14:paraId="26120B04" w14:textId="77777777" w:rsidR="00E66932" w:rsidRPr="00472194" w:rsidRDefault="00E66932" w:rsidP="00E66932">
      <w:pPr>
        <w:spacing w:line="276" w:lineRule="auto"/>
        <w:jc w:val="both"/>
        <w:rPr>
          <w:rFonts w:eastAsia="Calibri"/>
          <w:sz w:val="22"/>
          <w:szCs w:val="22"/>
        </w:rPr>
      </w:pPr>
    </w:p>
    <w:p w14:paraId="1D3D6F26" w14:textId="77777777" w:rsidR="00E66932" w:rsidRPr="00472194" w:rsidRDefault="00E66932" w:rsidP="00E66932">
      <w:pPr>
        <w:spacing w:line="276" w:lineRule="auto"/>
        <w:jc w:val="both"/>
        <w:rPr>
          <w:rFonts w:eastAsia="Calibri"/>
          <w:sz w:val="22"/>
          <w:szCs w:val="22"/>
        </w:rPr>
      </w:pPr>
    </w:p>
    <w:tbl>
      <w:tblPr>
        <w:tblW w:w="8295" w:type="dxa"/>
        <w:jc w:val="center"/>
        <w:tblCellMar>
          <w:left w:w="70" w:type="dxa"/>
          <w:right w:w="70" w:type="dxa"/>
        </w:tblCellMar>
        <w:tblLook w:val="04A0" w:firstRow="1" w:lastRow="0" w:firstColumn="1" w:lastColumn="0" w:noHBand="0" w:noVBand="1"/>
      </w:tblPr>
      <w:tblGrid>
        <w:gridCol w:w="1020"/>
        <w:gridCol w:w="1155"/>
        <w:gridCol w:w="1020"/>
        <w:gridCol w:w="1020"/>
        <w:gridCol w:w="1020"/>
        <w:gridCol w:w="1020"/>
        <w:gridCol w:w="1020"/>
        <w:gridCol w:w="1020"/>
      </w:tblGrid>
      <w:tr w:rsidR="00E66932" w:rsidRPr="00472194" w14:paraId="18F7756F" w14:textId="77777777" w:rsidTr="00064CBD">
        <w:trPr>
          <w:trHeight w:val="285"/>
          <w:jc w:val="center"/>
        </w:trPr>
        <w:tc>
          <w:tcPr>
            <w:tcW w:w="1020" w:type="dxa"/>
            <w:tcBorders>
              <w:top w:val="nil"/>
              <w:left w:val="nil"/>
              <w:bottom w:val="single" w:sz="4" w:space="0" w:color="auto"/>
              <w:right w:val="nil"/>
            </w:tcBorders>
            <w:shd w:val="clear" w:color="auto" w:fill="auto"/>
            <w:noWrap/>
            <w:vAlign w:val="bottom"/>
            <w:hideMark/>
          </w:tcPr>
          <w:p w14:paraId="58DDBE59" w14:textId="77777777" w:rsidR="00E66932" w:rsidRPr="00472194" w:rsidRDefault="00E66932" w:rsidP="00064CBD">
            <w:pPr>
              <w:spacing w:line="276" w:lineRule="auto"/>
              <w:rPr>
                <w:sz w:val="22"/>
                <w:szCs w:val="22"/>
              </w:rPr>
            </w:pPr>
          </w:p>
        </w:tc>
        <w:tc>
          <w:tcPr>
            <w:tcW w:w="1155" w:type="dxa"/>
            <w:tcBorders>
              <w:top w:val="nil"/>
              <w:left w:val="nil"/>
              <w:bottom w:val="single" w:sz="4" w:space="0" w:color="auto"/>
              <w:right w:val="single" w:sz="4" w:space="0" w:color="auto"/>
            </w:tcBorders>
            <w:shd w:val="clear" w:color="auto" w:fill="auto"/>
            <w:noWrap/>
            <w:vAlign w:val="bottom"/>
            <w:hideMark/>
          </w:tcPr>
          <w:p w14:paraId="4DDC495A" w14:textId="77777777" w:rsidR="00E66932" w:rsidRPr="00472194" w:rsidRDefault="00E66932" w:rsidP="00064CBD">
            <w:pPr>
              <w:spacing w:line="276" w:lineRule="auto"/>
              <w:rPr>
                <w:sz w:val="22"/>
                <w:szCs w:val="22"/>
              </w:rPr>
            </w:pP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E68D" w14:textId="77777777" w:rsidR="00E66932" w:rsidRPr="00472194" w:rsidRDefault="00E66932" w:rsidP="00064CBD">
            <w:pPr>
              <w:spacing w:line="276" w:lineRule="auto"/>
              <w:jc w:val="center"/>
              <w:rPr>
                <w:sz w:val="22"/>
                <w:szCs w:val="22"/>
              </w:rPr>
            </w:pPr>
            <w:r w:rsidRPr="00472194">
              <w:rPr>
                <w:color w:val="000000"/>
                <w:sz w:val="22"/>
                <w:szCs w:val="22"/>
              </w:rPr>
              <w:t>Létszám</w:t>
            </w:r>
          </w:p>
        </w:tc>
      </w:tr>
      <w:tr w:rsidR="00E66932" w:rsidRPr="00472194" w14:paraId="651A7CEE" w14:textId="77777777" w:rsidTr="00064CBD">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DE5E" w14:textId="77777777" w:rsidR="00E66932" w:rsidRPr="00472194" w:rsidRDefault="00E66932" w:rsidP="00064CBD">
            <w:pPr>
              <w:spacing w:line="276" w:lineRule="auto"/>
              <w:rPr>
                <w:color w:val="000000"/>
                <w:sz w:val="22"/>
                <w:szCs w:val="22"/>
              </w:rPr>
            </w:pPr>
            <w:r w:rsidRPr="00472194">
              <w:rPr>
                <w:color w:val="000000"/>
                <w:sz w:val="22"/>
                <w:szCs w:val="22"/>
              </w:rPr>
              <w:t>Nyelv</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9B15" w14:textId="77777777" w:rsidR="00E66932" w:rsidRPr="00472194" w:rsidRDefault="00E66932" w:rsidP="00064CBD">
            <w:pPr>
              <w:spacing w:line="276" w:lineRule="auto"/>
              <w:rPr>
                <w:color w:val="000000"/>
                <w:sz w:val="22"/>
                <w:szCs w:val="22"/>
              </w:rPr>
            </w:pPr>
            <w:r w:rsidRPr="00472194">
              <w:rPr>
                <w:color w:val="000000"/>
                <w:sz w:val="22"/>
                <w:szCs w:val="22"/>
              </w:rPr>
              <w:t>Munkarend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53CB" w14:textId="77777777" w:rsidR="00E66932" w:rsidRPr="00472194" w:rsidRDefault="00E66932" w:rsidP="00064CBD">
            <w:pPr>
              <w:spacing w:line="276" w:lineRule="auto"/>
              <w:rPr>
                <w:color w:val="000000"/>
                <w:sz w:val="22"/>
                <w:szCs w:val="22"/>
              </w:rPr>
            </w:pPr>
            <w:r w:rsidRPr="00472194">
              <w:rPr>
                <w:color w:val="000000"/>
                <w:sz w:val="22"/>
                <w:szCs w:val="22"/>
              </w:rPr>
              <w:t xml:space="preserve"> 10&gt;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3A15" w14:textId="77777777" w:rsidR="00E66932" w:rsidRPr="00472194" w:rsidRDefault="00E66932" w:rsidP="00064CBD">
            <w:pPr>
              <w:spacing w:line="276" w:lineRule="auto"/>
              <w:rPr>
                <w:color w:val="000000"/>
                <w:sz w:val="22"/>
                <w:szCs w:val="22"/>
              </w:rPr>
            </w:pPr>
            <w:r w:rsidRPr="00472194">
              <w:rPr>
                <w:color w:val="000000"/>
                <w:sz w:val="22"/>
                <w:szCs w:val="22"/>
              </w:rPr>
              <w:t>30&gt;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51F54" w14:textId="77777777" w:rsidR="00E66932" w:rsidRPr="00472194" w:rsidRDefault="00E66932" w:rsidP="00064CBD">
            <w:pPr>
              <w:spacing w:line="276" w:lineRule="auto"/>
              <w:rPr>
                <w:color w:val="000000"/>
                <w:sz w:val="22"/>
                <w:szCs w:val="22"/>
              </w:rPr>
            </w:pPr>
            <w:r w:rsidRPr="00472194">
              <w:rPr>
                <w:color w:val="000000"/>
                <w:sz w:val="22"/>
                <w:szCs w:val="22"/>
              </w:rPr>
              <w:t>50&gt;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FC257" w14:textId="77777777" w:rsidR="00E66932" w:rsidRPr="00472194" w:rsidRDefault="00E66932" w:rsidP="00064CBD">
            <w:pPr>
              <w:spacing w:line="276" w:lineRule="auto"/>
              <w:rPr>
                <w:color w:val="000000"/>
                <w:sz w:val="22"/>
                <w:szCs w:val="22"/>
              </w:rPr>
            </w:pPr>
            <w:r w:rsidRPr="00472194">
              <w:rPr>
                <w:color w:val="000000"/>
                <w:sz w:val="22"/>
                <w:szCs w:val="22"/>
              </w:rPr>
              <w:t>100&gt;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61DE" w14:textId="77777777" w:rsidR="00E66932" w:rsidRPr="00472194" w:rsidRDefault="00E66932" w:rsidP="00064CBD">
            <w:pPr>
              <w:spacing w:line="276" w:lineRule="auto"/>
              <w:rPr>
                <w:color w:val="000000"/>
                <w:sz w:val="22"/>
                <w:szCs w:val="22"/>
              </w:rPr>
            </w:pPr>
            <w:r w:rsidRPr="00472194">
              <w:rPr>
                <w:color w:val="000000"/>
                <w:sz w:val="22"/>
                <w:szCs w:val="22"/>
              </w:rPr>
              <w:t>200&gt;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4875" w14:textId="77777777" w:rsidR="00E66932" w:rsidRPr="00472194" w:rsidRDefault="00E66932" w:rsidP="00064CBD">
            <w:pPr>
              <w:spacing w:line="276" w:lineRule="auto"/>
              <w:rPr>
                <w:color w:val="000000"/>
                <w:sz w:val="22"/>
                <w:szCs w:val="22"/>
              </w:rPr>
            </w:pPr>
            <w:r w:rsidRPr="00472194">
              <w:rPr>
                <w:color w:val="000000"/>
                <w:sz w:val="22"/>
                <w:szCs w:val="22"/>
              </w:rPr>
              <w:t>200 felett</w:t>
            </w:r>
          </w:p>
        </w:tc>
      </w:tr>
      <w:tr w:rsidR="00E66932" w:rsidRPr="00472194" w14:paraId="0A9C78C1" w14:textId="77777777" w:rsidTr="00064CBD">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79ACA" w14:textId="77777777" w:rsidR="00E66932" w:rsidRPr="00472194" w:rsidRDefault="00E66932" w:rsidP="00064CBD">
            <w:pPr>
              <w:spacing w:line="276" w:lineRule="auto"/>
              <w:rPr>
                <w:color w:val="000000"/>
                <w:sz w:val="22"/>
                <w:szCs w:val="22"/>
              </w:rPr>
            </w:pPr>
            <w:r w:rsidRPr="00472194">
              <w:rPr>
                <w:color w:val="000000"/>
                <w:sz w:val="22"/>
                <w:szCs w:val="22"/>
              </w:rPr>
              <w:t>magyar</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198A" w14:textId="77777777" w:rsidR="00E66932" w:rsidRPr="00472194" w:rsidRDefault="00E66932" w:rsidP="00064CBD">
            <w:pPr>
              <w:spacing w:line="276" w:lineRule="auto"/>
              <w:rPr>
                <w:color w:val="000000"/>
                <w:sz w:val="22"/>
                <w:szCs w:val="22"/>
              </w:rPr>
            </w:pPr>
            <w:r w:rsidRPr="00472194">
              <w:rPr>
                <w:color w:val="000000"/>
                <w:sz w:val="22"/>
                <w:szCs w:val="22"/>
              </w:rPr>
              <w:t>nappali</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9B06" w14:textId="77777777" w:rsidR="00E66932" w:rsidRPr="00472194" w:rsidRDefault="00E66932" w:rsidP="00064CBD">
            <w:pPr>
              <w:spacing w:line="276" w:lineRule="auto"/>
              <w:jc w:val="center"/>
              <w:rPr>
                <w:color w:val="000000"/>
                <w:sz w:val="22"/>
                <w:szCs w:val="22"/>
              </w:rPr>
            </w:pPr>
            <w:r w:rsidRPr="00472194">
              <w:rPr>
                <w:color w:val="000000"/>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117D" w14:textId="77777777" w:rsidR="00E66932" w:rsidRPr="00472194" w:rsidRDefault="00E66932" w:rsidP="00064CBD">
            <w:pPr>
              <w:spacing w:line="276" w:lineRule="auto"/>
              <w:jc w:val="center"/>
              <w:rPr>
                <w:color w:val="000000"/>
                <w:sz w:val="22"/>
                <w:szCs w:val="22"/>
              </w:rPr>
            </w:pPr>
            <w:r w:rsidRPr="00472194">
              <w:rPr>
                <w:color w:val="000000"/>
                <w:sz w:val="22"/>
                <w:szCs w:val="22"/>
              </w:rPr>
              <w:t>2,2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E039" w14:textId="77777777" w:rsidR="00E66932" w:rsidRPr="00472194" w:rsidRDefault="00E66932" w:rsidP="00064CBD">
            <w:pPr>
              <w:spacing w:line="276" w:lineRule="auto"/>
              <w:jc w:val="center"/>
              <w:rPr>
                <w:color w:val="000000"/>
                <w:sz w:val="22"/>
                <w:szCs w:val="22"/>
              </w:rPr>
            </w:pPr>
            <w:r w:rsidRPr="00472194">
              <w:rPr>
                <w:color w:val="000000"/>
                <w:sz w:val="22"/>
                <w:szCs w:val="22"/>
              </w:rPr>
              <w:t>2,6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7AF45" w14:textId="77777777" w:rsidR="00E66932" w:rsidRPr="00472194" w:rsidRDefault="00E66932" w:rsidP="00064CBD">
            <w:pPr>
              <w:spacing w:line="276" w:lineRule="auto"/>
              <w:jc w:val="center"/>
              <w:rPr>
                <w:color w:val="000000"/>
                <w:sz w:val="22"/>
                <w:szCs w:val="22"/>
              </w:rPr>
            </w:pPr>
            <w:r w:rsidRPr="00472194">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A543" w14:textId="77777777" w:rsidR="00E66932" w:rsidRPr="00472194" w:rsidRDefault="00E66932" w:rsidP="00064CBD">
            <w:pPr>
              <w:spacing w:line="276" w:lineRule="auto"/>
              <w:jc w:val="center"/>
              <w:rPr>
                <w:color w:val="000000"/>
                <w:sz w:val="22"/>
                <w:szCs w:val="22"/>
              </w:rPr>
            </w:pPr>
            <w:r w:rsidRPr="00472194">
              <w:rPr>
                <w:color w:val="000000"/>
                <w:sz w:val="22"/>
                <w:szCs w:val="22"/>
              </w:rPr>
              <w:t>3,5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C1DA" w14:textId="77777777" w:rsidR="00E66932" w:rsidRPr="00472194" w:rsidRDefault="00E66932" w:rsidP="00064CBD">
            <w:pPr>
              <w:spacing w:line="276" w:lineRule="auto"/>
              <w:jc w:val="center"/>
              <w:rPr>
                <w:color w:val="000000"/>
                <w:sz w:val="22"/>
                <w:szCs w:val="22"/>
              </w:rPr>
            </w:pPr>
            <w:r w:rsidRPr="00472194">
              <w:rPr>
                <w:color w:val="000000"/>
                <w:sz w:val="22"/>
                <w:szCs w:val="22"/>
              </w:rPr>
              <w:t>4,2</w:t>
            </w:r>
          </w:p>
        </w:tc>
      </w:tr>
      <w:tr w:rsidR="00E66932" w:rsidRPr="00472194" w14:paraId="2CDCB11F" w14:textId="77777777" w:rsidTr="00064CBD">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2C34" w14:textId="77777777" w:rsidR="00E66932" w:rsidRPr="00472194" w:rsidRDefault="00E66932" w:rsidP="00064CBD">
            <w:pPr>
              <w:spacing w:line="276" w:lineRule="auto"/>
              <w:rPr>
                <w:color w:val="000000"/>
                <w:sz w:val="22"/>
                <w:szCs w:val="22"/>
              </w:rPr>
            </w:pPr>
            <w:r w:rsidRPr="00472194">
              <w:rPr>
                <w:color w:val="000000"/>
                <w:sz w:val="22"/>
                <w:szCs w:val="22"/>
              </w:rPr>
              <w:t>magyar</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8130" w14:textId="77777777" w:rsidR="00E66932" w:rsidRPr="00472194" w:rsidRDefault="00E66932" w:rsidP="00064CBD">
            <w:pPr>
              <w:spacing w:line="276" w:lineRule="auto"/>
              <w:rPr>
                <w:color w:val="000000"/>
                <w:sz w:val="22"/>
                <w:szCs w:val="22"/>
              </w:rPr>
            </w:pPr>
            <w:r w:rsidRPr="00472194">
              <w:rPr>
                <w:color w:val="000000"/>
                <w:sz w:val="22"/>
                <w:szCs w:val="22"/>
              </w:rPr>
              <w:t>levelező</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E0D" w14:textId="77777777" w:rsidR="00E66932" w:rsidRPr="00472194" w:rsidRDefault="00E66932" w:rsidP="00064CBD">
            <w:pPr>
              <w:spacing w:line="276" w:lineRule="auto"/>
              <w:jc w:val="center"/>
              <w:rPr>
                <w:color w:val="000000"/>
                <w:sz w:val="22"/>
                <w:szCs w:val="22"/>
              </w:rPr>
            </w:pPr>
            <w:r w:rsidRPr="00472194">
              <w:rPr>
                <w:color w:val="000000"/>
                <w:sz w:val="22"/>
                <w:szCs w:val="22"/>
              </w:rPr>
              <w:t>2,21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6AABB" w14:textId="77777777" w:rsidR="00E66932" w:rsidRPr="00472194" w:rsidRDefault="00E66932" w:rsidP="00064CBD">
            <w:pPr>
              <w:spacing w:line="276" w:lineRule="auto"/>
              <w:jc w:val="center"/>
              <w:rPr>
                <w:color w:val="000000"/>
                <w:sz w:val="22"/>
                <w:szCs w:val="22"/>
              </w:rPr>
            </w:pPr>
            <w:r w:rsidRPr="00472194">
              <w:rPr>
                <w:color w:val="000000"/>
                <w:sz w:val="22"/>
                <w:szCs w:val="22"/>
              </w:rPr>
              <w:t>2,43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91E3" w14:textId="77777777" w:rsidR="00E66932" w:rsidRPr="00472194" w:rsidRDefault="00E66932" w:rsidP="00064CBD">
            <w:pPr>
              <w:spacing w:line="276" w:lineRule="auto"/>
              <w:jc w:val="center"/>
              <w:rPr>
                <w:color w:val="000000"/>
                <w:sz w:val="22"/>
                <w:szCs w:val="22"/>
              </w:rPr>
            </w:pPr>
            <w:r w:rsidRPr="00472194">
              <w:rPr>
                <w:color w:val="000000"/>
                <w:sz w:val="22"/>
                <w:szCs w:val="22"/>
              </w:rPr>
              <w:t>2,87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9604" w14:textId="77777777" w:rsidR="00E66932" w:rsidRPr="00472194" w:rsidRDefault="00E66932" w:rsidP="00064CBD">
            <w:pPr>
              <w:spacing w:line="276" w:lineRule="auto"/>
              <w:jc w:val="center"/>
              <w:rPr>
                <w:color w:val="000000"/>
                <w:sz w:val="22"/>
                <w:szCs w:val="22"/>
              </w:rPr>
            </w:pPr>
            <w:r w:rsidRPr="00472194">
              <w:rPr>
                <w:color w:val="000000"/>
                <w:sz w:val="22"/>
                <w:szCs w:val="22"/>
              </w:rPr>
              <w:t>3,32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D0E83" w14:textId="77777777" w:rsidR="00E66932" w:rsidRPr="00472194" w:rsidRDefault="00E66932" w:rsidP="00064CBD">
            <w:pPr>
              <w:spacing w:line="276" w:lineRule="auto"/>
              <w:jc w:val="center"/>
              <w:rPr>
                <w:color w:val="000000"/>
                <w:sz w:val="22"/>
                <w:szCs w:val="22"/>
              </w:rPr>
            </w:pPr>
            <w:r w:rsidRPr="00472194">
              <w:rPr>
                <w:color w:val="000000"/>
                <w:sz w:val="22"/>
                <w:szCs w:val="22"/>
              </w:rPr>
              <w:t>3,87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A97B" w14:textId="77777777" w:rsidR="00E66932" w:rsidRPr="00472194" w:rsidRDefault="00E66932" w:rsidP="00064CBD">
            <w:pPr>
              <w:spacing w:line="276" w:lineRule="auto"/>
              <w:jc w:val="center"/>
              <w:rPr>
                <w:color w:val="000000"/>
                <w:sz w:val="22"/>
                <w:szCs w:val="22"/>
              </w:rPr>
            </w:pPr>
            <w:r w:rsidRPr="00472194">
              <w:rPr>
                <w:color w:val="000000"/>
                <w:sz w:val="22"/>
                <w:szCs w:val="22"/>
              </w:rPr>
              <w:t>3,87</w:t>
            </w:r>
          </w:p>
        </w:tc>
      </w:tr>
      <w:tr w:rsidR="00E66932" w:rsidRPr="00472194" w14:paraId="33A55FD1" w14:textId="77777777" w:rsidTr="00064CBD">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B925" w14:textId="77777777" w:rsidR="00E66932" w:rsidRPr="00472194" w:rsidRDefault="00E66932" w:rsidP="00064CBD">
            <w:pPr>
              <w:spacing w:line="276" w:lineRule="auto"/>
              <w:rPr>
                <w:color w:val="000000"/>
                <w:sz w:val="22"/>
                <w:szCs w:val="22"/>
              </w:rPr>
            </w:pPr>
            <w:r w:rsidRPr="00472194">
              <w:rPr>
                <w:color w:val="000000"/>
                <w:sz w:val="22"/>
                <w:szCs w:val="22"/>
              </w:rPr>
              <w:t>angol</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93D6" w14:textId="77777777" w:rsidR="00E66932" w:rsidRPr="00472194" w:rsidRDefault="00E66932" w:rsidP="00064CBD">
            <w:pPr>
              <w:spacing w:line="276" w:lineRule="auto"/>
              <w:rPr>
                <w:color w:val="000000"/>
                <w:sz w:val="22"/>
                <w:szCs w:val="22"/>
              </w:rPr>
            </w:pPr>
            <w:r w:rsidRPr="00472194">
              <w:rPr>
                <w:color w:val="000000"/>
                <w:sz w:val="22"/>
                <w:szCs w:val="22"/>
              </w:rPr>
              <w:t>nappali</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58F4" w14:textId="77777777" w:rsidR="00E66932" w:rsidRPr="00472194" w:rsidRDefault="00E66932" w:rsidP="00064CBD">
            <w:pPr>
              <w:spacing w:line="276" w:lineRule="auto"/>
              <w:jc w:val="center"/>
              <w:rPr>
                <w:color w:val="000000"/>
                <w:sz w:val="22"/>
                <w:szCs w:val="22"/>
              </w:rPr>
            </w:pPr>
            <w:r w:rsidRPr="00472194">
              <w:rPr>
                <w:color w:val="000000"/>
                <w:sz w:val="22"/>
                <w:szCs w:val="22"/>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44CF" w14:textId="77777777" w:rsidR="00E66932" w:rsidRPr="00472194" w:rsidRDefault="00E66932" w:rsidP="00064CBD">
            <w:pPr>
              <w:spacing w:line="276" w:lineRule="auto"/>
              <w:jc w:val="center"/>
              <w:rPr>
                <w:color w:val="000000"/>
                <w:sz w:val="22"/>
                <w:szCs w:val="22"/>
              </w:rPr>
            </w:pPr>
            <w:r w:rsidRPr="00472194">
              <w:rPr>
                <w:color w:val="000000"/>
                <w:sz w:val="22"/>
                <w:szCs w:val="22"/>
              </w:rPr>
              <w:t>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8D91" w14:textId="77777777" w:rsidR="00E66932" w:rsidRPr="00472194" w:rsidRDefault="00E66932" w:rsidP="00064CBD">
            <w:pPr>
              <w:spacing w:line="276" w:lineRule="auto"/>
              <w:jc w:val="center"/>
              <w:rPr>
                <w:color w:val="000000"/>
                <w:sz w:val="22"/>
                <w:szCs w:val="22"/>
              </w:rPr>
            </w:pPr>
            <w:r w:rsidRPr="00472194">
              <w:rPr>
                <w:color w:val="000000"/>
                <w:sz w:val="22"/>
                <w:szCs w:val="22"/>
              </w:rPr>
              <w:t>3,9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E1BE" w14:textId="77777777" w:rsidR="00E66932" w:rsidRPr="00472194" w:rsidRDefault="00E66932" w:rsidP="00064CBD">
            <w:pPr>
              <w:spacing w:line="276" w:lineRule="auto"/>
              <w:jc w:val="center"/>
              <w:rPr>
                <w:color w:val="000000"/>
                <w:sz w:val="22"/>
                <w:szCs w:val="22"/>
              </w:rPr>
            </w:pPr>
            <w:r w:rsidRPr="00472194">
              <w:rPr>
                <w:color w:val="000000"/>
                <w:sz w:val="22"/>
                <w:szCs w:val="22"/>
              </w:rPr>
              <w:t>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2FC8" w14:textId="77777777" w:rsidR="00E66932" w:rsidRPr="00472194" w:rsidRDefault="00E66932" w:rsidP="00064CBD">
            <w:pPr>
              <w:spacing w:line="276" w:lineRule="auto"/>
              <w:jc w:val="center"/>
              <w:rPr>
                <w:color w:val="000000"/>
                <w:sz w:val="22"/>
                <w:szCs w:val="22"/>
              </w:rPr>
            </w:pPr>
            <w:r w:rsidRPr="00472194">
              <w:rPr>
                <w:color w:val="000000"/>
                <w:sz w:val="22"/>
                <w:szCs w:val="22"/>
              </w:rPr>
              <w:t>5,25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0EBDC" w14:textId="77777777" w:rsidR="00E66932" w:rsidRPr="00472194" w:rsidRDefault="00E66932" w:rsidP="00064CBD">
            <w:pPr>
              <w:spacing w:line="276" w:lineRule="auto"/>
              <w:jc w:val="center"/>
              <w:rPr>
                <w:color w:val="000000"/>
                <w:sz w:val="22"/>
                <w:szCs w:val="22"/>
              </w:rPr>
            </w:pPr>
            <w:r w:rsidRPr="00472194">
              <w:rPr>
                <w:color w:val="000000"/>
                <w:sz w:val="22"/>
                <w:szCs w:val="22"/>
              </w:rPr>
              <w:t>5,25</w:t>
            </w:r>
          </w:p>
        </w:tc>
      </w:tr>
    </w:tbl>
    <w:p w14:paraId="6A59A95E" w14:textId="77777777" w:rsidR="00E66932" w:rsidRPr="00472194" w:rsidRDefault="00E66932" w:rsidP="00E66932">
      <w:pPr>
        <w:spacing w:line="276" w:lineRule="auto"/>
        <w:jc w:val="both"/>
        <w:rPr>
          <w:rFonts w:eastAsia="Calibri"/>
          <w:sz w:val="22"/>
          <w:szCs w:val="22"/>
        </w:rPr>
      </w:pPr>
    </w:p>
    <w:p w14:paraId="0CC37031" w14:textId="77777777" w:rsidR="00E66932" w:rsidRPr="00472194" w:rsidRDefault="00E66932" w:rsidP="00E66932">
      <w:pPr>
        <w:spacing w:line="276" w:lineRule="auto"/>
        <w:jc w:val="both"/>
        <w:rPr>
          <w:rFonts w:eastAsia="Calibri"/>
          <w:sz w:val="22"/>
          <w:szCs w:val="22"/>
        </w:rPr>
      </w:pPr>
    </w:p>
    <w:p w14:paraId="40B3B0A3"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A kontaktórából számított minimum pont: az órakedvezményekkel csökkentett kötelező óraszám*2*14. </w:t>
      </w:r>
    </w:p>
    <w:p w14:paraId="488C36D4" w14:textId="77777777" w:rsidR="00E66932" w:rsidRPr="00472194" w:rsidRDefault="00E66932" w:rsidP="00E66932">
      <w:pPr>
        <w:spacing w:line="276" w:lineRule="auto"/>
        <w:rPr>
          <w:rFonts w:eastAsia="Calibri"/>
          <w:sz w:val="22"/>
          <w:szCs w:val="22"/>
        </w:rPr>
      </w:pPr>
    </w:p>
    <w:p w14:paraId="46204625"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Amennyiben a többletmunka a dékáni utasítás szerint elszámolásra kerül, nem számítható be többletteljesítésként. </w:t>
      </w:r>
    </w:p>
    <w:p w14:paraId="5F2FDF31" w14:textId="77777777" w:rsidR="00E66932" w:rsidRPr="00472194" w:rsidRDefault="00E66932" w:rsidP="00E66932">
      <w:pPr>
        <w:spacing w:line="276" w:lineRule="auto"/>
        <w:jc w:val="both"/>
        <w:rPr>
          <w:rFonts w:eastAsia="Calibri"/>
          <w:sz w:val="22"/>
          <w:szCs w:val="22"/>
        </w:rPr>
      </w:pPr>
    </w:p>
    <w:p w14:paraId="4A924E44"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ab/>
        <w:t xml:space="preserve">b) </w:t>
      </w:r>
      <w:proofErr w:type="gramStart"/>
      <w:r w:rsidRPr="00472194">
        <w:rPr>
          <w:rFonts w:eastAsia="Calibri"/>
          <w:sz w:val="22"/>
          <w:szCs w:val="22"/>
        </w:rPr>
        <w:t>A</w:t>
      </w:r>
      <w:proofErr w:type="gramEnd"/>
      <w:r w:rsidRPr="00472194">
        <w:rPr>
          <w:rFonts w:eastAsia="Calibri"/>
          <w:sz w:val="22"/>
          <w:szCs w:val="22"/>
        </w:rPr>
        <w:t xml:space="preserve"> NEPTUN Tanulmányi Rendszer adataira épülő oktatói, tanári kontaktóraszám meghatározásáról szóló dékáni utasítás alapján figyelembe nem vett oktatói tevékenységet a TÉR az egyéb oktatási tevékenység, nemzetközi mobilitás, oktatói munka hallgatói véleményezése témákban értékeli. </w:t>
      </w:r>
    </w:p>
    <w:p w14:paraId="69D15D05" w14:textId="77777777" w:rsidR="00E66932" w:rsidRPr="00472194" w:rsidRDefault="00E66932" w:rsidP="00E66932">
      <w:pPr>
        <w:spacing w:line="276" w:lineRule="auto"/>
        <w:rPr>
          <w:sz w:val="22"/>
          <w:szCs w:val="22"/>
        </w:rPr>
      </w:pPr>
    </w:p>
    <w:p w14:paraId="1FEA6C40" w14:textId="77777777" w:rsidR="00E66932" w:rsidRPr="00472194" w:rsidRDefault="00E66932" w:rsidP="00E66932">
      <w:pPr>
        <w:spacing w:line="276" w:lineRule="auto"/>
        <w:jc w:val="both"/>
        <w:rPr>
          <w:rFonts w:eastAsia="Calibri"/>
          <w:sz w:val="22"/>
          <w:szCs w:val="22"/>
        </w:rPr>
      </w:pPr>
      <w:r w:rsidRPr="00472194">
        <w:rPr>
          <w:rFonts w:eastAsia="Calibri"/>
          <w:b/>
          <w:sz w:val="22"/>
          <w:szCs w:val="22"/>
        </w:rPr>
        <w:t>4. §</w:t>
      </w:r>
      <w:r w:rsidRPr="00472194">
        <w:rPr>
          <w:rFonts w:eastAsia="Calibri"/>
          <w:sz w:val="22"/>
          <w:szCs w:val="22"/>
        </w:rPr>
        <w:t xml:space="preserve"> A tudományos és művészeti tevékenységet az alábbi három részre bontva kell figyelembe venni: publikációk, alkotások, tudományos közéleti tevékenység.</w:t>
      </w:r>
    </w:p>
    <w:p w14:paraId="7F478825" w14:textId="77777777" w:rsidR="00E66932" w:rsidRPr="00472194" w:rsidRDefault="00E66932" w:rsidP="00E66932">
      <w:pPr>
        <w:spacing w:line="276" w:lineRule="auto"/>
        <w:jc w:val="both"/>
        <w:rPr>
          <w:rFonts w:eastAsia="Calibri"/>
          <w:b/>
          <w:sz w:val="22"/>
          <w:szCs w:val="22"/>
        </w:rPr>
      </w:pPr>
    </w:p>
    <w:p w14:paraId="763EFCC8" w14:textId="77777777" w:rsidR="00E66932" w:rsidRPr="00472194" w:rsidRDefault="00E66932" w:rsidP="00E66932">
      <w:pPr>
        <w:spacing w:line="276" w:lineRule="auto"/>
        <w:jc w:val="both"/>
        <w:rPr>
          <w:rFonts w:eastAsia="Calibri"/>
          <w:sz w:val="22"/>
          <w:szCs w:val="22"/>
        </w:rPr>
      </w:pPr>
      <w:r w:rsidRPr="00472194">
        <w:rPr>
          <w:rFonts w:eastAsia="Calibri"/>
          <w:b/>
          <w:sz w:val="22"/>
          <w:szCs w:val="22"/>
        </w:rPr>
        <w:t>5. §</w:t>
      </w:r>
      <w:r w:rsidRPr="00472194">
        <w:rPr>
          <w:rFonts w:eastAsia="Calibri"/>
          <w:sz w:val="22"/>
          <w:szCs w:val="22"/>
        </w:rPr>
        <w:t xml:space="preserve"> A menedzsment tevékenységek mérése figyelembe veszi a Kari belső és külső tevékenységeket, díjakat, kitüntetéseket és a pályázati tevékenységet.</w:t>
      </w:r>
    </w:p>
    <w:p w14:paraId="697482E9" w14:textId="77777777" w:rsidR="00E66932" w:rsidRPr="00472194" w:rsidRDefault="00E66932" w:rsidP="00E66932">
      <w:pPr>
        <w:spacing w:line="276" w:lineRule="auto"/>
        <w:jc w:val="both"/>
        <w:rPr>
          <w:rFonts w:eastAsia="Calibri"/>
          <w:sz w:val="22"/>
          <w:szCs w:val="22"/>
        </w:rPr>
      </w:pPr>
    </w:p>
    <w:p w14:paraId="35CF0108" w14:textId="77777777" w:rsidR="00E66932" w:rsidRPr="00472194" w:rsidRDefault="00E66932" w:rsidP="00E66932">
      <w:pPr>
        <w:widowControl w:val="0"/>
        <w:spacing w:line="276" w:lineRule="auto"/>
        <w:ind w:firstLine="709"/>
        <w:jc w:val="center"/>
        <w:rPr>
          <w:rFonts w:eastAsia="Calibri"/>
          <w:b/>
          <w:sz w:val="22"/>
          <w:szCs w:val="22"/>
        </w:rPr>
      </w:pPr>
      <w:r w:rsidRPr="00472194">
        <w:rPr>
          <w:rFonts w:eastAsia="Calibri"/>
          <w:b/>
          <w:sz w:val="22"/>
          <w:szCs w:val="22"/>
        </w:rPr>
        <w:t>A teljesítmény-értékelés és minősítés rendje</w:t>
      </w:r>
    </w:p>
    <w:p w14:paraId="61676852" w14:textId="77777777" w:rsidR="00E66932" w:rsidRPr="00472194" w:rsidRDefault="00E66932" w:rsidP="00E66932">
      <w:pPr>
        <w:widowControl w:val="0"/>
        <w:spacing w:line="276" w:lineRule="auto"/>
        <w:ind w:firstLine="709"/>
        <w:jc w:val="center"/>
        <w:rPr>
          <w:rFonts w:eastAsia="Calibri"/>
          <w:b/>
          <w:sz w:val="22"/>
          <w:szCs w:val="22"/>
        </w:rPr>
      </w:pPr>
    </w:p>
    <w:p w14:paraId="5719F884" w14:textId="77777777" w:rsidR="00E66932" w:rsidRPr="00472194" w:rsidRDefault="00E66932" w:rsidP="00E66932">
      <w:pPr>
        <w:spacing w:line="276" w:lineRule="auto"/>
        <w:jc w:val="both"/>
        <w:rPr>
          <w:rFonts w:eastAsia="Calibri"/>
          <w:sz w:val="22"/>
          <w:szCs w:val="22"/>
        </w:rPr>
      </w:pPr>
      <w:r w:rsidRPr="00472194">
        <w:rPr>
          <w:rFonts w:eastAsia="Calibri"/>
          <w:b/>
          <w:sz w:val="22"/>
          <w:szCs w:val="22"/>
        </w:rPr>
        <w:t>6. §</w:t>
      </w:r>
      <w:r w:rsidRPr="00472194">
        <w:rPr>
          <w:rFonts w:eastAsia="Calibri"/>
          <w:sz w:val="22"/>
          <w:szCs w:val="22"/>
        </w:rPr>
        <w:t xml:space="preserve"> (1) </w:t>
      </w:r>
      <w:r w:rsidRPr="00472194">
        <w:rPr>
          <w:sz w:val="22"/>
          <w:szCs w:val="22"/>
        </w:rPr>
        <w:t xml:space="preserve">A 3-5. §-okban részletezett elemekből összeálló egyéni </w:t>
      </w:r>
      <w:proofErr w:type="spellStart"/>
      <w:r w:rsidRPr="00472194">
        <w:rPr>
          <w:sz w:val="22"/>
          <w:szCs w:val="22"/>
        </w:rPr>
        <w:t>összpontszámot</w:t>
      </w:r>
      <w:proofErr w:type="spellEnd"/>
      <w:r w:rsidRPr="00472194">
        <w:rPr>
          <w:sz w:val="22"/>
          <w:szCs w:val="22"/>
        </w:rPr>
        <w:t xml:space="preserve"> a teljesítménymérési rendszerben megfogalmazott, </w:t>
      </w:r>
      <w:proofErr w:type="gramStart"/>
      <w:r w:rsidRPr="00472194">
        <w:rPr>
          <w:sz w:val="22"/>
          <w:szCs w:val="22"/>
        </w:rPr>
        <w:t>kategóriánként</w:t>
      </w:r>
      <w:proofErr w:type="gramEnd"/>
      <w:r w:rsidRPr="00472194">
        <w:rPr>
          <w:sz w:val="22"/>
          <w:szCs w:val="22"/>
        </w:rPr>
        <w:t xml:space="preserve"> változó minimális követelményekkel kell összevetni. A </w:t>
      </w:r>
      <w:proofErr w:type="spellStart"/>
      <w:proofErr w:type="gramStart"/>
      <w:r w:rsidRPr="00472194">
        <w:rPr>
          <w:sz w:val="22"/>
          <w:szCs w:val="22"/>
        </w:rPr>
        <w:t>kategóriánkénti</w:t>
      </w:r>
      <w:proofErr w:type="spellEnd"/>
      <w:proofErr w:type="gramEnd"/>
      <w:r w:rsidRPr="00472194">
        <w:rPr>
          <w:sz w:val="22"/>
          <w:szCs w:val="22"/>
        </w:rPr>
        <w:t xml:space="preserve"> minimálisan elvárt pontszámokat </w:t>
      </w:r>
      <w:r w:rsidRPr="00472194">
        <w:rPr>
          <w:rFonts w:eastAsia="Calibri"/>
          <w:sz w:val="22"/>
          <w:szCs w:val="22"/>
        </w:rPr>
        <w:t xml:space="preserve">az alábbi táblázat tartalmazza. </w:t>
      </w:r>
    </w:p>
    <w:p w14:paraId="1A5FBAEB" w14:textId="77777777" w:rsidR="00E66932" w:rsidRPr="00472194" w:rsidRDefault="00E66932" w:rsidP="00E66932">
      <w:pPr>
        <w:spacing w:line="276" w:lineRule="auto"/>
        <w:jc w:val="both"/>
        <w:rPr>
          <w:rFonts w:eastAsia="Calibri"/>
          <w:sz w:val="22"/>
          <w:szCs w:val="22"/>
        </w:rPr>
      </w:pPr>
    </w:p>
    <w:p w14:paraId="6592907A" w14:textId="77777777" w:rsidR="00E66932" w:rsidRDefault="00E66932" w:rsidP="00E66932">
      <w:pPr>
        <w:rPr>
          <w:rFonts w:eastAsia="Calibri"/>
          <w:b/>
          <w:sz w:val="22"/>
          <w:szCs w:val="22"/>
        </w:rPr>
      </w:pPr>
      <w:r>
        <w:rPr>
          <w:rFonts w:eastAsia="Calibri"/>
          <w:b/>
          <w:sz w:val="22"/>
          <w:szCs w:val="22"/>
        </w:rPr>
        <w:br w:type="page"/>
      </w:r>
    </w:p>
    <w:p w14:paraId="42BD809F" w14:textId="77777777" w:rsidR="00E66932" w:rsidRPr="00472194" w:rsidRDefault="00E66932" w:rsidP="00E66932">
      <w:pPr>
        <w:spacing w:line="276" w:lineRule="auto"/>
        <w:jc w:val="center"/>
        <w:rPr>
          <w:rFonts w:eastAsia="Calibri"/>
          <w:b/>
          <w:sz w:val="22"/>
          <w:szCs w:val="22"/>
        </w:rPr>
      </w:pPr>
    </w:p>
    <w:p w14:paraId="7AFC279A" w14:textId="77777777" w:rsidR="00E66932" w:rsidRPr="00472194" w:rsidRDefault="00E66932" w:rsidP="00E66932">
      <w:pPr>
        <w:spacing w:line="276" w:lineRule="auto"/>
        <w:jc w:val="center"/>
        <w:rPr>
          <w:rFonts w:eastAsia="Calibri"/>
          <w:b/>
          <w:sz w:val="22"/>
          <w:szCs w:val="22"/>
        </w:rPr>
      </w:pPr>
      <w:r w:rsidRPr="00472194">
        <w:rPr>
          <w:rFonts w:eastAsia="Calibri"/>
          <w:b/>
          <w:sz w:val="22"/>
          <w:szCs w:val="22"/>
        </w:rPr>
        <w:t xml:space="preserve">A teljesítménymérési rendszer </w:t>
      </w:r>
      <w:proofErr w:type="spellStart"/>
      <w:proofErr w:type="gramStart"/>
      <w:r w:rsidRPr="00472194">
        <w:rPr>
          <w:rFonts w:eastAsia="Calibri"/>
          <w:b/>
          <w:sz w:val="22"/>
          <w:szCs w:val="22"/>
        </w:rPr>
        <w:t>kategóriánkénti</w:t>
      </w:r>
      <w:proofErr w:type="spellEnd"/>
      <w:proofErr w:type="gramEnd"/>
      <w:r w:rsidRPr="00472194">
        <w:rPr>
          <w:rFonts w:eastAsia="Calibri"/>
          <w:b/>
          <w:sz w:val="22"/>
          <w:szCs w:val="22"/>
        </w:rPr>
        <w:t xml:space="preserve"> elvárásai (pont/tanév)</w:t>
      </w:r>
    </w:p>
    <w:p w14:paraId="368848F7" w14:textId="77777777" w:rsidR="00E66932" w:rsidRPr="00472194" w:rsidRDefault="00E66932" w:rsidP="00E66932">
      <w:pPr>
        <w:spacing w:line="276" w:lineRule="auto"/>
        <w:jc w:val="center"/>
        <w:rPr>
          <w:rFonts w:eastAsia="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792"/>
      </w:tblGrid>
      <w:tr w:rsidR="00E66932" w:rsidRPr="00472194" w14:paraId="391805B0" w14:textId="77777777" w:rsidTr="00064CBD">
        <w:trPr>
          <w:jc w:val="center"/>
        </w:trPr>
        <w:tc>
          <w:tcPr>
            <w:tcW w:w="3716" w:type="dxa"/>
            <w:shd w:val="clear" w:color="auto" w:fill="auto"/>
          </w:tcPr>
          <w:p w14:paraId="2563F5B0" w14:textId="77777777" w:rsidR="00E66932" w:rsidRPr="00472194" w:rsidRDefault="00E66932" w:rsidP="00064CBD">
            <w:pPr>
              <w:spacing w:line="276" w:lineRule="auto"/>
              <w:rPr>
                <w:rFonts w:eastAsia="Calibri"/>
                <w:b/>
                <w:sz w:val="22"/>
                <w:szCs w:val="22"/>
              </w:rPr>
            </w:pPr>
            <w:proofErr w:type="gramStart"/>
            <w:r w:rsidRPr="00472194">
              <w:rPr>
                <w:rFonts w:eastAsia="Calibri"/>
                <w:b/>
                <w:sz w:val="22"/>
                <w:szCs w:val="22"/>
              </w:rPr>
              <w:t>Kategória</w:t>
            </w:r>
            <w:proofErr w:type="gramEnd"/>
          </w:p>
        </w:tc>
        <w:tc>
          <w:tcPr>
            <w:tcW w:w="3792" w:type="dxa"/>
            <w:shd w:val="clear" w:color="auto" w:fill="auto"/>
          </w:tcPr>
          <w:p w14:paraId="06D51F22" w14:textId="77777777" w:rsidR="00E66932" w:rsidRPr="00472194" w:rsidRDefault="00E66932" w:rsidP="00064CBD">
            <w:pPr>
              <w:spacing w:line="276" w:lineRule="auto"/>
              <w:jc w:val="center"/>
              <w:rPr>
                <w:rFonts w:eastAsia="Calibri"/>
                <w:b/>
                <w:sz w:val="22"/>
                <w:szCs w:val="22"/>
              </w:rPr>
            </w:pPr>
            <w:proofErr w:type="gramStart"/>
            <w:r w:rsidRPr="00472194">
              <w:rPr>
                <w:rFonts w:eastAsia="Calibri"/>
                <w:b/>
                <w:sz w:val="22"/>
                <w:szCs w:val="22"/>
              </w:rPr>
              <w:t>Minimálisan</w:t>
            </w:r>
            <w:proofErr w:type="gramEnd"/>
            <w:r w:rsidRPr="00472194">
              <w:rPr>
                <w:rFonts w:eastAsia="Calibri"/>
                <w:b/>
                <w:sz w:val="22"/>
                <w:szCs w:val="22"/>
              </w:rPr>
              <w:t xml:space="preserve"> elvárt pontszám/tanév</w:t>
            </w:r>
          </w:p>
        </w:tc>
      </w:tr>
      <w:tr w:rsidR="00E66932" w:rsidRPr="00472194" w14:paraId="5598ED01" w14:textId="77777777" w:rsidTr="00064CBD">
        <w:trPr>
          <w:jc w:val="center"/>
        </w:trPr>
        <w:tc>
          <w:tcPr>
            <w:tcW w:w="3716" w:type="dxa"/>
            <w:shd w:val="clear" w:color="auto" w:fill="auto"/>
            <w:vAlign w:val="center"/>
          </w:tcPr>
          <w:p w14:paraId="699EFC77" w14:textId="77777777" w:rsidR="00E66932" w:rsidRPr="00472194" w:rsidRDefault="00E66932" w:rsidP="00064CBD">
            <w:pPr>
              <w:rPr>
                <w:rFonts w:ascii="Helvetica" w:hAnsi="Helvetica" w:cs="Helvetica"/>
                <w:color w:val="222222"/>
                <w:sz w:val="22"/>
                <w:szCs w:val="22"/>
              </w:rPr>
            </w:pPr>
            <w:r w:rsidRPr="00472194">
              <w:rPr>
                <w:color w:val="000000"/>
                <w:sz w:val="22"/>
                <w:szCs w:val="22"/>
              </w:rPr>
              <w:t>Egyetemi tanár</w:t>
            </w:r>
          </w:p>
        </w:tc>
        <w:tc>
          <w:tcPr>
            <w:tcW w:w="3792" w:type="dxa"/>
            <w:shd w:val="clear" w:color="auto" w:fill="auto"/>
            <w:vAlign w:val="center"/>
          </w:tcPr>
          <w:p w14:paraId="13483EAB"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560</w:t>
            </w:r>
          </w:p>
        </w:tc>
      </w:tr>
      <w:tr w:rsidR="00E66932" w:rsidRPr="00472194" w14:paraId="4779281B" w14:textId="77777777" w:rsidTr="00064CBD">
        <w:trPr>
          <w:jc w:val="center"/>
        </w:trPr>
        <w:tc>
          <w:tcPr>
            <w:tcW w:w="3716" w:type="dxa"/>
            <w:shd w:val="clear" w:color="auto" w:fill="auto"/>
            <w:vAlign w:val="center"/>
          </w:tcPr>
          <w:p w14:paraId="66C912C2" w14:textId="77777777" w:rsidR="00E66932" w:rsidRPr="00472194" w:rsidRDefault="00E66932" w:rsidP="00064CBD">
            <w:pPr>
              <w:rPr>
                <w:rFonts w:ascii="Helvetica" w:hAnsi="Helvetica" w:cs="Helvetica"/>
                <w:color w:val="222222"/>
                <w:sz w:val="22"/>
                <w:szCs w:val="22"/>
              </w:rPr>
            </w:pPr>
            <w:r w:rsidRPr="00472194">
              <w:rPr>
                <w:color w:val="000000"/>
                <w:sz w:val="22"/>
                <w:szCs w:val="22"/>
              </w:rPr>
              <w:t>Egyetemi docens</w:t>
            </w:r>
          </w:p>
        </w:tc>
        <w:tc>
          <w:tcPr>
            <w:tcW w:w="3792" w:type="dxa"/>
            <w:shd w:val="clear" w:color="auto" w:fill="auto"/>
            <w:vAlign w:val="center"/>
          </w:tcPr>
          <w:p w14:paraId="4AE17CAF"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700</w:t>
            </w:r>
          </w:p>
        </w:tc>
      </w:tr>
      <w:tr w:rsidR="00E66932" w:rsidRPr="00472194" w14:paraId="37080031" w14:textId="77777777" w:rsidTr="00064CBD">
        <w:trPr>
          <w:jc w:val="center"/>
        </w:trPr>
        <w:tc>
          <w:tcPr>
            <w:tcW w:w="3716" w:type="dxa"/>
            <w:shd w:val="clear" w:color="auto" w:fill="auto"/>
            <w:vAlign w:val="center"/>
          </w:tcPr>
          <w:p w14:paraId="0E04682E" w14:textId="77777777" w:rsidR="00E66932" w:rsidRPr="00472194" w:rsidRDefault="00E66932" w:rsidP="00064CBD">
            <w:pPr>
              <w:rPr>
                <w:rFonts w:ascii="Helvetica" w:hAnsi="Helvetica" w:cs="Helvetica"/>
                <w:color w:val="222222"/>
                <w:sz w:val="22"/>
                <w:szCs w:val="22"/>
              </w:rPr>
            </w:pPr>
            <w:r w:rsidRPr="00472194">
              <w:rPr>
                <w:color w:val="000000"/>
                <w:sz w:val="22"/>
                <w:szCs w:val="22"/>
              </w:rPr>
              <w:t>Főiskolai tanár</w:t>
            </w:r>
          </w:p>
        </w:tc>
        <w:tc>
          <w:tcPr>
            <w:tcW w:w="3792" w:type="dxa"/>
            <w:shd w:val="clear" w:color="auto" w:fill="auto"/>
            <w:vAlign w:val="center"/>
          </w:tcPr>
          <w:p w14:paraId="5A1D746B"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560</w:t>
            </w:r>
          </w:p>
        </w:tc>
      </w:tr>
      <w:tr w:rsidR="00E66932" w:rsidRPr="00472194" w14:paraId="1FA64B84" w14:textId="77777777" w:rsidTr="00064CBD">
        <w:trPr>
          <w:jc w:val="center"/>
        </w:trPr>
        <w:tc>
          <w:tcPr>
            <w:tcW w:w="3716" w:type="dxa"/>
            <w:shd w:val="clear" w:color="auto" w:fill="auto"/>
            <w:vAlign w:val="center"/>
          </w:tcPr>
          <w:p w14:paraId="48FC310A" w14:textId="77777777" w:rsidR="00E66932" w:rsidRPr="00472194" w:rsidRDefault="00E66932" w:rsidP="00064CBD">
            <w:pPr>
              <w:rPr>
                <w:rFonts w:ascii="Helvetica" w:hAnsi="Helvetica" w:cs="Helvetica"/>
                <w:color w:val="222222"/>
                <w:sz w:val="22"/>
                <w:szCs w:val="22"/>
              </w:rPr>
            </w:pPr>
            <w:r w:rsidRPr="00472194">
              <w:rPr>
                <w:color w:val="000000"/>
                <w:sz w:val="22"/>
                <w:szCs w:val="22"/>
              </w:rPr>
              <w:t>Főiskolai docens</w:t>
            </w:r>
          </w:p>
        </w:tc>
        <w:tc>
          <w:tcPr>
            <w:tcW w:w="3792" w:type="dxa"/>
            <w:shd w:val="clear" w:color="auto" w:fill="auto"/>
            <w:vAlign w:val="center"/>
          </w:tcPr>
          <w:p w14:paraId="0DF2334A"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700</w:t>
            </w:r>
          </w:p>
        </w:tc>
      </w:tr>
      <w:tr w:rsidR="00E66932" w:rsidRPr="00472194" w14:paraId="41904295" w14:textId="77777777" w:rsidTr="00064CBD">
        <w:trPr>
          <w:jc w:val="center"/>
        </w:trPr>
        <w:tc>
          <w:tcPr>
            <w:tcW w:w="3716" w:type="dxa"/>
            <w:shd w:val="clear" w:color="auto" w:fill="auto"/>
            <w:vAlign w:val="center"/>
          </w:tcPr>
          <w:p w14:paraId="49ABD22E" w14:textId="77777777" w:rsidR="00E66932" w:rsidRPr="00472194" w:rsidRDefault="00E66932" w:rsidP="00064CBD">
            <w:pPr>
              <w:rPr>
                <w:rFonts w:ascii="Helvetica" w:hAnsi="Helvetica" w:cs="Helvetica"/>
                <w:color w:val="222222"/>
                <w:sz w:val="22"/>
                <w:szCs w:val="22"/>
              </w:rPr>
            </w:pPr>
            <w:r w:rsidRPr="00472194">
              <w:rPr>
                <w:color w:val="000000"/>
                <w:sz w:val="22"/>
                <w:szCs w:val="22"/>
              </w:rPr>
              <w:t>Kutatóprofesszor</w:t>
            </w:r>
          </w:p>
        </w:tc>
        <w:tc>
          <w:tcPr>
            <w:tcW w:w="3792" w:type="dxa"/>
            <w:shd w:val="clear" w:color="auto" w:fill="auto"/>
            <w:vAlign w:val="center"/>
          </w:tcPr>
          <w:p w14:paraId="5FAB16A3"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1120</w:t>
            </w:r>
          </w:p>
        </w:tc>
      </w:tr>
      <w:tr w:rsidR="00E66932" w:rsidRPr="00472194" w14:paraId="79A52E2E" w14:textId="77777777" w:rsidTr="00064CBD">
        <w:trPr>
          <w:jc w:val="center"/>
        </w:trPr>
        <w:tc>
          <w:tcPr>
            <w:tcW w:w="3716" w:type="dxa"/>
            <w:shd w:val="clear" w:color="auto" w:fill="auto"/>
            <w:vAlign w:val="center"/>
          </w:tcPr>
          <w:p w14:paraId="56572006" w14:textId="77777777" w:rsidR="00E66932" w:rsidRPr="00472194" w:rsidRDefault="00E66932" w:rsidP="00064CBD">
            <w:pPr>
              <w:rPr>
                <w:rFonts w:ascii="Helvetica" w:hAnsi="Helvetica" w:cs="Helvetica"/>
                <w:color w:val="222222"/>
                <w:sz w:val="22"/>
                <w:szCs w:val="22"/>
              </w:rPr>
            </w:pPr>
            <w:r w:rsidRPr="00472194">
              <w:rPr>
                <w:color w:val="000000"/>
                <w:sz w:val="22"/>
                <w:szCs w:val="22"/>
              </w:rPr>
              <w:t>Tudományos főmunkatárs</w:t>
            </w:r>
          </w:p>
        </w:tc>
        <w:tc>
          <w:tcPr>
            <w:tcW w:w="3792" w:type="dxa"/>
            <w:shd w:val="clear" w:color="auto" w:fill="auto"/>
            <w:vAlign w:val="center"/>
          </w:tcPr>
          <w:p w14:paraId="67747479"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1120</w:t>
            </w:r>
          </w:p>
        </w:tc>
      </w:tr>
      <w:tr w:rsidR="00E66932" w:rsidRPr="00472194" w14:paraId="75A42141" w14:textId="77777777" w:rsidTr="00064CBD">
        <w:trPr>
          <w:jc w:val="center"/>
        </w:trPr>
        <w:tc>
          <w:tcPr>
            <w:tcW w:w="3716" w:type="dxa"/>
            <w:shd w:val="clear" w:color="auto" w:fill="auto"/>
            <w:vAlign w:val="center"/>
          </w:tcPr>
          <w:p w14:paraId="50E98DF3" w14:textId="77777777" w:rsidR="00E66932" w:rsidRPr="00472194" w:rsidRDefault="00E66932" w:rsidP="00064CBD">
            <w:pPr>
              <w:rPr>
                <w:rFonts w:ascii="Helvetica" w:hAnsi="Helvetica" w:cs="Helvetica"/>
                <w:color w:val="222222"/>
                <w:sz w:val="22"/>
                <w:szCs w:val="22"/>
              </w:rPr>
            </w:pPr>
            <w:r w:rsidRPr="00472194">
              <w:rPr>
                <w:color w:val="000000"/>
                <w:sz w:val="22"/>
                <w:szCs w:val="22"/>
              </w:rPr>
              <w:t>Adjunktus </w:t>
            </w:r>
          </w:p>
        </w:tc>
        <w:tc>
          <w:tcPr>
            <w:tcW w:w="3792" w:type="dxa"/>
            <w:shd w:val="clear" w:color="auto" w:fill="auto"/>
            <w:vAlign w:val="center"/>
          </w:tcPr>
          <w:p w14:paraId="2AF78B34"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840</w:t>
            </w:r>
          </w:p>
        </w:tc>
      </w:tr>
      <w:tr w:rsidR="00E66932" w:rsidRPr="00472194" w14:paraId="28998F6F" w14:textId="77777777" w:rsidTr="00064CBD">
        <w:trPr>
          <w:jc w:val="center"/>
        </w:trPr>
        <w:tc>
          <w:tcPr>
            <w:tcW w:w="3716" w:type="dxa"/>
            <w:shd w:val="clear" w:color="auto" w:fill="auto"/>
            <w:vAlign w:val="center"/>
          </w:tcPr>
          <w:p w14:paraId="349CB2E0" w14:textId="77777777" w:rsidR="00E66932" w:rsidRPr="00472194" w:rsidRDefault="00E66932" w:rsidP="00064CBD">
            <w:pPr>
              <w:rPr>
                <w:rFonts w:ascii="Helvetica" w:hAnsi="Helvetica" w:cs="Helvetica"/>
                <w:color w:val="222222"/>
                <w:sz w:val="22"/>
                <w:szCs w:val="22"/>
              </w:rPr>
            </w:pPr>
            <w:r w:rsidRPr="00472194">
              <w:rPr>
                <w:color w:val="000000"/>
                <w:sz w:val="22"/>
                <w:szCs w:val="22"/>
              </w:rPr>
              <w:t>Tudományos munkatárs</w:t>
            </w:r>
          </w:p>
        </w:tc>
        <w:tc>
          <w:tcPr>
            <w:tcW w:w="3792" w:type="dxa"/>
            <w:shd w:val="clear" w:color="auto" w:fill="auto"/>
            <w:vAlign w:val="center"/>
          </w:tcPr>
          <w:p w14:paraId="7A870361"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1120</w:t>
            </w:r>
          </w:p>
        </w:tc>
      </w:tr>
      <w:tr w:rsidR="00E66932" w:rsidRPr="00472194" w14:paraId="42FD87C8" w14:textId="77777777" w:rsidTr="00064CBD">
        <w:trPr>
          <w:jc w:val="center"/>
        </w:trPr>
        <w:tc>
          <w:tcPr>
            <w:tcW w:w="3716" w:type="dxa"/>
            <w:shd w:val="clear" w:color="auto" w:fill="auto"/>
            <w:vAlign w:val="center"/>
          </w:tcPr>
          <w:p w14:paraId="26205E15" w14:textId="77777777" w:rsidR="00E66932" w:rsidRPr="00472194" w:rsidRDefault="00E66932" w:rsidP="00064CBD">
            <w:pPr>
              <w:rPr>
                <w:rFonts w:ascii="Helvetica" w:hAnsi="Helvetica" w:cs="Helvetica"/>
                <w:color w:val="222222"/>
                <w:sz w:val="22"/>
                <w:szCs w:val="22"/>
              </w:rPr>
            </w:pPr>
            <w:r w:rsidRPr="00472194">
              <w:rPr>
                <w:color w:val="000000"/>
                <w:sz w:val="22"/>
                <w:szCs w:val="22"/>
              </w:rPr>
              <w:t>Tanársegéd</w:t>
            </w:r>
          </w:p>
        </w:tc>
        <w:tc>
          <w:tcPr>
            <w:tcW w:w="3792" w:type="dxa"/>
            <w:shd w:val="clear" w:color="auto" w:fill="auto"/>
            <w:vAlign w:val="center"/>
          </w:tcPr>
          <w:p w14:paraId="42C60D6B"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840</w:t>
            </w:r>
          </w:p>
        </w:tc>
      </w:tr>
      <w:tr w:rsidR="00E66932" w:rsidRPr="00472194" w14:paraId="387E2038" w14:textId="77777777" w:rsidTr="00064CBD">
        <w:trPr>
          <w:jc w:val="center"/>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134EC931" w14:textId="77777777" w:rsidR="00E66932" w:rsidRPr="00472194" w:rsidRDefault="00E66932" w:rsidP="00064CBD">
            <w:pPr>
              <w:rPr>
                <w:rFonts w:ascii="Helvetica" w:hAnsi="Helvetica" w:cs="Helvetica"/>
                <w:color w:val="222222"/>
                <w:sz w:val="22"/>
                <w:szCs w:val="22"/>
              </w:rPr>
            </w:pPr>
            <w:r w:rsidRPr="00472194">
              <w:rPr>
                <w:color w:val="000000"/>
                <w:sz w:val="22"/>
                <w:szCs w:val="22"/>
              </w:rPr>
              <w:t>Mesteroktató</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14:paraId="508925DB"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840</w:t>
            </w:r>
          </w:p>
        </w:tc>
      </w:tr>
      <w:tr w:rsidR="00E66932" w:rsidRPr="00472194" w14:paraId="4F1973EF" w14:textId="77777777" w:rsidTr="00064CBD">
        <w:trPr>
          <w:jc w:val="center"/>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59A6E021" w14:textId="77777777" w:rsidR="00E66932" w:rsidRPr="00472194" w:rsidRDefault="00E66932" w:rsidP="00064CBD">
            <w:pPr>
              <w:rPr>
                <w:rFonts w:ascii="Helvetica" w:hAnsi="Helvetica" w:cs="Helvetica"/>
                <w:color w:val="222222"/>
                <w:sz w:val="22"/>
                <w:szCs w:val="22"/>
              </w:rPr>
            </w:pPr>
            <w:r w:rsidRPr="00472194">
              <w:rPr>
                <w:color w:val="000000"/>
                <w:sz w:val="22"/>
                <w:szCs w:val="22"/>
              </w:rPr>
              <w:t>Nyelvtanár</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14:paraId="71F13F62"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1120</w:t>
            </w:r>
          </w:p>
        </w:tc>
      </w:tr>
      <w:tr w:rsidR="00E66932" w:rsidRPr="00472194" w14:paraId="239D5FFA" w14:textId="77777777" w:rsidTr="00064CBD">
        <w:trPr>
          <w:jc w:val="center"/>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1E816FDE" w14:textId="77777777" w:rsidR="00E66932" w:rsidRPr="00472194" w:rsidRDefault="00E66932" w:rsidP="00064CBD">
            <w:pPr>
              <w:rPr>
                <w:rFonts w:ascii="Helvetica" w:hAnsi="Helvetica" w:cs="Helvetica"/>
                <w:color w:val="222222"/>
                <w:sz w:val="22"/>
                <w:szCs w:val="22"/>
              </w:rPr>
            </w:pPr>
            <w:r w:rsidRPr="00472194">
              <w:rPr>
                <w:color w:val="000000"/>
                <w:sz w:val="22"/>
                <w:szCs w:val="22"/>
              </w:rPr>
              <w:t>Mérnöktanár</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14:paraId="66AD5B88"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1120</w:t>
            </w:r>
          </w:p>
        </w:tc>
      </w:tr>
      <w:tr w:rsidR="00E66932" w:rsidRPr="00472194" w14:paraId="4CA0C1A2" w14:textId="77777777" w:rsidTr="00064CBD">
        <w:trPr>
          <w:jc w:val="center"/>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6777BF0D" w14:textId="77777777" w:rsidR="00E66932" w:rsidRPr="00472194" w:rsidRDefault="00E66932" w:rsidP="00064CBD">
            <w:pPr>
              <w:rPr>
                <w:rFonts w:ascii="Helvetica" w:hAnsi="Helvetica" w:cs="Helvetica"/>
                <w:color w:val="222222"/>
                <w:sz w:val="22"/>
                <w:szCs w:val="22"/>
              </w:rPr>
            </w:pPr>
            <w:r w:rsidRPr="00472194">
              <w:rPr>
                <w:color w:val="000000"/>
                <w:sz w:val="22"/>
                <w:szCs w:val="22"/>
              </w:rPr>
              <w:t>Szakmai szolgáltató munkatárs</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14:paraId="77E94FA1"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560</w:t>
            </w:r>
          </w:p>
        </w:tc>
      </w:tr>
      <w:tr w:rsidR="00E66932" w:rsidRPr="00472194" w14:paraId="034BF8FA" w14:textId="77777777" w:rsidTr="00064CBD">
        <w:trPr>
          <w:jc w:val="center"/>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4E313E4A" w14:textId="77777777" w:rsidR="00E66932" w:rsidRPr="00472194" w:rsidRDefault="00E66932" w:rsidP="00064CBD">
            <w:pPr>
              <w:rPr>
                <w:rFonts w:ascii="Helvetica" w:hAnsi="Helvetica" w:cs="Helvetica"/>
                <w:color w:val="222222"/>
                <w:sz w:val="22"/>
                <w:szCs w:val="22"/>
              </w:rPr>
            </w:pPr>
            <w:r w:rsidRPr="00472194">
              <w:rPr>
                <w:color w:val="000000"/>
                <w:sz w:val="22"/>
                <w:szCs w:val="22"/>
              </w:rPr>
              <w:t>Tanszéki mérnök</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14:paraId="522F7FF0" w14:textId="77777777" w:rsidR="00E66932" w:rsidRPr="00472194" w:rsidRDefault="00E66932" w:rsidP="00064CBD">
            <w:pPr>
              <w:jc w:val="center"/>
              <w:rPr>
                <w:rFonts w:ascii="Helvetica" w:hAnsi="Helvetica" w:cs="Helvetica"/>
                <w:color w:val="222222"/>
                <w:sz w:val="22"/>
                <w:szCs w:val="22"/>
              </w:rPr>
            </w:pPr>
            <w:r w:rsidRPr="00472194">
              <w:rPr>
                <w:color w:val="000000"/>
                <w:sz w:val="22"/>
                <w:szCs w:val="22"/>
              </w:rPr>
              <w:t>780</w:t>
            </w:r>
          </w:p>
        </w:tc>
      </w:tr>
    </w:tbl>
    <w:p w14:paraId="149B39AF" w14:textId="77777777" w:rsidR="00E66932" w:rsidRPr="00472194" w:rsidRDefault="00E66932" w:rsidP="00E66932">
      <w:pPr>
        <w:spacing w:line="276" w:lineRule="auto"/>
        <w:jc w:val="both"/>
        <w:rPr>
          <w:rFonts w:eastAsia="Calibri"/>
          <w:sz w:val="22"/>
          <w:szCs w:val="22"/>
        </w:rPr>
      </w:pPr>
    </w:p>
    <w:p w14:paraId="22009E28"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 xml:space="preserve">(2) Az (1) bekezdés szerinti táblázat a teljesítménymérési rendszer legfontosabb kimenete. A tanévenkénti elvárt </w:t>
      </w:r>
      <w:proofErr w:type="gramStart"/>
      <w:r w:rsidRPr="00472194">
        <w:rPr>
          <w:rFonts w:eastAsia="Calibri"/>
          <w:sz w:val="22"/>
          <w:szCs w:val="22"/>
        </w:rPr>
        <w:t>minimális</w:t>
      </w:r>
      <w:proofErr w:type="gramEnd"/>
      <w:r w:rsidRPr="00472194">
        <w:rPr>
          <w:rFonts w:eastAsia="Calibri"/>
          <w:sz w:val="22"/>
          <w:szCs w:val="22"/>
        </w:rPr>
        <w:t xml:space="preserve"> pontszám oszlopa mutatja, hogy az egyes kategóriákban milyen teljesítmény ekvivalens a Kjt. által meghatározott közalkalmazotti alapbérrel. </w:t>
      </w:r>
    </w:p>
    <w:p w14:paraId="0CC03C20" w14:textId="77777777" w:rsidR="00E66932" w:rsidRPr="00472194" w:rsidRDefault="00E66932" w:rsidP="00E66932">
      <w:pPr>
        <w:spacing w:line="276" w:lineRule="auto"/>
        <w:jc w:val="both"/>
        <w:rPr>
          <w:rFonts w:eastAsia="Calibri"/>
          <w:sz w:val="22"/>
          <w:szCs w:val="22"/>
        </w:rPr>
      </w:pPr>
    </w:p>
    <w:p w14:paraId="45CF5810" w14:textId="77777777" w:rsidR="00E66932" w:rsidRPr="00472194" w:rsidRDefault="00E66932" w:rsidP="00E66932">
      <w:pPr>
        <w:tabs>
          <w:tab w:val="left" w:pos="9781"/>
        </w:tabs>
        <w:spacing w:line="276" w:lineRule="auto"/>
        <w:ind w:right="-144"/>
        <w:jc w:val="both"/>
        <w:rPr>
          <w:rFonts w:eastAsia="Calibri"/>
          <w:sz w:val="22"/>
          <w:szCs w:val="22"/>
        </w:rPr>
      </w:pPr>
      <w:r w:rsidRPr="00472194">
        <w:rPr>
          <w:rFonts w:eastAsia="Calibri"/>
          <w:sz w:val="22"/>
          <w:szCs w:val="22"/>
        </w:rPr>
        <w:t xml:space="preserve">(3) A minősítést tanévenként, a munkatárs által a tárgyi tanévben nyújtott teljesítmény alapján kell elvégezni legkésőbb a következő tanév első napjáig. </w:t>
      </w:r>
    </w:p>
    <w:p w14:paraId="3E723FBF" w14:textId="77777777" w:rsidR="00E66932" w:rsidRPr="00472194" w:rsidRDefault="00E66932" w:rsidP="00E66932">
      <w:pPr>
        <w:tabs>
          <w:tab w:val="left" w:pos="9781"/>
        </w:tabs>
        <w:spacing w:line="276" w:lineRule="auto"/>
        <w:ind w:right="-144"/>
        <w:jc w:val="both"/>
        <w:rPr>
          <w:rFonts w:eastAsia="Calibri"/>
          <w:sz w:val="22"/>
          <w:szCs w:val="22"/>
        </w:rPr>
      </w:pPr>
    </w:p>
    <w:p w14:paraId="4004455F" w14:textId="77777777" w:rsidR="00E66932" w:rsidRPr="00472194" w:rsidRDefault="00E66932" w:rsidP="00E66932">
      <w:pPr>
        <w:tabs>
          <w:tab w:val="left" w:pos="9781"/>
        </w:tabs>
        <w:spacing w:line="276" w:lineRule="auto"/>
        <w:ind w:right="-144"/>
        <w:jc w:val="both"/>
        <w:rPr>
          <w:rFonts w:eastAsia="Calibri"/>
          <w:strike/>
          <w:sz w:val="22"/>
          <w:szCs w:val="22"/>
        </w:rPr>
      </w:pPr>
      <w:r w:rsidRPr="00472194">
        <w:rPr>
          <w:rFonts w:eastAsia="Calibri"/>
          <w:sz w:val="22"/>
          <w:szCs w:val="22"/>
        </w:rPr>
        <w:t xml:space="preserve">(4) Az oktatói teljesítmény minősítése a dékáni vezetés feladata. </w:t>
      </w:r>
    </w:p>
    <w:p w14:paraId="7EE6362F" w14:textId="77777777" w:rsidR="00E66932" w:rsidRPr="00472194" w:rsidRDefault="00E66932" w:rsidP="00E66932">
      <w:pPr>
        <w:spacing w:line="276" w:lineRule="auto"/>
        <w:jc w:val="both"/>
        <w:rPr>
          <w:rFonts w:eastAsia="Calibri"/>
          <w:sz w:val="22"/>
          <w:szCs w:val="22"/>
        </w:rPr>
      </w:pPr>
    </w:p>
    <w:p w14:paraId="60B99FC2" w14:textId="77777777" w:rsidR="00E66932" w:rsidRPr="00472194" w:rsidRDefault="00E66932" w:rsidP="00E66932">
      <w:pPr>
        <w:spacing w:line="276" w:lineRule="auto"/>
        <w:jc w:val="both"/>
        <w:rPr>
          <w:rFonts w:eastAsia="Calibri"/>
          <w:sz w:val="22"/>
          <w:szCs w:val="22"/>
        </w:rPr>
      </w:pPr>
      <w:r w:rsidRPr="00472194">
        <w:rPr>
          <w:rFonts w:eastAsia="Calibri"/>
          <w:sz w:val="22"/>
          <w:szCs w:val="22"/>
        </w:rPr>
        <w:t>(5) A munkatársak kötelesek a jelen szabályzat felhatalmazása alapján kiadott dékáni utasításban foglalt Kitöltési Útmutatónak megfelelően adott év június 15-ig a lezárt akadémiai évben nyújtott teljesítményükkel kapcsolatban kitölteni az értékelő lapjukat és a szükséges, önbevallással megadható adatokat feltölteni. Ezt követően az illetékes intézetvezető igazolja az oktatási és menedzsment teljesítményeket.</w:t>
      </w:r>
    </w:p>
    <w:p w14:paraId="4C32CAE4"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p>
    <w:p w14:paraId="539E5881"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r w:rsidRPr="00472194">
        <w:rPr>
          <w:rFonts w:eastAsia="Calibri"/>
          <w:sz w:val="22"/>
          <w:szCs w:val="22"/>
        </w:rPr>
        <w:t xml:space="preserve">(6) A munkatársak közvetlen munkahelyi vezetője (oktatók, kutatók esetében az adott intézet vezetője, és/vagy az intézet vezetőjének megbízása alapján az adott tanszék vezetője, intézetvezetők esetében a kar dékánja) köteles az adott év augusztus 15-ig elkészíteni a munkatárs által elvégzett értékelés és a személyes teljesítményértékelő megbeszélésen kialakított vezetői értékelés alapján azt a közös teljesítményértékelési </w:t>
      </w:r>
      <w:proofErr w:type="gramStart"/>
      <w:r w:rsidRPr="00472194">
        <w:rPr>
          <w:rFonts w:eastAsia="Calibri"/>
          <w:sz w:val="22"/>
          <w:szCs w:val="22"/>
        </w:rPr>
        <w:t>dokumentumot</w:t>
      </w:r>
      <w:proofErr w:type="gramEnd"/>
      <w:r w:rsidRPr="00472194">
        <w:rPr>
          <w:rFonts w:eastAsia="Calibri"/>
          <w:sz w:val="22"/>
          <w:szCs w:val="22"/>
        </w:rPr>
        <w:t xml:space="preserve">, amely az adott akadémiai év értékeléséül szolgál. Az egyetemi docens, egyetemi tanár, tudományos főmunkatárs, kutatóprofesszor munkakörben foglalkoztatott oktatók-kutatók személyes teljesítményértékelő megbeszélésén jelen van a dékán vagy egy dékánhelyettes is. A végleges értékelés kialakítása oly módon történik, hogy az értékelő lapon az értékelő és az értékelt javaslatot tehet az egyes szempontok szerinti minősítés módosítására, illetve szöveges kiegészítést tehet a vezetői értékelés során. A két fél által kialakított közös értékelőlap mindkét fél aláírásával kerül hitelesítésre. </w:t>
      </w:r>
    </w:p>
    <w:p w14:paraId="7CB6383B"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p>
    <w:p w14:paraId="75983ACC"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r w:rsidRPr="00472194">
        <w:rPr>
          <w:rFonts w:eastAsia="Calibri"/>
          <w:sz w:val="22"/>
          <w:szCs w:val="22"/>
        </w:rPr>
        <w:t>(7) A jóváhagyott értékelőlapok két példányát az értékelők kötelesek a Kar dékánjának címezve a Dékáni Hivatalba eljuttatni legkésőbb augusztus 31-ig. A Dékáni Hivatal egy példányt a HR referensek segítségével eljuttat a Kancellári Hivatal Humánpolitikai Főosztályára.</w:t>
      </w:r>
    </w:p>
    <w:p w14:paraId="6C149E9D"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p>
    <w:p w14:paraId="6E15ECA3"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r w:rsidRPr="00472194">
        <w:rPr>
          <w:rFonts w:eastAsia="Calibri"/>
          <w:sz w:val="22"/>
          <w:szCs w:val="22"/>
        </w:rPr>
        <w:t xml:space="preserve">(8) A teljesítmény </w:t>
      </w:r>
      <w:proofErr w:type="gramStart"/>
      <w:r w:rsidRPr="00472194">
        <w:rPr>
          <w:rFonts w:eastAsia="Calibri"/>
          <w:sz w:val="22"/>
          <w:szCs w:val="22"/>
        </w:rPr>
        <w:t>kritériumok</w:t>
      </w:r>
      <w:proofErr w:type="gramEnd"/>
      <w:r w:rsidRPr="00472194">
        <w:rPr>
          <w:rFonts w:eastAsia="Calibri"/>
          <w:sz w:val="22"/>
          <w:szCs w:val="22"/>
        </w:rPr>
        <w:t xml:space="preserve"> megbeszélése során az értékelő áttekinti a munkatárs elmúlt éves teljesítményét (az idő előre haladtával több év átlagos teljesítményét), valamint a következő tanév várható feladatait. Az értékelő felhívja a munkatárs figyelmét az esetleges hiányosságokra (az egyes teljesítmény-kategóriában és/vagy az összteljesítményben); javaslatot tesz a következő tanévben elvégzendő feladatokra, az egyéni karrierút várható lépéseire. Az értékelő döntése alapján megállapodásukat teljesítmény-megállapodás formájában rögzíthetik.</w:t>
      </w:r>
    </w:p>
    <w:p w14:paraId="5A240FF1" w14:textId="77777777" w:rsidR="00E66932" w:rsidRPr="00472194" w:rsidRDefault="00E66932" w:rsidP="00E66932">
      <w:pPr>
        <w:autoSpaceDE w:val="0"/>
        <w:autoSpaceDN w:val="0"/>
        <w:adjustRightInd w:val="0"/>
        <w:spacing w:line="276" w:lineRule="auto"/>
        <w:contextualSpacing/>
        <w:jc w:val="both"/>
        <w:rPr>
          <w:rFonts w:eastAsia="Calibri"/>
          <w:iCs/>
          <w:sz w:val="22"/>
          <w:szCs w:val="22"/>
        </w:rPr>
      </w:pPr>
    </w:p>
    <w:p w14:paraId="34846B97"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r w:rsidRPr="00472194">
        <w:rPr>
          <w:rFonts w:eastAsia="Calibri"/>
          <w:sz w:val="22"/>
          <w:szCs w:val="22"/>
        </w:rPr>
        <w:t xml:space="preserve">(9) A teljesítmény-megállapodás azokat a követelményeket rögzíti, amelyek tovább erősítik az adott munkatársnak a teljesítmény-célok iránti elkötelezettségét. Célja az éves tevékenység egyéni kulcsfeladatainak közös meghatározása, az elvárt eredmények siker-kritériumainak rögzítése, a munkatárs egyéni fejlesztési igényének feltárása és cselekvési terv rögzítése. </w:t>
      </w:r>
    </w:p>
    <w:p w14:paraId="57204DEE" w14:textId="77777777" w:rsidR="00E66932" w:rsidRPr="00472194" w:rsidRDefault="00E66932" w:rsidP="00E66932">
      <w:pPr>
        <w:spacing w:line="276" w:lineRule="auto"/>
        <w:contextualSpacing/>
        <w:rPr>
          <w:rFonts w:eastAsia="Calibri"/>
          <w:sz w:val="22"/>
          <w:szCs w:val="22"/>
        </w:rPr>
      </w:pPr>
    </w:p>
    <w:p w14:paraId="0D5A87A5" w14:textId="77777777" w:rsidR="00E66932" w:rsidRPr="00472194" w:rsidRDefault="00E66932" w:rsidP="00E66932">
      <w:pPr>
        <w:tabs>
          <w:tab w:val="left" w:pos="9781"/>
        </w:tabs>
        <w:spacing w:line="276" w:lineRule="auto"/>
        <w:ind w:right="-144"/>
        <w:jc w:val="both"/>
        <w:rPr>
          <w:rFonts w:eastAsia="Calibri"/>
          <w:sz w:val="22"/>
          <w:szCs w:val="22"/>
        </w:rPr>
      </w:pPr>
      <w:r w:rsidRPr="00472194">
        <w:rPr>
          <w:rFonts w:eastAsia="Calibri"/>
          <w:sz w:val="22"/>
          <w:szCs w:val="22"/>
        </w:rPr>
        <w:t xml:space="preserve">(10) A minősítés eredményét a dékán, valamint az érintett intézet vezetője jogosult megismerni. </w:t>
      </w:r>
    </w:p>
    <w:p w14:paraId="651272CC" w14:textId="77777777" w:rsidR="00E66932" w:rsidRPr="00472194" w:rsidRDefault="00E66932" w:rsidP="00E66932">
      <w:pPr>
        <w:tabs>
          <w:tab w:val="left" w:pos="9781"/>
        </w:tabs>
        <w:spacing w:line="276" w:lineRule="auto"/>
        <w:ind w:right="-144"/>
        <w:jc w:val="both"/>
        <w:rPr>
          <w:rFonts w:eastAsia="Calibri"/>
          <w:sz w:val="22"/>
          <w:szCs w:val="22"/>
        </w:rPr>
      </w:pPr>
    </w:p>
    <w:p w14:paraId="0FCADC3F" w14:textId="77777777" w:rsidR="00E66932" w:rsidRPr="00472194" w:rsidRDefault="00E66932" w:rsidP="00E66932">
      <w:pPr>
        <w:autoSpaceDE w:val="0"/>
        <w:autoSpaceDN w:val="0"/>
        <w:adjustRightInd w:val="0"/>
        <w:spacing w:line="276" w:lineRule="auto"/>
        <w:contextualSpacing/>
        <w:jc w:val="both"/>
        <w:rPr>
          <w:rFonts w:eastAsia="Calibri"/>
          <w:sz w:val="22"/>
          <w:szCs w:val="22"/>
        </w:rPr>
      </w:pPr>
      <w:r w:rsidRPr="00472194">
        <w:rPr>
          <w:rFonts w:eastAsia="Calibri"/>
          <w:sz w:val="22"/>
          <w:szCs w:val="22"/>
        </w:rPr>
        <w:t xml:space="preserve">(11) </w:t>
      </w:r>
      <w:r w:rsidRPr="00472194">
        <w:rPr>
          <w:sz w:val="22"/>
          <w:szCs w:val="22"/>
        </w:rPr>
        <w:t xml:space="preserve">A kiadott minősítések nyomán véglegesítésre kerülnek a következő tanév munkáltatói hatáskörben adott rendszeres illetménykiegészítései. </w:t>
      </w:r>
      <w:r w:rsidRPr="00472194">
        <w:rPr>
          <w:rFonts w:eastAsia="Calibri"/>
          <w:sz w:val="22"/>
          <w:szCs w:val="22"/>
        </w:rPr>
        <w:t xml:space="preserve"> </w:t>
      </w:r>
    </w:p>
    <w:p w14:paraId="74701215" w14:textId="77777777" w:rsidR="00E66932" w:rsidRPr="00472194" w:rsidRDefault="00E66932" w:rsidP="00E66932">
      <w:pPr>
        <w:spacing w:line="276" w:lineRule="auto"/>
        <w:contextualSpacing/>
        <w:rPr>
          <w:rFonts w:eastAsia="Calibri"/>
          <w:sz w:val="22"/>
          <w:szCs w:val="22"/>
        </w:rPr>
      </w:pPr>
    </w:p>
    <w:p w14:paraId="0A72AE7C" w14:textId="77777777" w:rsidR="00E66932" w:rsidRPr="00472194" w:rsidRDefault="00E66932" w:rsidP="00E66932">
      <w:pPr>
        <w:spacing w:line="276" w:lineRule="auto"/>
        <w:contextualSpacing/>
        <w:jc w:val="center"/>
        <w:rPr>
          <w:rFonts w:eastAsia="Calibri"/>
          <w:b/>
          <w:sz w:val="22"/>
          <w:szCs w:val="22"/>
        </w:rPr>
      </w:pPr>
    </w:p>
    <w:p w14:paraId="6C9C9273" w14:textId="77777777" w:rsidR="00E66932" w:rsidRPr="00472194" w:rsidRDefault="00E66932" w:rsidP="00E66932">
      <w:pPr>
        <w:spacing w:line="276" w:lineRule="auto"/>
        <w:contextualSpacing/>
        <w:jc w:val="center"/>
        <w:rPr>
          <w:rFonts w:eastAsia="Calibri"/>
          <w:b/>
          <w:sz w:val="22"/>
          <w:szCs w:val="22"/>
        </w:rPr>
      </w:pPr>
      <w:r w:rsidRPr="00472194">
        <w:rPr>
          <w:rFonts w:eastAsia="Calibri"/>
          <w:b/>
          <w:sz w:val="22"/>
          <w:szCs w:val="22"/>
        </w:rPr>
        <w:t>Záró és hatályba léptető rendelkezések</w:t>
      </w:r>
    </w:p>
    <w:p w14:paraId="4DAB49F3" w14:textId="77777777" w:rsidR="00E66932" w:rsidRPr="00472194" w:rsidRDefault="00E66932" w:rsidP="00E66932">
      <w:pPr>
        <w:spacing w:line="276" w:lineRule="auto"/>
        <w:rPr>
          <w:rFonts w:eastAsia="Calibri"/>
          <w:sz w:val="22"/>
          <w:szCs w:val="22"/>
        </w:rPr>
      </w:pPr>
    </w:p>
    <w:p w14:paraId="3F40D900" w14:textId="77777777" w:rsidR="00E66932" w:rsidRPr="00472194" w:rsidRDefault="00E66932" w:rsidP="00E66932">
      <w:pPr>
        <w:spacing w:line="276" w:lineRule="auto"/>
        <w:contextualSpacing/>
        <w:jc w:val="both"/>
        <w:rPr>
          <w:rFonts w:eastAsia="Calibri"/>
          <w:sz w:val="22"/>
          <w:szCs w:val="22"/>
        </w:rPr>
      </w:pPr>
      <w:r w:rsidRPr="00472194">
        <w:rPr>
          <w:rFonts w:eastAsia="Calibri"/>
          <w:b/>
          <w:sz w:val="22"/>
          <w:szCs w:val="22"/>
        </w:rPr>
        <w:t>7. §</w:t>
      </w:r>
      <w:r w:rsidRPr="00472194">
        <w:rPr>
          <w:rFonts w:eastAsia="Calibri"/>
          <w:sz w:val="22"/>
          <w:szCs w:val="22"/>
        </w:rPr>
        <w:t xml:space="preserve"> (1) Jelen szabályzat a Szenátus általi elfogadás napján lép hatályba, a szabályzatot első</w:t>
      </w:r>
      <w:r>
        <w:rPr>
          <w:rFonts w:eastAsia="Calibri"/>
          <w:sz w:val="22"/>
          <w:szCs w:val="22"/>
        </w:rPr>
        <w:t xml:space="preserve"> alkalommal pilot rendszerben a</w:t>
      </w:r>
      <w:r w:rsidRPr="00472194">
        <w:rPr>
          <w:rFonts w:eastAsia="Calibri"/>
          <w:sz w:val="22"/>
          <w:szCs w:val="22"/>
        </w:rPr>
        <w:t xml:space="preserve"> 2019/2020. tanév tekintetében kell alkalmazni a PTE Foglalkoztatási Követelményrendszerének 181. § (1) bekezdésében foglaltakra tekintettel.</w:t>
      </w:r>
    </w:p>
    <w:p w14:paraId="35D1BA27" w14:textId="77777777" w:rsidR="00E66932" w:rsidRPr="00472194" w:rsidRDefault="00E66932" w:rsidP="00E66932">
      <w:pPr>
        <w:spacing w:line="276" w:lineRule="auto"/>
        <w:contextualSpacing/>
        <w:jc w:val="both"/>
        <w:rPr>
          <w:rFonts w:eastAsia="Calibri"/>
          <w:sz w:val="22"/>
          <w:szCs w:val="22"/>
        </w:rPr>
      </w:pPr>
    </w:p>
    <w:p w14:paraId="49DF4C40" w14:textId="77777777" w:rsidR="00E66932" w:rsidRPr="00472194" w:rsidRDefault="00E66932" w:rsidP="00E66932">
      <w:pPr>
        <w:spacing w:line="276" w:lineRule="auto"/>
        <w:contextualSpacing/>
        <w:jc w:val="both"/>
        <w:rPr>
          <w:rFonts w:eastAsia="Calibri"/>
          <w:sz w:val="22"/>
          <w:szCs w:val="22"/>
        </w:rPr>
      </w:pPr>
      <w:r w:rsidRPr="00472194">
        <w:rPr>
          <w:rFonts w:eastAsia="Calibri"/>
          <w:sz w:val="22"/>
          <w:szCs w:val="22"/>
        </w:rPr>
        <w:t>(2)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kitöltési tájékoztatóról a Kar dékáni utasításban rendelkezhet.</w:t>
      </w:r>
    </w:p>
    <w:p w14:paraId="167D042D" w14:textId="77777777" w:rsidR="00E66932" w:rsidRPr="00472194" w:rsidRDefault="00E66932" w:rsidP="00E66932">
      <w:pPr>
        <w:spacing w:line="276" w:lineRule="auto"/>
        <w:contextualSpacing/>
        <w:jc w:val="both"/>
        <w:rPr>
          <w:rFonts w:eastAsia="Calibri"/>
          <w:sz w:val="22"/>
          <w:szCs w:val="22"/>
        </w:rPr>
      </w:pPr>
    </w:p>
    <w:p w14:paraId="5515EC6B" w14:textId="77777777" w:rsidR="00E66932" w:rsidRPr="00472194" w:rsidRDefault="00E66932" w:rsidP="00E66932">
      <w:pPr>
        <w:spacing w:line="276" w:lineRule="auto"/>
        <w:contextualSpacing/>
        <w:jc w:val="both"/>
        <w:rPr>
          <w:rFonts w:eastAsia="Calibri"/>
          <w:sz w:val="22"/>
          <w:szCs w:val="22"/>
        </w:rPr>
      </w:pPr>
    </w:p>
    <w:p w14:paraId="451B95F2" w14:textId="77777777" w:rsidR="00E66932" w:rsidRPr="00472194" w:rsidRDefault="00E66932" w:rsidP="00E66932">
      <w:pPr>
        <w:jc w:val="both"/>
        <w:rPr>
          <w:sz w:val="22"/>
          <w:szCs w:val="22"/>
        </w:rPr>
      </w:pPr>
      <w:r w:rsidRPr="00472194">
        <w:rPr>
          <w:b/>
          <w:bCs/>
          <w:sz w:val="22"/>
          <w:szCs w:val="22"/>
          <w:u w:val="single"/>
        </w:rPr>
        <w:t>Záradék</w:t>
      </w:r>
      <w:r w:rsidRPr="00472194">
        <w:rPr>
          <w:sz w:val="22"/>
          <w:szCs w:val="22"/>
        </w:rPr>
        <w:t>:</w:t>
      </w:r>
    </w:p>
    <w:p w14:paraId="4D290AF7" w14:textId="36C3A9E3" w:rsidR="001B6E1C" w:rsidRPr="00AD4B49" w:rsidRDefault="00E66932" w:rsidP="00E66932">
      <w:pPr>
        <w:pStyle w:val="Cmsor1"/>
        <w:jc w:val="both"/>
      </w:pPr>
      <w:r w:rsidRPr="00E66932">
        <w:rPr>
          <w:i/>
          <w:lang w:val="hu-HU"/>
        </w:rPr>
        <w:t xml:space="preserve">A Pécsi Tudományegyetem foglalkoztatási követelményrendszere 1/8. számú melléklete, a Pécsi Tudományegyetem Műszaki és Informatikai Karának Teljesítményértékelési Szabályzata átfogó módosítását az Oktatási Bizottság 65/2021. (06.02.)    számú határozatával hagyta jóvá. A módosított melléklet először </w:t>
      </w:r>
      <w:bookmarkStart w:id="372" w:name="_GoBack"/>
      <w:bookmarkEnd w:id="372"/>
      <w:r w:rsidRPr="00E66932">
        <w:rPr>
          <w:i/>
          <w:lang w:val="hu-HU"/>
        </w:rPr>
        <w:t xml:space="preserve">a 2020/2021. tanév vonatkozásában alkalmazandó azzal, hogy a 2020/2021. tanévi teljesítmény tekintetében, a 2021. évi minősítés eredményéhez kapcsolódóan nem alkalmazhatók hátrányos </w:t>
      </w:r>
      <w:r w:rsidR="00C54B98" w:rsidRPr="00C54B98">
        <w:rPr>
          <w:i/>
          <w:lang w:val="hu-HU"/>
        </w:rPr>
        <w:t>jogkövetkezmények.</w:t>
      </w:r>
      <w:r w:rsidR="00FD0545" w:rsidRPr="00E13CE5">
        <w:br w:type="page"/>
      </w:r>
      <w:bookmarkStart w:id="373" w:name="_Toc21961978"/>
      <w:bookmarkStart w:id="374" w:name="_Toc21963189"/>
      <w:bookmarkStart w:id="375" w:name="_Toc58569586"/>
      <w:r w:rsidR="001B6E1C" w:rsidRPr="00AD4B49">
        <w:lastRenderedPageBreak/>
        <w:t>1/9. számú melléklet</w:t>
      </w:r>
      <w:bookmarkEnd w:id="373"/>
      <w:bookmarkEnd w:id="374"/>
      <w:bookmarkEnd w:id="375"/>
    </w:p>
    <w:p w14:paraId="3A967FCC" w14:textId="77777777" w:rsidR="001B6E1C" w:rsidRPr="00AD4B49" w:rsidRDefault="001B6E1C" w:rsidP="001B6E1C">
      <w:pPr>
        <w:pStyle w:val="Cmsor1"/>
        <w:rPr>
          <w:rFonts w:eastAsia="Calibri"/>
        </w:rPr>
      </w:pPr>
      <w:bookmarkStart w:id="376" w:name="_Toc21961979"/>
      <w:bookmarkStart w:id="377" w:name="_Toc21963190"/>
      <w:bookmarkStart w:id="378" w:name="_Toc58569587"/>
      <w:r w:rsidRPr="00AD4B49">
        <w:rPr>
          <w:rFonts w:eastAsia="Calibri"/>
        </w:rPr>
        <w:t xml:space="preserve">A Pécsi Tudományegyetem </w:t>
      </w:r>
      <w:r w:rsidRPr="00AD4B49">
        <w:rPr>
          <w:rFonts w:eastAsia="Calibri"/>
          <w:bCs/>
        </w:rPr>
        <w:t xml:space="preserve">Művészeti Karának </w:t>
      </w:r>
      <w:r w:rsidRPr="00AD4B49">
        <w:rPr>
          <w:rFonts w:eastAsia="Calibri"/>
        </w:rPr>
        <w:t>Teljesítményértékelési Szabályzata</w:t>
      </w:r>
      <w:bookmarkEnd w:id="376"/>
      <w:bookmarkEnd w:id="377"/>
      <w:bookmarkEnd w:id="378"/>
    </w:p>
    <w:p w14:paraId="3AB17553" w14:textId="77777777" w:rsidR="001B6E1C" w:rsidRPr="00AD4B49" w:rsidRDefault="001B6E1C" w:rsidP="001B6E1C">
      <w:pPr>
        <w:autoSpaceDE w:val="0"/>
        <w:autoSpaceDN w:val="0"/>
        <w:adjustRightInd w:val="0"/>
        <w:jc w:val="both"/>
        <w:rPr>
          <w:rFonts w:eastAsia="Calibri"/>
          <w:color w:val="000000" w:themeColor="text1"/>
          <w:sz w:val="22"/>
          <w:szCs w:val="22"/>
        </w:rPr>
      </w:pPr>
    </w:p>
    <w:p w14:paraId="44EEBE2E" w14:textId="77777777" w:rsidR="001B6E1C" w:rsidRPr="00AD4B49" w:rsidRDefault="001B6E1C" w:rsidP="001B6E1C">
      <w:pPr>
        <w:autoSpaceDE w:val="0"/>
        <w:autoSpaceDN w:val="0"/>
        <w:adjustRightInd w:val="0"/>
        <w:jc w:val="both"/>
        <w:rPr>
          <w:rFonts w:eastAsia="Calibri"/>
          <w:color w:val="000000" w:themeColor="text1"/>
          <w:sz w:val="22"/>
          <w:szCs w:val="22"/>
        </w:rPr>
      </w:pPr>
      <w:r w:rsidRPr="00AD4B49">
        <w:rPr>
          <w:rFonts w:eastAsia="Calibri"/>
          <w:color w:val="000000" w:themeColor="text1"/>
          <w:sz w:val="22"/>
          <w:szCs w:val="22"/>
        </w:rPr>
        <w:t>A Kar oktató-kutató munkakörben, közalkalmazotti jogviszonyban foglalkoztatottak teljesítményének egységes értékelése céljából a minősítés szempontjainak alapjául szolgáló értékelési rendet jelen Szabályzatban határozza meg.</w:t>
      </w:r>
    </w:p>
    <w:p w14:paraId="1602BA10" w14:textId="77777777" w:rsidR="001B6E1C" w:rsidRPr="00AD4B49" w:rsidRDefault="001B6E1C" w:rsidP="001B6E1C">
      <w:pPr>
        <w:contextualSpacing/>
        <w:rPr>
          <w:rFonts w:eastAsia="Calibri"/>
          <w:color w:val="000000" w:themeColor="text1"/>
          <w:sz w:val="22"/>
          <w:szCs w:val="22"/>
        </w:rPr>
      </w:pPr>
    </w:p>
    <w:p w14:paraId="01A8B901"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A Szabályzat személyi hatálya</w:t>
      </w:r>
    </w:p>
    <w:p w14:paraId="40CE0FE3" w14:textId="77777777" w:rsidR="001B6E1C" w:rsidRPr="00AD4B49" w:rsidRDefault="001B6E1C" w:rsidP="001B6E1C">
      <w:pPr>
        <w:jc w:val="both"/>
        <w:rPr>
          <w:rFonts w:eastAsia="Calibri"/>
          <w:color w:val="000000" w:themeColor="text1"/>
          <w:sz w:val="22"/>
          <w:szCs w:val="22"/>
        </w:rPr>
      </w:pPr>
    </w:p>
    <w:p w14:paraId="3C445DF8" w14:textId="77777777" w:rsidR="001B6E1C" w:rsidRPr="00AD4B49" w:rsidRDefault="001B6E1C" w:rsidP="001B6E1C">
      <w:pPr>
        <w:jc w:val="both"/>
        <w:rPr>
          <w:rFonts w:eastAsia="Calibri"/>
          <w:sz w:val="22"/>
          <w:szCs w:val="22"/>
        </w:rPr>
      </w:pPr>
      <w:r w:rsidRPr="00AD4B49">
        <w:rPr>
          <w:rFonts w:eastAsia="Calibri"/>
          <w:b/>
          <w:color w:val="000000" w:themeColor="text1"/>
          <w:sz w:val="22"/>
          <w:szCs w:val="22"/>
        </w:rPr>
        <w:t>1. §</w:t>
      </w:r>
      <w:r w:rsidRPr="00AD4B49">
        <w:rPr>
          <w:rFonts w:eastAsia="Calibri"/>
          <w:color w:val="000000" w:themeColor="text1"/>
          <w:sz w:val="22"/>
          <w:szCs w:val="22"/>
        </w:rPr>
        <w:t xml:space="preserve"> (1)</w:t>
      </w:r>
      <w:r w:rsidRPr="00AD4B49">
        <w:rPr>
          <w:rStyle w:val="Lbjegyzet-hivatkozs"/>
          <w:rFonts w:eastAsia="Calibri"/>
          <w:color w:val="000000" w:themeColor="text1"/>
          <w:sz w:val="22"/>
          <w:szCs w:val="22"/>
        </w:rPr>
        <w:footnoteReference w:id="481"/>
      </w:r>
      <w:r w:rsidRPr="00AD4B49">
        <w:rPr>
          <w:rFonts w:eastAsia="Calibri"/>
          <w:color w:val="000000" w:themeColor="text1"/>
          <w:sz w:val="22"/>
          <w:szCs w:val="22"/>
        </w:rPr>
        <w:t xml:space="preserve"> A Szabályzat hatálya kiterjed a Kar közalkalmazotti jogviszonyban álló oktatói, kutatói munkakörben foglalkozatott munkatársára, kivéve a próbaidő alatt álló, és a tartós távolléten </w:t>
      </w:r>
      <w:r w:rsidRPr="00AD4B49">
        <w:rPr>
          <w:rFonts w:eastAsia="Calibri"/>
          <w:sz w:val="22"/>
          <w:szCs w:val="22"/>
        </w:rPr>
        <w:t>tartózkodó, illetve az adott minősítési időszakban fizetésnélküli szabadságban részesült közalkalmazottakat.</w:t>
      </w:r>
    </w:p>
    <w:p w14:paraId="25D5C49E" w14:textId="77777777" w:rsidR="001B6E1C" w:rsidRPr="00AD4B49" w:rsidRDefault="001B6E1C" w:rsidP="001B6E1C">
      <w:pPr>
        <w:jc w:val="both"/>
        <w:rPr>
          <w:rFonts w:eastAsia="Calibri"/>
          <w:b/>
          <w:i/>
          <w:color w:val="000000" w:themeColor="text1"/>
          <w:sz w:val="22"/>
          <w:szCs w:val="22"/>
        </w:rPr>
      </w:pPr>
    </w:p>
    <w:p w14:paraId="14E4ACDB"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(2) A Szabályzat hatálya nem terjed ki az oktatási vagy kutatási tevékenységet végző, nem közalkalmazotti </w:t>
      </w:r>
      <w:proofErr w:type="gramStart"/>
      <w:r w:rsidRPr="00AD4B49">
        <w:rPr>
          <w:rFonts w:eastAsia="Calibri"/>
          <w:color w:val="000000" w:themeColor="text1"/>
          <w:sz w:val="22"/>
          <w:szCs w:val="22"/>
        </w:rPr>
        <w:t>státuszban</w:t>
      </w:r>
      <w:proofErr w:type="gramEnd"/>
      <w:r w:rsidRPr="00AD4B49">
        <w:rPr>
          <w:rFonts w:eastAsia="Calibri"/>
          <w:color w:val="000000" w:themeColor="text1"/>
          <w:sz w:val="22"/>
          <w:szCs w:val="22"/>
        </w:rPr>
        <w:t xml:space="preserve"> foglalkoztatottakra, és a nem oktató vagy kutató munkakörben foglalkoztatott közalkalmazottakra.</w:t>
      </w:r>
    </w:p>
    <w:p w14:paraId="23C7FDAA" w14:textId="77777777" w:rsidR="001B6E1C" w:rsidRPr="00AD4B49" w:rsidRDefault="001B6E1C" w:rsidP="001B6E1C">
      <w:pPr>
        <w:contextualSpacing/>
        <w:rPr>
          <w:rFonts w:eastAsia="Calibri"/>
          <w:color w:val="000000" w:themeColor="text1"/>
          <w:sz w:val="22"/>
          <w:szCs w:val="22"/>
        </w:rPr>
      </w:pPr>
    </w:p>
    <w:p w14:paraId="4A5B2DC3"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A Szabályzat tárgyi hatálya</w:t>
      </w:r>
    </w:p>
    <w:p w14:paraId="26F764DD" w14:textId="77777777" w:rsidR="001B6E1C" w:rsidRPr="00AD4B49" w:rsidRDefault="001B6E1C" w:rsidP="001B6E1C">
      <w:pPr>
        <w:contextualSpacing/>
        <w:rPr>
          <w:rFonts w:eastAsia="Calibri"/>
          <w:color w:val="000000" w:themeColor="text1"/>
          <w:sz w:val="22"/>
          <w:szCs w:val="22"/>
        </w:rPr>
      </w:pPr>
    </w:p>
    <w:p w14:paraId="7BE52FA6"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2. §</w:t>
      </w:r>
      <w:r w:rsidRPr="00AD4B49">
        <w:rPr>
          <w:rFonts w:eastAsia="Calibri"/>
          <w:color w:val="000000" w:themeColor="text1"/>
          <w:sz w:val="22"/>
          <w:szCs w:val="22"/>
        </w:rPr>
        <w:t xml:space="preserve"> (1) Jelen Szabályzat tárgyi hatálya a Teljesítményértékelési Rendszernek (továbbiakban: TÉR) a Karon történő működtetésére, az azzal kapcsolatos feladatok végrehajtására és a minősítésre terjed ki.</w:t>
      </w:r>
    </w:p>
    <w:p w14:paraId="2261EA71" w14:textId="77777777" w:rsidR="001B6E1C" w:rsidRPr="00AD4B49" w:rsidRDefault="001B6E1C" w:rsidP="001B6E1C">
      <w:pPr>
        <w:contextualSpacing/>
        <w:rPr>
          <w:rFonts w:eastAsia="Calibri"/>
          <w:color w:val="000000" w:themeColor="text1"/>
          <w:sz w:val="22"/>
          <w:szCs w:val="22"/>
        </w:rPr>
      </w:pPr>
    </w:p>
    <w:p w14:paraId="216BC3B3"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A TÉR célja és alapelvei</w:t>
      </w:r>
    </w:p>
    <w:p w14:paraId="3E3F6AEA" w14:textId="77777777" w:rsidR="001B6E1C" w:rsidRPr="00AD4B49" w:rsidRDefault="001B6E1C" w:rsidP="001B6E1C">
      <w:pPr>
        <w:contextualSpacing/>
        <w:rPr>
          <w:rFonts w:eastAsia="Calibri"/>
          <w:color w:val="000000" w:themeColor="text1"/>
          <w:sz w:val="22"/>
          <w:szCs w:val="22"/>
        </w:rPr>
      </w:pPr>
    </w:p>
    <w:p w14:paraId="21F57863" w14:textId="77777777" w:rsidR="001B6E1C" w:rsidRPr="00AD4B49" w:rsidRDefault="001B6E1C" w:rsidP="001B6E1C">
      <w:pPr>
        <w:jc w:val="both"/>
        <w:rPr>
          <w:rFonts w:eastAsia="Calibri"/>
          <w:color w:val="000000" w:themeColor="text1"/>
          <w:sz w:val="22"/>
          <w:szCs w:val="22"/>
        </w:rPr>
      </w:pPr>
      <w:r w:rsidRPr="00AD4B49">
        <w:rPr>
          <w:rFonts w:eastAsia="Calibri"/>
          <w:b/>
          <w:color w:val="000000" w:themeColor="text1"/>
          <w:sz w:val="22"/>
          <w:szCs w:val="22"/>
        </w:rPr>
        <w:t>3. §.</w:t>
      </w:r>
      <w:r w:rsidRPr="00AD4B49">
        <w:rPr>
          <w:rFonts w:eastAsia="Calibri"/>
          <w:color w:val="000000" w:themeColor="text1"/>
          <w:sz w:val="22"/>
          <w:szCs w:val="22"/>
        </w:rPr>
        <w:t xml:space="preserve"> (1) Az Egyetem stratégiai céljaiban megjelenik a TÉR működtetésének szükségessége az átláthatóság és a hatékony erőforrás felhasználás érdekében.</w:t>
      </w:r>
    </w:p>
    <w:p w14:paraId="61183E96" w14:textId="77777777" w:rsidR="001B6E1C" w:rsidRPr="00AD4B49" w:rsidRDefault="001B6E1C" w:rsidP="001B6E1C">
      <w:pPr>
        <w:jc w:val="both"/>
        <w:rPr>
          <w:rFonts w:eastAsia="Calibri"/>
          <w:color w:val="000000" w:themeColor="text1"/>
          <w:sz w:val="22"/>
          <w:szCs w:val="22"/>
        </w:rPr>
      </w:pPr>
    </w:p>
    <w:p w14:paraId="7A25EB69" w14:textId="77777777" w:rsidR="001B6E1C" w:rsidRPr="00AD4B49" w:rsidRDefault="001B6E1C" w:rsidP="001B6E1C">
      <w:pPr>
        <w:jc w:val="both"/>
        <w:rPr>
          <w:rFonts w:eastAsia="Calibri"/>
          <w:color w:val="000000" w:themeColor="text1"/>
          <w:sz w:val="22"/>
          <w:szCs w:val="22"/>
        </w:rPr>
      </w:pPr>
      <w:r w:rsidRPr="00AD4B49">
        <w:rPr>
          <w:rFonts w:eastAsia="Calibri"/>
          <w:color w:val="000000" w:themeColor="text1"/>
          <w:sz w:val="22"/>
          <w:szCs w:val="22"/>
        </w:rPr>
        <w:t>(2) A minősítés célja a közalkalmazott munkaköri feladatai ellátásának megítélése, az ezt befolyásoló ismeretek, képességek, személyi tulajdonságok értékelése, továbbá a szakmai fejlődés elősegítése.</w:t>
      </w:r>
    </w:p>
    <w:p w14:paraId="1BC52311" w14:textId="77777777" w:rsidR="001B6E1C" w:rsidRPr="00AD4B49" w:rsidRDefault="001B6E1C" w:rsidP="001B6E1C">
      <w:pPr>
        <w:jc w:val="both"/>
        <w:rPr>
          <w:rFonts w:eastAsia="Calibri"/>
          <w:color w:val="000000" w:themeColor="text1"/>
          <w:sz w:val="22"/>
          <w:szCs w:val="22"/>
        </w:rPr>
      </w:pPr>
    </w:p>
    <w:p w14:paraId="74DF09D5" w14:textId="77777777" w:rsidR="001B6E1C" w:rsidRPr="00AD4B49" w:rsidRDefault="001B6E1C" w:rsidP="001B6E1C">
      <w:pPr>
        <w:jc w:val="both"/>
        <w:rPr>
          <w:rFonts w:eastAsia="Calibri"/>
          <w:color w:val="000000" w:themeColor="text1"/>
          <w:sz w:val="22"/>
          <w:szCs w:val="22"/>
        </w:rPr>
      </w:pPr>
      <w:r w:rsidRPr="00AD4B49">
        <w:rPr>
          <w:rFonts w:eastAsia="Calibri"/>
          <w:color w:val="000000" w:themeColor="text1"/>
          <w:sz w:val="22"/>
          <w:szCs w:val="22"/>
        </w:rPr>
        <w:t>(3) A TÉR</w:t>
      </w:r>
    </w:p>
    <w:p w14:paraId="2B89153C" w14:textId="77777777" w:rsidR="001B6E1C" w:rsidRPr="00AD4B49" w:rsidRDefault="001B6E1C" w:rsidP="00F83E93">
      <w:pPr>
        <w:numPr>
          <w:ilvl w:val="0"/>
          <w:numId w:val="159"/>
        </w:numPr>
        <w:jc w:val="both"/>
        <w:rPr>
          <w:rFonts w:eastAsia="Calibri"/>
          <w:color w:val="000000" w:themeColor="text1"/>
          <w:sz w:val="22"/>
          <w:szCs w:val="22"/>
        </w:rPr>
      </w:pPr>
      <w:r w:rsidRPr="00AD4B49">
        <w:rPr>
          <w:rFonts w:eastAsia="Calibri"/>
          <w:color w:val="000000" w:themeColor="text1"/>
          <w:sz w:val="22"/>
          <w:szCs w:val="22"/>
        </w:rPr>
        <w:t xml:space="preserve">lehetővé teszi a Kar oktatói által folytatott munka </w:t>
      </w:r>
      <w:proofErr w:type="gramStart"/>
      <w:r w:rsidRPr="00AD4B49">
        <w:rPr>
          <w:rFonts w:eastAsia="Calibri"/>
          <w:color w:val="000000" w:themeColor="text1"/>
          <w:sz w:val="22"/>
          <w:szCs w:val="22"/>
        </w:rPr>
        <w:t>objektívebb</w:t>
      </w:r>
      <w:proofErr w:type="gramEnd"/>
      <w:r w:rsidRPr="00AD4B49">
        <w:rPr>
          <w:rFonts w:eastAsia="Calibri"/>
          <w:color w:val="000000" w:themeColor="text1"/>
          <w:sz w:val="22"/>
          <w:szCs w:val="22"/>
        </w:rPr>
        <w:t xml:space="preserve"> megítélését, alapjául tud szolgálni az oktatói előmenetelt meghatározó döntéseknek, </w:t>
      </w:r>
    </w:p>
    <w:p w14:paraId="45006528" w14:textId="77777777" w:rsidR="001B6E1C" w:rsidRPr="00AD4B49" w:rsidRDefault="001B6E1C" w:rsidP="00F83E93">
      <w:pPr>
        <w:numPr>
          <w:ilvl w:val="0"/>
          <w:numId w:val="159"/>
        </w:numPr>
        <w:jc w:val="both"/>
        <w:rPr>
          <w:rFonts w:eastAsia="Calibri"/>
          <w:color w:val="000000" w:themeColor="text1"/>
          <w:sz w:val="22"/>
          <w:szCs w:val="22"/>
        </w:rPr>
      </w:pPr>
      <w:r w:rsidRPr="00AD4B49">
        <w:rPr>
          <w:rFonts w:eastAsia="Calibri"/>
          <w:color w:val="000000" w:themeColor="text1"/>
          <w:sz w:val="22"/>
          <w:szCs w:val="22"/>
        </w:rPr>
        <w:t xml:space="preserve"> lehetőséget ad a differenciált értékelésre az oktatás, művészeti tevékenység, a kutatás területén az egyes személyek, valamint szervezeti egységek kapcsán,</w:t>
      </w:r>
    </w:p>
    <w:p w14:paraId="3B357883" w14:textId="77777777" w:rsidR="001B6E1C" w:rsidRPr="00AD4B49" w:rsidRDefault="001B6E1C" w:rsidP="00F83E93">
      <w:pPr>
        <w:numPr>
          <w:ilvl w:val="0"/>
          <w:numId w:val="159"/>
        </w:numPr>
        <w:jc w:val="both"/>
        <w:rPr>
          <w:rFonts w:eastAsia="Calibri"/>
          <w:color w:val="000000" w:themeColor="text1"/>
          <w:sz w:val="22"/>
          <w:szCs w:val="22"/>
        </w:rPr>
      </w:pPr>
      <w:r w:rsidRPr="00AD4B49">
        <w:rPr>
          <w:rFonts w:eastAsia="Calibri"/>
          <w:color w:val="000000" w:themeColor="text1"/>
          <w:sz w:val="22"/>
          <w:szCs w:val="22"/>
        </w:rPr>
        <w:t xml:space="preserve"> figyelembe veszi az egyetemi oktató által a Kar érdekében végzett közösségi és </w:t>
      </w:r>
      <w:proofErr w:type="gramStart"/>
      <w:r w:rsidRPr="00AD4B49">
        <w:rPr>
          <w:rFonts w:eastAsia="Calibri"/>
          <w:color w:val="000000" w:themeColor="text1"/>
          <w:sz w:val="22"/>
          <w:szCs w:val="22"/>
        </w:rPr>
        <w:t>adminisztrációs</w:t>
      </w:r>
      <w:proofErr w:type="gramEnd"/>
      <w:r w:rsidRPr="00AD4B49">
        <w:rPr>
          <w:rFonts w:eastAsia="Calibri"/>
          <w:color w:val="000000" w:themeColor="text1"/>
          <w:sz w:val="22"/>
          <w:szCs w:val="22"/>
        </w:rPr>
        <w:t xml:space="preserve"> tevékenységet, </w:t>
      </w:r>
    </w:p>
    <w:p w14:paraId="0D5D1049" w14:textId="77777777" w:rsidR="001B6E1C" w:rsidRPr="00AD4B49" w:rsidRDefault="001B6E1C" w:rsidP="00F83E93">
      <w:pPr>
        <w:numPr>
          <w:ilvl w:val="0"/>
          <w:numId w:val="159"/>
        </w:numPr>
        <w:jc w:val="both"/>
        <w:rPr>
          <w:rFonts w:eastAsia="Calibri"/>
          <w:color w:val="000000" w:themeColor="text1"/>
          <w:sz w:val="22"/>
          <w:szCs w:val="22"/>
        </w:rPr>
      </w:pPr>
      <w:r w:rsidRPr="00AD4B49">
        <w:rPr>
          <w:rFonts w:eastAsia="Calibri"/>
          <w:color w:val="000000" w:themeColor="text1"/>
          <w:sz w:val="22"/>
          <w:szCs w:val="22"/>
        </w:rPr>
        <w:t xml:space="preserve">alapjául szolgálhat a jutalmak kifizetését meghatározó döntéseknek. </w:t>
      </w:r>
    </w:p>
    <w:p w14:paraId="46467A10" w14:textId="77777777" w:rsidR="001B6E1C" w:rsidRPr="00AD4B49" w:rsidRDefault="001B6E1C" w:rsidP="001B6E1C">
      <w:pPr>
        <w:jc w:val="both"/>
        <w:rPr>
          <w:rFonts w:eastAsia="Calibri"/>
          <w:color w:val="000000" w:themeColor="text1"/>
          <w:sz w:val="22"/>
          <w:szCs w:val="22"/>
        </w:rPr>
      </w:pPr>
    </w:p>
    <w:p w14:paraId="18C5A4D6" w14:textId="77777777" w:rsidR="001B6E1C" w:rsidRPr="00AD4B49" w:rsidRDefault="001B6E1C" w:rsidP="001B6E1C">
      <w:pPr>
        <w:jc w:val="both"/>
        <w:rPr>
          <w:rFonts w:eastAsia="Calibri"/>
          <w:color w:val="000000" w:themeColor="text1"/>
          <w:sz w:val="22"/>
          <w:szCs w:val="22"/>
        </w:rPr>
      </w:pPr>
      <w:r w:rsidRPr="00AD4B49">
        <w:rPr>
          <w:rFonts w:eastAsia="Calibri"/>
          <w:b/>
          <w:color w:val="000000" w:themeColor="text1"/>
          <w:sz w:val="22"/>
          <w:szCs w:val="22"/>
        </w:rPr>
        <w:t>4. §.</w:t>
      </w:r>
      <w:r w:rsidRPr="00AD4B49">
        <w:rPr>
          <w:rFonts w:eastAsia="Calibri"/>
          <w:color w:val="000000" w:themeColor="text1"/>
          <w:sz w:val="22"/>
          <w:szCs w:val="22"/>
        </w:rPr>
        <w:t xml:space="preserve"> (1) A Karon közalkalmazotti jogviszonyban foglalkoztatott oktató, mesteroktató, kutató teljesítményét tanévenként értékelni kell. </w:t>
      </w:r>
    </w:p>
    <w:p w14:paraId="7151643B" w14:textId="77777777" w:rsidR="001B6E1C" w:rsidRPr="00AD4B49" w:rsidRDefault="001B6E1C" w:rsidP="001B6E1C">
      <w:pPr>
        <w:jc w:val="both"/>
        <w:rPr>
          <w:rFonts w:eastAsia="Calibri"/>
          <w:color w:val="000000" w:themeColor="text1"/>
          <w:sz w:val="22"/>
          <w:szCs w:val="22"/>
        </w:rPr>
      </w:pPr>
    </w:p>
    <w:p w14:paraId="5A7F1801" w14:textId="77777777" w:rsidR="001B6E1C" w:rsidRPr="00AD4B49" w:rsidRDefault="001B6E1C" w:rsidP="001B6E1C">
      <w:pPr>
        <w:jc w:val="both"/>
        <w:rPr>
          <w:rFonts w:eastAsia="Calibri"/>
          <w:color w:val="000000" w:themeColor="text1"/>
          <w:sz w:val="22"/>
          <w:szCs w:val="22"/>
        </w:rPr>
      </w:pPr>
      <w:r w:rsidRPr="00AD4B49">
        <w:rPr>
          <w:rFonts w:eastAsia="Calibri"/>
          <w:color w:val="000000" w:themeColor="text1"/>
          <w:sz w:val="22"/>
          <w:szCs w:val="22"/>
        </w:rPr>
        <w:t xml:space="preserve">(2) Az oktatókra, kutatókra, mesteroktatókra vonatkozó </w:t>
      </w:r>
      <w:proofErr w:type="gramStart"/>
      <w:r w:rsidRPr="00AD4B49">
        <w:rPr>
          <w:rFonts w:eastAsia="Calibri"/>
          <w:color w:val="000000" w:themeColor="text1"/>
          <w:sz w:val="22"/>
          <w:szCs w:val="22"/>
        </w:rPr>
        <w:t>komplex</w:t>
      </w:r>
      <w:proofErr w:type="gramEnd"/>
      <w:r w:rsidRPr="00AD4B49">
        <w:rPr>
          <w:rFonts w:eastAsia="Calibri"/>
          <w:color w:val="000000" w:themeColor="text1"/>
          <w:sz w:val="22"/>
          <w:szCs w:val="22"/>
        </w:rPr>
        <w:t xml:space="preserve"> TÉR három részből tevődik össze: </w:t>
      </w:r>
    </w:p>
    <w:p w14:paraId="58C8BFD8" w14:textId="77777777" w:rsidR="001B6E1C" w:rsidRPr="00AD4B49" w:rsidRDefault="001B6E1C" w:rsidP="00F83E93">
      <w:pPr>
        <w:numPr>
          <w:ilvl w:val="0"/>
          <w:numId w:val="160"/>
        </w:numPr>
        <w:jc w:val="both"/>
        <w:rPr>
          <w:rFonts w:eastAsia="Calibri"/>
          <w:color w:val="000000" w:themeColor="text1"/>
          <w:sz w:val="22"/>
          <w:szCs w:val="22"/>
        </w:rPr>
      </w:pPr>
      <w:r w:rsidRPr="00AD4B49">
        <w:rPr>
          <w:rFonts w:eastAsia="Calibri"/>
          <w:color w:val="000000" w:themeColor="text1"/>
          <w:sz w:val="22"/>
          <w:szCs w:val="22"/>
        </w:rPr>
        <w:t xml:space="preserve">  a munkáltató, és a közvetlen felettes által készített </w:t>
      </w:r>
      <w:r w:rsidRPr="00AD4B49">
        <w:rPr>
          <w:rFonts w:eastAsia="Calibri"/>
          <w:b/>
          <w:color w:val="000000" w:themeColor="text1"/>
          <w:sz w:val="22"/>
          <w:szCs w:val="22"/>
        </w:rPr>
        <w:t>minősítési lap</w:t>
      </w:r>
      <w:r w:rsidRPr="00AD4B49">
        <w:rPr>
          <w:rFonts w:eastAsia="Calibri"/>
          <w:color w:val="000000" w:themeColor="text1"/>
          <w:sz w:val="22"/>
          <w:szCs w:val="22"/>
        </w:rPr>
        <w:t xml:space="preserve"> az oktató, kutató művészeti, tudományos, oktatási, közéleti tevékenységéről (HR kézikönyv NY6/2 iratminta az oktató, kutató munkakörben foglalkoztatott közalkalmazottak minősítéséhez). </w:t>
      </w:r>
    </w:p>
    <w:p w14:paraId="2874A75F" w14:textId="77777777" w:rsidR="001B6E1C" w:rsidRPr="00AD4B49" w:rsidRDefault="001B6E1C" w:rsidP="00F83E93">
      <w:pPr>
        <w:numPr>
          <w:ilvl w:val="0"/>
          <w:numId w:val="160"/>
        </w:numPr>
        <w:jc w:val="both"/>
        <w:rPr>
          <w:rFonts w:eastAsia="Calibri"/>
          <w:color w:val="000000" w:themeColor="text1"/>
          <w:sz w:val="22"/>
          <w:szCs w:val="22"/>
        </w:rPr>
      </w:pPr>
      <w:r w:rsidRPr="00AD4B49">
        <w:rPr>
          <w:rFonts w:eastAsia="Calibri"/>
          <w:color w:val="000000" w:themeColor="text1"/>
          <w:sz w:val="22"/>
          <w:szCs w:val="22"/>
        </w:rPr>
        <w:t xml:space="preserve"> az adott tanév oktatói, kutatói munkaköri feladatok ellátásáról és a művészeti/ tudományos tevékenységről a jelen szabályzat végrehajtására készített </w:t>
      </w:r>
      <w:r w:rsidRPr="00AD4B49">
        <w:rPr>
          <w:rFonts w:eastAsia="Calibri"/>
          <w:b/>
          <w:color w:val="000000" w:themeColor="text1"/>
          <w:sz w:val="22"/>
          <w:szCs w:val="22"/>
        </w:rPr>
        <w:t>oktatói minősítés táblázat</w:t>
      </w:r>
      <w:r w:rsidRPr="00AD4B49">
        <w:rPr>
          <w:rFonts w:eastAsia="Calibri"/>
          <w:color w:val="000000" w:themeColor="text1"/>
          <w:sz w:val="22"/>
          <w:szCs w:val="22"/>
        </w:rPr>
        <w:t xml:space="preserve"> kitöltése. </w:t>
      </w:r>
    </w:p>
    <w:p w14:paraId="1E45C28D" w14:textId="77777777" w:rsidR="001B6E1C" w:rsidRPr="00AD4B49" w:rsidRDefault="001B6E1C" w:rsidP="00F83E93">
      <w:pPr>
        <w:numPr>
          <w:ilvl w:val="0"/>
          <w:numId w:val="160"/>
        </w:numPr>
        <w:jc w:val="both"/>
        <w:rPr>
          <w:rFonts w:eastAsia="Calibri"/>
          <w:color w:val="000000" w:themeColor="text1"/>
          <w:sz w:val="22"/>
          <w:szCs w:val="22"/>
        </w:rPr>
      </w:pPr>
      <w:r w:rsidRPr="00AD4B49">
        <w:rPr>
          <w:rFonts w:eastAsia="Calibri"/>
          <w:color w:val="000000" w:themeColor="text1"/>
          <w:sz w:val="22"/>
          <w:szCs w:val="22"/>
        </w:rPr>
        <w:t xml:space="preserve"> a kari weboldalon a </w:t>
      </w:r>
      <w:r w:rsidRPr="00AD4B49">
        <w:rPr>
          <w:rFonts w:eastAsia="Calibri"/>
          <w:b/>
          <w:color w:val="000000" w:themeColor="text1"/>
          <w:sz w:val="22"/>
          <w:szCs w:val="22"/>
        </w:rPr>
        <w:t>szakmai önéletrajz</w:t>
      </w:r>
      <w:r w:rsidRPr="00AD4B49">
        <w:rPr>
          <w:rFonts w:eastAsia="Calibri"/>
          <w:color w:val="000000" w:themeColor="text1"/>
          <w:sz w:val="22"/>
          <w:szCs w:val="22"/>
        </w:rPr>
        <w:t xml:space="preserve"> rendszeres frissítése, amely megfelel a b) pont szerinti táblázatban összesített adatoknak.</w:t>
      </w:r>
    </w:p>
    <w:p w14:paraId="7545694C" w14:textId="77777777" w:rsidR="001B6E1C" w:rsidRPr="00AD4B49" w:rsidRDefault="001B6E1C" w:rsidP="001B6E1C">
      <w:pPr>
        <w:ind w:left="720"/>
        <w:jc w:val="both"/>
        <w:rPr>
          <w:rFonts w:eastAsia="Calibri"/>
          <w:color w:val="000000" w:themeColor="text1"/>
          <w:sz w:val="22"/>
          <w:szCs w:val="22"/>
        </w:rPr>
      </w:pPr>
    </w:p>
    <w:p w14:paraId="02E56CCB" w14:textId="77777777" w:rsidR="001B6E1C" w:rsidRPr="00AD4B49" w:rsidRDefault="001B6E1C" w:rsidP="001B6E1C">
      <w:pPr>
        <w:jc w:val="both"/>
        <w:rPr>
          <w:rFonts w:eastAsia="Calibri"/>
          <w:color w:val="000000" w:themeColor="text1"/>
          <w:sz w:val="22"/>
          <w:szCs w:val="22"/>
        </w:rPr>
      </w:pPr>
      <w:r w:rsidRPr="00AD4B49">
        <w:rPr>
          <w:rFonts w:eastAsia="Calibri"/>
          <w:color w:val="000000" w:themeColor="text1"/>
          <w:sz w:val="22"/>
          <w:szCs w:val="22"/>
        </w:rPr>
        <w:lastRenderedPageBreak/>
        <w:t>(3)</w:t>
      </w:r>
      <w:r w:rsidRPr="00AD4B49">
        <w:rPr>
          <w:rStyle w:val="Lbjegyzet-hivatkozs"/>
          <w:rFonts w:eastAsia="Calibri"/>
          <w:color w:val="000000" w:themeColor="text1"/>
          <w:sz w:val="22"/>
          <w:szCs w:val="22"/>
        </w:rPr>
        <w:footnoteReference w:id="482"/>
      </w:r>
      <w:r w:rsidRPr="00AD4B49">
        <w:rPr>
          <w:rFonts w:eastAsia="Calibri"/>
          <w:color w:val="000000" w:themeColor="text1"/>
          <w:sz w:val="22"/>
          <w:szCs w:val="22"/>
        </w:rPr>
        <w:t xml:space="preserve"> Az oktatói minősítési táblázat három nagy területet foglal magába: </w:t>
      </w:r>
    </w:p>
    <w:p w14:paraId="368B55AE" w14:textId="77777777" w:rsidR="001B6E1C" w:rsidRPr="00AD4B49" w:rsidRDefault="001B6E1C" w:rsidP="00F83E93">
      <w:pPr>
        <w:numPr>
          <w:ilvl w:val="0"/>
          <w:numId w:val="161"/>
        </w:numPr>
        <w:jc w:val="both"/>
        <w:rPr>
          <w:rFonts w:eastAsia="Calibri"/>
          <w:sz w:val="22"/>
          <w:szCs w:val="22"/>
        </w:rPr>
      </w:pPr>
      <w:r w:rsidRPr="00AD4B49">
        <w:rPr>
          <w:rFonts w:eastAsia="Calibri"/>
          <w:sz w:val="22"/>
          <w:szCs w:val="22"/>
        </w:rPr>
        <w:t xml:space="preserve"> oktatói </w:t>
      </w:r>
      <w:proofErr w:type="gramStart"/>
      <w:r w:rsidRPr="00AD4B49">
        <w:rPr>
          <w:rFonts w:eastAsia="Calibri"/>
          <w:sz w:val="22"/>
          <w:szCs w:val="22"/>
        </w:rPr>
        <w:t>tevékenység</w:t>
      </w:r>
      <w:r w:rsidRPr="00AD4B49" w:rsidDel="00520D84">
        <w:rPr>
          <w:rFonts w:eastAsia="Calibri"/>
          <w:sz w:val="22"/>
          <w:szCs w:val="22"/>
        </w:rPr>
        <w:t xml:space="preserve"> </w:t>
      </w:r>
      <w:r w:rsidRPr="00AD4B49">
        <w:rPr>
          <w:rFonts w:eastAsia="Calibri"/>
          <w:sz w:val="22"/>
          <w:szCs w:val="22"/>
        </w:rPr>
        <w:t>;</w:t>
      </w:r>
      <w:proofErr w:type="gramEnd"/>
      <w:r w:rsidRPr="00AD4B49">
        <w:rPr>
          <w:rFonts w:eastAsia="Calibri"/>
          <w:sz w:val="22"/>
          <w:szCs w:val="22"/>
        </w:rPr>
        <w:t xml:space="preserve"> </w:t>
      </w:r>
    </w:p>
    <w:p w14:paraId="1A62B4F4" w14:textId="77777777" w:rsidR="001B6E1C" w:rsidRPr="00AD4B49" w:rsidRDefault="001B6E1C" w:rsidP="00F83E93">
      <w:pPr>
        <w:numPr>
          <w:ilvl w:val="0"/>
          <w:numId w:val="161"/>
        </w:numPr>
        <w:jc w:val="both"/>
        <w:rPr>
          <w:rFonts w:eastAsia="Calibri"/>
          <w:sz w:val="22"/>
          <w:szCs w:val="22"/>
        </w:rPr>
      </w:pPr>
      <w:r w:rsidRPr="00AD4B49">
        <w:rPr>
          <w:rFonts w:eastAsia="Calibri"/>
          <w:sz w:val="22"/>
          <w:szCs w:val="22"/>
        </w:rPr>
        <w:t>oktatási menedzsment;</w:t>
      </w:r>
    </w:p>
    <w:p w14:paraId="57C4BCB8" w14:textId="77777777" w:rsidR="001B6E1C" w:rsidRPr="00AD4B49" w:rsidRDefault="001B6E1C" w:rsidP="00F83E93">
      <w:pPr>
        <w:numPr>
          <w:ilvl w:val="0"/>
          <w:numId w:val="161"/>
        </w:numPr>
        <w:jc w:val="both"/>
        <w:rPr>
          <w:rFonts w:eastAsia="Calibri"/>
          <w:sz w:val="22"/>
          <w:szCs w:val="22"/>
        </w:rPr>
      </w:pPr>
      <w:r w:rsidRPr="00AD4B49">
        <w:rPr>
          <w:rFonts w:eastAsia="Calibri"/>
          <w:sz w:val="22"/>
          <w:szCs w:val="22"/>
        </w:rPr>
        <w:t>művészeti-kutatási tevékenység.</w:t>
      </w:r>
    </w:p>
    <w:p w14:paraId="3188D502" w14:textId="77777777" w:rsidR="001B6E1C" w:rsidRPr="00AD4B49" w:rsidRDefault="001B6E1C" w:rsidP="001B6E1C">
      <w:pPr>
        <w:contextualSpacing/>
        <w:jc w:val="both"/>
        <w:rPr>
          <w:rFonts w:eastAsia="Calibri"/>
          <w:sz w:val="22"/>
          <w:szCs w:val="22"/>
        </w:rPr>
      </w:pPr>
    </w:p>
    <w:p w14:paraId="6960725C"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5. §</w:t>
      </w:r>
      <w:r w:rsidRPr="00AD4B49">
        <w:rPr>
          <w:rFonts w:eastAsia="Calibri"/>
          <w:color w:val="000000" w:themeColor="text1"/>
          <w:sz w:val="22"/>
          <w:szCs w:val="22"/>
        </w:rPr>
        <w:t xml:space="preserve"> A művészeti tevékenység </w:t>
      </w:r>
      <w:proofErr w:type="gramStart"/>
      <w:r w:rsidRPr="00AD4B49">
        <w:rPr>
          <w:rFonts w:eastAsia="Calibri"/>
          <w:color w:val="000000" w:themeColor="text1"/>
          <w:sz w:val="22"/>
          <w:szCs w:val="22"/>
        </w:rPr>
        <w:t>aktivitása</w:t>
      </w:r>
      <w:proofErr w:type="gramEnd"/>
      <w:r w:rsidRPr="00AD4B49">
        <w:rPr>
          <w:rFonts w:eastAsia="Calibri"/>
          <w:color w:val="000000" w:themeColor="text1"/>
          <w:sz w:val="22"/>
          <w:szCs w:val="22"/>
        </w:rPr>
        <w:t xml:space="preserve"> az előadóművészeti, képzőművészeti és a művészettudományi területeken eltérő, ezért ez a pontozási rendszerben is megjelenik.</w:t>
      </w:r>
    </w:p>
    <w:p w14:paraId="34101BF3" w14:textId="77777777" w:rsidR="001B6E1C" w:rsidRPr="00AD4B49" w:rsidRDefault="001B6E1C" w:rsidP="001B6E1C">
      <w:pPr>
        <w:contextualSpacing/>
        <w:jc w:val="both"/>
        <w:rPr>
          <w:rFonts w:eastAsia="Calibri"/>
          <w:color w:val="000000" w:themeColor="text1"/>
          <w:sz w:val="22"/>
          <w:szCs w:val="22"/>
        </w:rPr>
      </w:pPr>
    </w:p>
    <w:p w14:paraId="690CFBA9" w14:textId="77777777" w:rsidR="001B6E1C" w:rsidRPr="00AD4B49" w:rsidRDefault="001B6E1C" w:rsidP="001B6E1C">
      <w:pPr>
        <w:contextualSpacing/>
        <w:jc w:val="both"/>
        <w:rPr>
          <w:rFonts w:eastAsia="Calibri"/>
          <w:sz w:val="22"/>
          <w:szCs w:val="22"/>
        </w:rPr>
      </w:pPr>
      <w:r w:rsidRPr="00AD4B49">
        <w:rPr>
          <w:rFonts w:eastAsia="Calibri"/>
          <w:b/>
          <w:sz w:val="22"/>
          <w:szCs w:val="22"/>
        </w:rPr>
        <w:t>6.</w:t>
      </w:r>
      <w:r w:rsidRPr="00AD4B49">
        <w:rPr>
          <w:rFonts w:eastAsia="Calibri"/>
          <w:b/>
          <w:color w:val="000000" w:themeColor="text1"/>
          <w:sz w:val="22"/>
          <w:szCs w:val="22"/>
        </w:rPr>
        <w:t xml:space="preserve"> §</w:t>
      </w:r>
      <w:r w:rsidRPr="00AD4B49">
        <w:rPr>
          <w:rStyle w:val="Lbjegyzet-hivatkozs"/>
          <w:rFonts w:eastAsia="Calibri"/>
          <w:color w:val="000000" w:themeColor="text1"/>
          <w:sz w:val="22"/>
          <w:szCs w:val="22"/>
        </w:rPr>
        <w:footnoteReference w:id="483"/>
      </w:r>
      <w:r w:rsidRPr="00AD4B49">
        <w:rPr>
          <w:rFonts w:eastAsia="Calibri"/>
          <w:color w:val="000000" w:themeColor="text1"/>
          <w:sz w:val="22"/>
          <w:szCs w:val="22"/>
        </w:rPr>
        <w:t xml:space="preserve"> A </w:t>
      </w:r>
      <w:r w:rsidRPr="00AD4B49">
        <w:rPr>
          <w:rFonts w:eastAsia="Calibri"/>
          <w:sz w:val="22"/>
          <w:szCs w:val="22"/>
        </w:rPr>
        <w:t xml:space="preserve">teljesítményértékelés minden évben egyszer, nyáron történik. A teljesítményértékelés során az előző naptári év tavaszi szemeszterének végétől az </w:t>
      </w:r>
      <w:proofErr w:type="gramStart"/>
      <w:r w:rsidRPr="00AD4B49">
        <w:rPr>
          <w:rFonts w:eastAsia="Calibri"/>
          <w:sz w:val="22"/>
          <w:szCs w:val="22"/>
        </w:rPr>
        <w:t>aktuális</w:t>
      </w:r>
      <w:proofErr w:type="gramEnd"/>
      <w:r w:rsidRPr="00AD4B49">
        <w:rPr>
          <w:rFonts w:eastAsia="Calibri"/>
          <w:sz w:val="22"/>
          <w:szCs w:val="22"/>
        </w:rPr>
        <w:t xml:space="preserve"> naptári év tavaszi szemeszterének végéig terjedő időszakot kell figyelembe venni.</w:t>
      </w:r>
    </w:p>
    <w:p w14:paraId="321F800D" w14:textId="77777777" w:rsidR="001B6E1C" w:rsidRPr="00AD4B49" w:rsidRDefault="001B6E1C" w:rsidP="001B6E1C">
      <w:pPr>
        <w:contextualSpacing/>
        <w:jc w:val="both"/>
        <w:rPr>
          <w:rFonts w:eastAsia="Calibri"/>
          <w:color w:val="000000" w:themeColor="text1"/>
          <w:sz w:val="22"/>
          <w:szCs w:val="22"/>
        </w:rPr>
      </w:pPr>
    </w:p>
    <w:p w14:paraId="7D803DA6" w14:textId="77777777" w:rsidR="001B6E1C" w:rsidRPr="00AD4B49" w:rsidRDefault="001B6E1C" w:rsidP="001B6E1C">
      <w:pPr>
        <w:contextualSpacing/>
        <w:jc w:val="both"/>
        <w:rPr>
          <w:rFonts w:eastAsia="Calibri"/>
          <w:color w:val="000000" w:themeColor="text1"/>
          <w:sz w:val="22"/>
          <w:szCs w:val="22"/>
        </w:rPr>
      </w:pPr>
      <w:r w:rsidRPr="00AD4B49">
        <w:rPr>
          <w:rFonts w:eastAsia="Calibri"/>
          <w:b/>
          <w:sz w:val="22"/>
          <w:szCs w:val="22"/>
        </w:rPr>
        <w:t>7</w:t>
      </w:r>
      <w:r w:rsidRPr="00AD4B49">
        <w:rPr>
          <w:rFonts w:eastAsia="Calibri"/>
          <w:b/>
          <w:color w:val="000000" w:themeColor="text1"/>
          <w:sz w:val="22"/>
          <w:szCs w:val="22"/>
        </w:rPr>
        <w:t>. §</w:t>
      </w:r>
      <w:r w:rsidRPr="00AD4B49">
        <w:rPr>
          <w:rFonts w:eastAsia="Calibri"/>
          <w:color w:val="000000" w:themeColor="text1"/>
          <w:sz w:val="22"/>
          <w:szCs w:val="22"/>
        </w:rPr>
        <w:t xml:space="preserve"> (1) A szakmai önéletrajzot a dékáni utasításban meghatározott minta szerinti formában a kari honlapon évente frissíteni kell. A szakmai önéletrajzot a Magyar Akkreditációs Bizottság útmutatásához igazítva szükséges részletezni.</w:t>
      </w:r>
    </w:p>
    <w:p w14:paraId="3BC9FBB9" w14:textId="77777777" w:rsidR="001B6E1C" w:rsidRPr="00AD4B49" w:rsidRDefault="001B6E1C" w:rsidP="001B6E1C">
      <w:pPr>
        <w:contextualSpacing/>
        <w:jc w:val="both"/>
        <w:rPr>
          <w:rFonts w:eastAsia="Calibri"/>
          <w:color w:val="000000" w:themeColor="text1"/>
          <w:sz w:val="22"/>
          <w:szCs w:val="22"/>
        </w:rPr>
      </w:pPr>
    </w:p>
    <w:p w14:paraId="4ECAA9C5" w14:textId="77777777" w:rsidR="001B6E1C" w:rsidRPr="00AD4B49" w:rsidRDefault="001B6E1C" w:rsidP="001B6E1C">
      <w:pPr>
        <w:contextualSpacing/>
        <w:jc w:val="both"/>
        <w:rPr>
          <w:rFonts w:eastAsia="Calibri"/>
          <w:color w:val="000000" w:themeColor="text1"/>
          <w:sz w:val="22"/>
          <w:szCs w:val="22"/>
        </w:rPr>
      </w:pPr>
      <w:r w:rsidRPr="00AD4B49">
        <w:rPr>
          <w:rFonts w:eastAsia="Calibri"/>
          <w:b/>
          <w:sz w:val="22"/>
          <w:szCs w:val="22"/>
        </w:rPr>
        <w:t>8</w:t>
      </w:r>
      <w:r w:rsidRPr="00AD4B49">
        <w:rPr>
          <w:rFonts w:eastAsia="Calibri"/>
          <w:b/>
          <w:color w:val="000000" w:themeColor="text1"/>
          <w:sz w:val="22"/>
          <w:szCs w:val="22"/>
        </w:rPr>
        <w:t>. §</w:t>
      </w:r>
      <w:r w:rsidRPr="00AD4B49">
        <w:rPr>
          <w:rFonts w:eastAsia="Calibri"/>
          <w:color w:val="000000" w:themeColor="text1"/>
          <w:sz w:val="22"/>
          <w:szCs w:val="22"/>
        </w:rPr>
        <w:t xml:space="preserve"> A TÉR folyamatos működtetése a Dékáni Hivatal, mint felelős szervezeti egység, feladata.  </w:t>
      </w:r>
    </w:p>
    <w:p w14:paraId="4FDFC1EF" w14:textId="77777777" w:rsidR="001B6E1C" w:rsidRPr="00AD4B49" w:rsidRDefault="001B6E1C" w:rsidP="001B6E1C">
      <w:pPr>
        <w:contextualSpacing/>
        <w:jc w:val="both"/>
        <w:rPr>
          <w:rFonts w:eastAsia="Calibri"/>
          <w:color w:val="000000" w:themeColor="text1"/>
          <w:sz w:val="22"/>
          <w:szCs w:val="22"/>
        </w:rPr>
      </w:pPr>
    </w:p>
    <w:p w14:paraId="561FBFB8"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A kitöltés ütemezése</w:t>
      </w:r>
    </w:p>
    <w:p w14:paraId="1B0AE424" w14:textId="77777777" w:rsidR="001B6E1C" w:rsidRPr="00AD4B49" w:rsidRDefault="001B6E1C" w:rsidP="001B6E1C">
      <w:pPr>
        <w:contextualSpacing/>
        <w:jc w:val="center"/>
        <w:rPr>
          <w:rFonts w:eastAsia="Calibri"/>
          <w:b/>
          <w:color w:val="000000" w:themeColor="text1"/>
          <w:sz w:val="22"/>
          <w:szCs w:val="22"/>
        </w:rPr>
      </w:pPr>
    </w:p>
    <w:p w14:paraId="0BDEFAF2" w14:textId="77777777" w:rsidR="001B6E1C" w:rsidRPr="00AD4B49" w:rsidRDefault="001B6E1C" w:rsidP="001B6E1C">
      <w:pPr>
        <w:contextualSpacing/>
        <w:jc w:val="both"/>
        <w:rPr>
          <w:rFonts w:eastAsia="Calibri"/>
          <w:color w:val="000000" w:themeColor="text1"/>
          <w:sz w:val="22"/>
          <w:szCs w:val="22"/>
        </w:rPr>
      </w:pPr>
      <w:r w:rsidRPr="00AD4B49">
        <w:rPr>
          <w:rFonts w:eastAsia="Calibri"/>
          <w:b/>
          <w:sz w:val="22"/>
          <w:szCs w:val="22"/>
        </w:rPr>
        <w:t>9</w:t>
      </w:r>
      <w:r w:rsidRPr="00AD4B49">
        <w:rPr>
          <w:rFonts w:eastAsia="Calibri"/>
          <w:b/>
          <w:color w:val="000000" w:themeColor="text1"/>
          <w:sz w:val="22"/>
          <w:szCs w:val="22"/>
        </w:rPr>
        <w:t>. §</w:t>
      </w:r>
      <w:r w:rsidRPr="00AD4B49">
        <w:rPr>
          <w:rFonts w:eastAsia="Calibri"/>
          <w:color w:val="000000" w:themeColor="text1"/>
          <w:sz w:val="22"/>
          <w:szCs w:val="22"/>
        </w:rPr>
        <w:t xml:space="preserve"> (1) Az oktatói minősítéstábla kiküldése az oktatóknak elektronikusan: </w:t>
      </w:r>
      <w:r w:rsidRPr="00AD4B49">
        <w:rPr>
          <w:rFonts w:eastAsia="Calibri"/>
          <w:b/>
          <w:color w:val="000000" w:themeColor="text1"/>
          <w:sz w:val="22"/>
          <w:szCs w:val="22"/>
        </w:rPr>
        <w:t>minden tanév szorgalmi időszak vége.</w:t>
      </w:r>
      <w:r w:rsidRPr="00AD4B49">
        <w:rPr>
          <w:rFonts w:eastAsia="Calibri"/>
          <w:color w:val="000000" w:themeColor="text1"/>
          <w:sz w:val="22"/>
          <w:szCs w:val="22"/>
        </w:rPr>
        <w:t xml:space="preserve"> (Felelős: Dékáni Hivatal)</w:t>
      </w:r>
    </w:p>
    <w:p w14:paraId="044DBC6E" w14:textId="77777777" w:rsidR="001B6E1C" w:rsidRPr="00AD4B49" w:rsidRDefault="001B6E1C" w:rsidP="001B6E1C">
      <w:pPr>
        <w:contextualSpacing/>
        <w:jc w:val="both"/>
        <w:rPr>
          <w:rFonts w:eastAsia="Calibri"/>
          <w:color w:val="000000" w:themeColor="text1"/>
          <w:sz w:val="22"/>
          <w:szCs w:val="22"/>
        </w:rPr>
      </w:pPr>
    </w:p>
    <w:p w14:paraId="35428960"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(2) A minősítéstábla kitöltésének és visszaküldésének a végső határideje: </w:t>
      </w:r>
      <w:r w:rsidRPr="00AD4B49">
        <w:rPr>
          <w:rFonts w:eastAsia="Calibri"/>
          <w:b/>
          <w:color w:val="000000" w:themeColor="text1"/>
          <w:sz w:val="22"/>
          <w:szCs w:val="22"/>
        </w:rPr>
        <w:t>adott tanév vizsgaidőszak vége.</w:t>
      </w:r>
      <w:r w:rsidRPr="00AD4B49">
        <w:rPr>
          <w:rFonts w:eastAsia="Calibri"/>
          <w:color w:val="000000" w:themeColor="text1"/>
          <w:sz w:val="22"/>
          <w:szCs w:val="22"/>
        </w:rPr>
        <w:t xml:space="preserve"> (Felelős: az oktató)</w:t>
      </w:r>
    </w:p>
    <w:p w14:paraId="549CF14E" w14:textId="77777777" w:rsidR="001B6E1C" w:rsidRPr="00AD4B49" w:rsidRDefault="001B6E1C" w:rsidP="001B6E1C">
      <w:pPr>
        <w:contextualSpacing/>
        <w:jc w:val="both"/>
        <w:rPr>
          <w:rFonts w:eastAsia="Calibri"/>
          <w:color w:val="000000" w:themeColor="text1"/>
          <w:sz w:val="22"/>
          <w:szCs w:val="22"/>
        </w:rPr>
      </w:pPr>
    </w:p>
    <w:p w14:paraId="23E2177A"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(3) A szakmai önéletrajz frissítése a honlapon: </w:t>
      </w:r>
      <w:r w:rsidRPr="00AD4B49">
        <w:rPr>
          <w:rFonts w:eastAsia="Calibri"/>
          <w:b/>
          <w:color w:val="000000" w:themeColor="text1"/>
          <w:sz w:val="22"/>
          <w:szCs w:val="22"/>
        </w:rPr>
        <w:t>adott tanév vizsgaidőszak vége.</w:t>
      </w:r>
      <w:r w:rsidRPr="00AD4B49">
        <w:rPr>
          <w:rFonts w:eastAsia="Calibri"/>
          <w:color w:val="000000" w:themeColor="text1"/>
          <w:sz w:val="22"/>
          <w:szCs w:val="22"/>
        </w:rPr>
        <w:t xml:space="preserve"> (Felelős: oktató)</w:t>
      </w:r>
    </w:p>
    <w:p w14:paraId="33AB6A81" w14:textId="77777777" w:rsidR="001B6E1C" w:rsidRPr="00AD4B49" w:rsidRDefault="001B6E1C" w:rsidP="001B6E1C">
      <w:pPr>
        <w:contextualSpacing/>
        <w:jc w:val="both"/>
        <w:rPr>
          <w:rFonts w:eastAsia="Calibri"/>
          <w:color w:val="000000" w:themeColor="text1"/>
          <w:sz w:val="22"/>
          <w:szCs w:val="22"/>
        </w:rPr>
      </w:pPr>
    </w:p>
    <w:p w14:paraId="52219FC5" w14:textId="77777777" w:rsidR="001B6E1C" w:rsidRPr="00AD4B49" w:rsidRDefault="001B6E1C" w:rsidP="001B6E1C">
      <w:pPr>
        <w:contextualSpacing/>
        <w:jc w:val="both"/>
        <w:rPr>
          <w:rFonts w:eastAsia="Calibri"/>
          <w:b/>
          <w:color w:val="000000" w:themeColor="text1"/>
          <w:sz w:val="22"/>
          <w:szCs w:val="22"/>
        </w:rPr>
      </w:pPr>
      <w:r w:rsidRPr="00AD4B49">
        <w:rPr>
          <w:rFonts w:eastAsia="Calibri"/>
          <w:color w:val="000000" w:themeColor="text1"/>
          <w:sz w:val="22"/>
          <w:szCs w:val="22"/>
        </w:rPr>
        <w:t xml:space="preserve">(4) Az oktató által kitöltött minősítési tábla pontjainak összegzése és besorolása a négyes skálán: </w:t>
      </w:r>
      <w:r w:rsidRPr="00AD4B49">
        <w:rPr>
          <w:rFonts w:eastAsia="Calibri"/>
          <w:b/>
          <w:color w:val="000000" w:themeColor="text1"/>
          <w:sz w:val="22"/>
          <w:szCs w:val="22"/>
        </w:rPr>
        <w:t xml:space="preserve">július 15. </w:t>
      </w:r>
      <w:r w:rsidRPr="00AD4B49">
        <w:rPr>
          <w:rFonts w:eastAsia="Calibri"/>
          <w:color w:val="000000" w:themeColor="text1"/>
          <w:sz w:val="22"/>
          <w:szCs w:val="22"/>
        </w:rPr>
        <w:t>(Felelős: Dékáni Hivatal)</w:t>
      </w:r>
    </w:p>
    <w:p w14:paraId="6EFB184A" w14:textId="77777777" w:rsidR="001B6E1C" w:rsidRPr="00AD4B49" w:rsidRDefault="001B6E1C" w:rsidP="001B6E1C">
      <w:pPr>
        <w:contextualSpacing/>
        <w:jc w:val="both"/>
        <w:rPr>
          <w:rFonts w:eastAsia="Calibri"/>
          <w:color w:val="000000" w:themeColor="text1"/>
          <w:sz w:val="22"/>
          <w:szCs w:val="22"/>
        </w:rPr>
      </w:pPr>
    </w:p>
    <w:p w14:paraId="31DFB2EA"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(5) Az oktató által kitöltött minősítési tábla a minősítési lap, valamint az összesített pontszámok kiküldése a közvetlen felettesek részére: </w:t>
      </w:r>
      <w:r w:rsidRPr="00AD4B49">
        <w:rPr>
          <w:rFonts w:eastAsia="Calibri"/>
          <w:b/>
          <w:color w:val="000000" w:themeColor="text1"/>
          <w:sz w:val="22"/>
          <w:szCs w:val="22"/>
        </w:rPr>
        <w:t>július 16.</w:t>
      </w:r>
      <w:r w:rsidRPr="00AD4B49">
        <w:rPr>
          <w:rFonts w:eastAsia="Calibri"/>
          <w:color w:val="000000" w:themeColor="text1"/>
          <w:sz w:val="22"/>
          <w:szCs w:val="22"/>
        </w:rPr>
        <w:t xml:space="preserve"> (Felelős: Dékáni Hivatal)</w:t>
      </w:r>
    </w:p>
    <w:p w14:paraId="6DDF815D" w14:textId="77777777" w:rsidR="001B6E1C" w:rsidRPr="00AD4B49" w:rsidRDefault="001B6E1C" w:rsidP="001B6E1C">
      <w:pPr>
        <w:contextualSpacing/>
        <w:jc w:val="both"/>
        <w:rPr>
          <w:rFonts w:eastAsia="Calibri"/>
          <w:color w:val="000000" w:themeColor="text1"/>
          <w:sz w:val="22"/>
          <w:szCs w:val="22"/>
        </w:rPr>
      </w:pPr>
    </w:p>
    <w:p w14:paraId="3272BC21" w14:textId="77777777" w:rsidR="001B6E1C" w:rsidRPr="00AD4B49" w:rsidRDefault="001B6E1C" w:rsidP="001B6E1C">
      <w:pPr>
        <w:contextualSpacing/>
        <w:jc w:val="both"/>
        <w:rPr>
          <w:rFonts w:eastAsia="Calibri"/>
          <w:b/>
          <w:color w:val="000000" w:themeColor="text1"/>
          <w:sz w:val="22"/>
          <w:szCs w:val="22"/>
        </w:rPr>
      </w:pPr>
      <w:r w:rsidRPr="00AD4B49">
        <w:rPr>
          <w:rFonts w:eastAsia="Calibri"/>
          <w:color w:val="000000" w:themeColor="text1"/>
          <w:sz w:val="22"/>
          <w:szCs w:val="22"/>
        </w:rPr>
        <w:t xml:space="preserve">(6) A közvetlen felettes által kitöltött minősítési lap megküldése a munkáltató részére: </w:t>
      </w:r>
      <w:r w:rsidRPr="00AD4B49">
        <w:rPr>
          <w:rFonts w:eastAsia="Calibri"/>
          <w:b/>
          <w:color w:val="000000" w:themeColor="text1"/>
          <w:sz w:val="22"/>
          <w:szCs w:val="22"/>
        </w:rPr>
        <w:t xml:space="preserve">július 25. </w:t>
      </w:r>
      <w:r w:rsidRPr="00AD4B49">
        <w:rPr>
          <w:rFonts w:eastAsia="Calibri"/>
          <w:color w:val="000000" w:themeColor="text1"/>
          <w:sz w:val="22"/>
          <w:szCs w:val="22"/>
        </w:rPr>
        <w:t>(Felelős: közvetlen felettes)</w:t>
      </w:r>
    </w:p>
    <w:p w14:paraId="76A814D4" w14:textId="77777777" w:rsidR="001B6E1C" w:rsidRPr="00AD4B49" w:rsidRDefault="001B6E1C" w:rsidP="001B6E1C">
      <w:pPr>
        <w:contextualSpacing/>
        <w:jc w:val="both"/>
        <w:rPr>
          <w:rFonts w:eastAsia="Calibri"/>
          <w:color w:val="000000" w:themeColor="text1"/>
          <w:sz w:val="22"/>
          <w:szCs w:val="22"/>
        </w:rPr>
      </w:pPr>
    </w:p>
    <w:p w14:paraId="2933F6DD"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(7) A közvetlen felettes és a munkavállaló által kitöltött értékelés véglegesítésének végső határideje: </w:t>
      </w:r>
      <w:r w:rsidRPr="00AD4B49">
        <w:rPr>
          <w:rFonts w:eastAsia="Calibri"/>
          <w:b/>
          <w:color w:val="000000" w:themeColor="text1"/>
          <w:sz w:val="22"/>
          <w:szCs w:val="22"/>
        </w:rPr>
        <w:t xml:space="preserve">augusztus 21-30. </w:t>
      </w:r>
      <w:r w:rsidRPr="00AD4B49">
        <w:rPr>
          <w:rFonts w:eastAsia="Calibri"/>
          <w:color w:val="000000" w:themeColor="text1"/>
          <w:sz w:val="22"/>
          <w:szCs w:val="22"/>
        </w:rPr>
        <w:t>(Felelős: Dékáni Hivatal)</w:t>
      </w:r>
    </w:p>
    <w:p w14:paraId="49923ADA" w14:textId="77777777" w:rsidR="001B6E1C" w:rsidRPr="00AD4B49" w:rsidRDefault="001B6E1C" w:rsidP="001B6E1C">
      <w:pPr>
        <w:contextualSpacing/>
        <w:jc w:val="both"/>
        <w:rPr>
          <w:rFonts w:eastAsia="Calibri"/>
          <w:color w:val="000000" w:themeColor="text1"/>
          <w:sz w:val="22"/>
          <w:szCs w:val="22"/>
        </w:rPr>
      </w:pPr>
    </w:p>
    <w:p w14:paraId="09E88A60"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(8) Amennyiben az adott tárgyév augusztus 30-ig nem születik megegyezés, akkor a dékáni vezetésnek kötelessége kijelölni egy független harmadik felet, aki közvetít a vitás kérdésekben. A harmadik fél a mindenkor megbízott kari Minőségirányítási Bizottság egyik tagja. </w:t>
      </w:r>
    </w:p>
    <w:p w14:paraId="39113BCC" w14:textId="77777777" w:rsidR="001B6E1C" w:rsidRDefault="001B6E1C" w:rsidP="001B6E1C">
      <w:pPr>
        <w:spacing w:after="160" w:line="259" w:lineRule="auto"/>
        <w:rPr>
          <w:rFonts w:eastAsia="Calibri"/>
          <w:b/>
          <w:color w:val="000000" w:themeColor="text1"/>
          <w:sz w:val="22"/>
          <w:szCs w:val="22"/>
        </w:rPr>
      </w:pPr>
      <w:r>
        <w:rPr>
          <w:rFonts w:eastAsia="Calibri"/>
          <w:b/>
          <w:color w:val="000000" w:themeColor="text1"/>
          <w:sz w:val="22"/>
          <w:szCs w:val="22"/>
        </w:rPr>
        <w:br w:type="page"/>
      </w:r>
    </w:p>
    <w:p w14:paraId="652FE06B" w14:textId="77777777" w:rsidR="001B6E1C" w:rsidRPr="00AD4B49" w:rsidRDefault="001B6E1C" w:rsidP="001B6E1C">
      <w:pPr>
        <w:ind w:left="1080"/>
        <w:contextualSpacing/>
        <w:jc w:val="center"/>
        <w:rPr>
          <w:rFonts w:eastAsia="Calibri"/>
          <w:b/>
          <w:color w:val="000000" w:themeColor="text1"/>
          <w:sz w:val="22"/>
          <w:szCs w:val="22"/>
        </w:rPr>
      </w:pPr>
    </w:p>
    <w:p w14:paraId="78C14481"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A teljesítmények számítási rendje</w:t>
      </w:r>
    </w:p>
    <w:p w14:paraId="296E0EB0" w14:textId="77777777" w:rsidR="001B6E1C" w:rsidRPr="00AD4B49" w:rsidRDefault="001B6E1C" w:rsidP="001B6E1C">
      <w:pPr>
        <w:contextualSpacing/>
        <w:jc w:val="both"/>
        <w:rPr>
          <w:rFonts w:eastAsia="Calibri"/>
          <w:color w:val="000000" w:themeColor="text1"/>
          <w:sz w:val="22"/>
          <w:szCs w:val="22"/>
        </w:rPr>
      </w:pPr>
    </w:p>
    <w:p w14:paraId="7E36394B" w14:textId="77777777" w:rsidR="001B6E1C" w:rsidRPr="00AD4B49" w:rsidRDefault="001B6E1C" w:rsidP="001B6E1C">
      <w:pPr>
        <w:contextualSpacing/>
        <w:jc w:val="both"/>
        <w:rPr>
          <w:rFonts w:eastAsia="Calibri"/>
          <w:color w:val="000000" w:themeColor="text1"/>
          <w:sz w:val="22"/>
          <w:szCs w:val="22"/>
        </w:rPr>
      </w:pPr>
      <w:r w:rsidRPr="00AD4B49">
        <w:rPr>
          <w:rFonts w:eastAsia="Calibri"/>
          <w:b/>
          <w:sz w:val="22"/>
          <w:szCs w:val="22"/>
        </w:rPr>
        <w:t>10</w:t>
      </w:r>
      <w:r w:rsidRPr="00AD4B49">
        <w:rPr>
          <w:rFonts w:eastAsia="Calibri"/>
          <w:b/>
          <w:color w:val="000000" w:themeColor="text1"/>
          <w:sz w:val="22"/>
          <w:szCs w:val="22"/>
        </w:rPr>
        <w:t>. §</w:t>
      </w:r>
      <w:r w:rsidRPr="00AD4B49">
        <w:rPr>
          <w:rFonts w:eastAsia="Calibri"/>
          <w:color w:val="000000" w:themeColor="text1"/>
          <w:sz w:val="22"/>
          <w:szCs w:val="22"/>
        </w:rPr>
        <w:t xml:space="preserve"> (1)</w:t>
      </w:r>
      <w:r w:rsidRPr="00AD4B49">
        <w:rPr>
          <w:rStyle w:val="Lbjegyzet-hivatkozs"/>
          <w:rFonts w:eastAsia="Calibri"/>
          <w:color w:val="000000" w:themeColor="text1"/>
          <w:sz w:val="22"/>
          <w:szCs w:val="22"/>
        </w:rPr>
        <w:footnoteReference w:id="484"/>
      </w:r>
      <w:r w:rsidRPr="00AD4B49">
        <w:rPr>
          <w:rFonts w:eastAsia="Calibri"/>
          <w:color w:val="000000" w:themeColor="text1"/>
          <w:sz w:val="22"/>
          <w:szCs w:val="22"/>
        </w:rPr>
        <w:t xml:space="preserve"> Az oktatói minősítéstábla pontszámai</w:t>
      </w:r>
    </w:p>
    <w:tbl>
      <w:tblPr>
        <w:tblW w:w="9128" w:type="dxa"/>
        <w:tblInd w:w="-5" w:type="dxa"/>
        <w:tblCellMar>
          <w:left w:w="70" w:type="dxa"/>
          <w:right w:w="70" w:type="dxa"/>
        </w:tblCellMar>
        <w:tblLook w:val="04A0" w:firstRow="1" w:lastRow="0" w:firstColumn="1" w:lastColumn="0" w:noHBand="0" w:noVBand="1"/>
      </w:tblPr>
      <w:tblGrid>
        <w:gridCol w:w="2127"/>
        <w:gridCol w:w="886"/>
        <w:gridCol w:w="2014"/>
        <w:gridCol w:w="1448"/>
        <w:gridCol w:w="992"/>
        <w:gridCol w:w="1134"/>
        <w:gridCol w:w="1216"/>
      </w:tblGrid>
      <w:tr w:rsidR="001B6E1C" w:rsidRPr="00AD4B49" w14:paraId="1682D11B" w14:textId="77777777" w:rsidTr="00CA0691">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140FDC4" w14:textId="77777777" w:rsidR="001B6E1C" w:rsidRPr="00AD4B49" w:rsidRDefault="001B6E1C" w:rsidP="00CA0691">
            <w:pPr>
              <w:contextualSpacing/>
              <w:rPr>
                <w:b/>
                <w:bCs/>
                <w:color w:val="000000" w:themeColor="text1"/>
                <w:sz w:val="22"/>
                <w:szCs w:val="22"/>
              </w:rPr>
            </w:pPr>
            <w:r w:rsidRPr="00AD4B49">
              <w:rPr>
                <w:b/>
                <w:bCs/>
                <w:color w:val="000000" w:themeColor="text1"/>
                <w:sz w:val="22"/>
                <w:szCs w:val="22"/>
              </w:rPr>
              <w:t xml:space="preserve">Oktatói </w:t>
            </w:r>
          </w:p>
          <w:p w14:paraId="35540412" w14:textId="77777777" w:rsidR="001B6E1C" w:rsidRPr="00AD4B49" w:rsidRDefault="001B6E1C" w:rsidP="00CA0691">
            <w:pPr>
              <w:contextualSpacing/>
              <w:rPr>
                <w:b/>
                <w:bCs/>
                <w:color w:val="000000" w:themeColor="text1"/>
                <w:sz w:val="22"/>
                <w:szCs w:val="22"/>
              </w:rPr>
            </w:pPr>
            <w:proofErr w:type="gramStart"/>
            <w:r w:rsidRPr="00AD4B49">
              <w:rPr>
                <w:b/>
                <w:bCs/>
                <w:color w:val="000000" w:themeColor="text1"/>
                <w:sz w:val="22"/>
                <w:szCs w:val="22"/>
              </w:rPr>
              <w:t>kategória</w:t>
            </w:r>
            <w:proofErr w:type="gramEnd"/>
          </w:p>
        </w:tc>
        <w:tc>
          <w:tcPr>
            <w:tcW w:w="4961" w:type="dxa"/>
            <w:gridSpan w:val="4"/>
            <w:tcBorders>
              <w:top w:val="single" w:sz="4" w:space="0" w:color="auto"/>
              <w:left w:val="nil"/>
              <w:bottom w:val="single" w:sz="4" w:space="0" w:color="auto"/>
              <w:right w:val="nil"/>
            </w:tcBorders>
            <w:shd w:val="clear" w:color="auto" w:fill="E7E6E6"/>
            <w:noWrap/>
            <w:vAlign w:val="bottom"/>
            <w:hideMark/>
          </w:tcPr>
          <w:p w14:paraId="732D0566"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 xml:space="preserve">Tevékenység-kategória elvárt </w:t>
            </w:r>
            <w:proofErr w:type="gramStart"/>
            <w:r w:rsidRPr="00AD4B49">
              <w:rPr>
                <w:b/>
                <w:bCs/>
                <w:color w:val="000000" w:themeColor="text1"/>
                <w:sz w:val="22"/>
                <w:szCs w:val="22"/>
              </w:rPr>
              <w:t>minimális</w:t>
            </w:r>
            <w:proofErr w:type="gramEnd"/>
            <w:r w:rsidRPr="00AD4B49">
              <w:rPr>
                <w:b/>
                <w:bCs/>
                <w:color w:val="000000" w:themeColor="text1"/>
                <w:sz w:val="22"/>
                <w:szCs w:val="22"/>
              </w:rPr>
              <w:t xml:space="preserve"> pontszám</w:t>
            </w:r>
          </w:p>
        </w:tc>
        <w:tc>
          <w:tcPr>
            <w:tcW w:w="1134" w:type="dxa"/>
            <w:vMerge w:val="restart"/>
            <w:tcBorders>
              <w:top w:val="single" w:sz="4" w:space="0" w:color="auto"/>
              <w:left w:val="single" w:sz="4" w:space="0" w:color="auto"/>
              <w:right w:val="single" w:sz="4" w:space="0" w:color="auto"/>
            </w:tcBorders>
            <w:shd w:val="clear" w:color="auto" w:fill="E7E6E6"/>
            <w:vAlign w:val="bottom"/>
            <w:hideMark/>
          </w:tcPr>
          <w:p w14:paraId="2134FDC0"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 xml:space="preserve">Elvárt </w:t>
            </w:r>
            <w:proofErr w:type="gramStart"/>
            <w:r w:rsidRPr="00AD4B49">
              <w:rPr>
                <w:b/>
                <w:bCs/>
                <w:color w:val="000000" w:themeColor="text1"/>
                <w:sz w:val="22"/>
                <w:szCs w:val="22"/>
              </w:rPr>
              <w:t>minimális</w:t>
            </w:r>
            <w:proofErr w:type="gramEnd"/>
            <w:r w:rsidRPr="00AD4B49">
              <w:rPr>
                <w:b/>
                <w:bCs/>
                <w:color w:val="000000" w:themeColor="text1"/>
                <w:sz w:val="22"/>
                <w:szCs w:val="22"/>
              </w:rPr>
              <w:t xml:space="preserve"> pontszám</w:t>
            </w:r>
          </w:p>
        </w:tc>
        <w:tc>
          <w:tcPr>
            <w:tcW w:w="906" w:type="dxa"/>
            <w:vMerge w:val="restart"/>
            <w:tcBorders>
              <w:top w:val="single" w:sz="4" w:space="0" w:color="auto"/>
              <w:left w:val="single" w:sz="4" w:space="0" w:color="auto"/>
              <w:right w:val="single" w:sz="4" w:space="0" w:color="auto"/>
            </w:tcBorders>
            <w:shd w:val="clear" w:color="auto" w:fill="E7E6E6"/>
            <w:noWrap/>
            <w:vAlign w:val="bottom"/>
            <w:hideMark/>
          </w:tcPr>
          <w:p w14:paraId="08F768F9" w14:textId="77777777" w:rsidR="001B6E1C" w:rsidRPr="00AD4B49" w:rsidRDefault="001B6E1C" w:rsidP="00CA0691">
            <w:pPr>
              <w:contextualSpacing/>
              <w:jc w:val="center"/>
              <w:rPr>
                <w:b/>
                <w:bCs/>
                <w:color w:val="000000" w:themeColor="text1"/>
                <w:sz w:val="22"/>
                <w:szCs w:val="22"/>
              </w:rPr>
            </w:pPr>
            <w:proofErr w:type="gramStart"/>
            <w:r w:rsidRPr="00AD4B49">
              <w:rPr>
                <w:b/>
                <w:bCs/>
                <w:color w:val="000000" w:themeColor="text1"/>
                <w:sz w:val="22"/>
                <w:szCs w:val="22"/>
              </w:rPr>
              <w:t>Korrekció</w:t>
            </w:r>
            <w:proofErr w:type="gramEnd"/>
            <w:r w:rsidRPr="00AD4B49">
              <w:rPr>
                <w:b/>
                <w:bCs/>
                <w:color w:val="000000" w:themeColor="text1"/>
                <w:sz w:val="22"/>
                <w:szCs w:val="22"/>
              </w:rPr>
              <w:t>*</w:t>
            </w:r>
          </w:p>
        </w:tc>
      </w:tr>
      <w:tr w:rsidR="001B6E1C" w:rsidRPr="00AD4B49" w14:paraId="5A7F9DC8" w14:textId="77777777" w:rsidTr="00CA0691">
        <w:trPr>
          <w:trHeight w:val="51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39CB893" w14:textId="77777777" w:rsidR="001B6E1C" w:rsidRPr="00AD4B49" w:rsidRDefault="001B6E1C" w:rsidP="00CA0691">
            <w:pPr>
              <w:contextualSpacing/>
              <w:rPr>
                <w:b/>
                <w:bCs/>
                <w:color w:val="000000" w:themeColor="text1"/>
                <w:sz w:val="22"/>
                <w:szCs w:val="22"/>
              </w:rPr>
            </w:pPr>
          </w:p>
        </w:tc>
        <w:tc>
          <w:tcPr>
            <w:tcW w:w="821" w:type="dxa"/>
            <w:tcBorders>
              <w:top w:val="nil"/>
              <w:left w:val="nil"/>
              <w:bottom w:val="single" w:sz="4" w:space="0" w:color="auto"/>
              <w:right w:val="single" w:sz="4" w:space="0" w:color="auto"/>
            </w:tcBorders>
            <w:shd w:val="clear" w:color="auto" w:fill="D9D9D9"/>
            <w:noWrap/>
            <w:vAlign w:val="bottom"/>
            <w:hideMark/>
          </w:tcPr>
          <w:p w14:paraId="1E61A8FC"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Oktatás</w:t>
            </w:r>
          </w:p>
        </w:tc>
        <w:tc>
          <w:tcPr>
            <w:tcW w:w="2014" w:type="dxa"/>
            <w:tcBorders>
              <w:top w:val="nil"/>
              <w:left w:val="nil"/>
              <w:bottom w:val="single" w:sz="4" w:space="0" w:color="auto"/>
              <w:right w:val="single" w:sz="4" w:space="0" w:color="auto"/>
            </w:tcBorders>
            <w:shd w:val="clear" w:color="auto" w:fill="D9D9D9"/>
            <w:vAlign w:val="bottom"/>
            <w:hideMark/>
          </w:tcPr>
          <w:p w14:paraId="239C8D43"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Művészeti / kutatási tevékenység</w:t>
            </w:r>
          </w:p>
        </w:tc>
        <w:tc>
          <w:tcPr>
            <w:tcW w:w="1134" w:type="dxa"/>
            <w:tcBorders>
              <w:top w:val="nil"/>
              <w:left w:val="nil"/>
              <w:bottom w:val="single" w:sz="4" w:space="0" w:color="auto"/>
              <w:right w:val="single" w:sz="4" w:space="0" w:color="auto"/>
            </w:tcBorders>
            <w:shd w:val="clear" w:color="auto" w:fill="D9D9D9"/>
            <w:noWrap/>
            <w:vAlign w:val="bottom"/>
            <w:hideMark/>
          </w:tcPr>
          <w:p w14:paraId="47E40248"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Menedzsment</w:t>
            </w:r>
          </w:p>
        </w:tc>
        <w:tc>
          <w:tcPr>
            <w:tcW w:w="992" w:type="dxa"/>
            <w:tcBorders>
              <w:top w:val="nil"/>
              <w:left w:val="nil"/>
              <w:bottom w:val="single" w:sz="4" w:space="0" w:color="auto"/>
              <w:right w:val="single" w:sz="4" w:space="0" w:color="auto"/>
            </w:tcBorders>
            <w:shd w:val="clear" w:color="auto" w:fill="D9D9D9"/>
            <w:noWrap/>
            <w:vAlign w:val="bottom"/>
            <w:hideMark/>
          </w:tcPr>
          <w:p w14:paraId="11384DD0" w14:textId="77777777" w:rsidR="001B6E1C" w:rsidRPr="00AD4B49" w:rsidRDefault="001B6E1C" w:rsidP="00CA0691">
            <w:pPr>
              <w:contextualSpacing/>
              <w:jc w:val="center"/>
              <w:rPr>
                <w:b/>
                <w:bCs/>
                <w:color w:val="000000" w:themeColor="text1"/>
                <w:sz w:val="22"/>
                <w:szCs w:val="22"/>
              </w:rPr>
            </w:pPr>
            <w:r w:rsidRPr="00AD4B49">
              <w:rPr>
                <w:b/>
                <w:bCs/>
                <w:color w:val="000000" w:themeColor="text1"/>
                <w:sz w:val="22"/>
                <w:szCs w:val="22"/>
              </w:rPr>
              <w:t>Összesen</w:t>
            </w:r>
          </w:p>
        </w:tc>
        <w:tc>
          <w:tcPr>
            <w:tcW w:w="1134" w:type="dxa"/>
            <w:vMerge/>
            <w:tcBorders>
              <w:left w:val="single" w:sz="4" w:space="0" w:color="auto"/>
              <w:bottom w:val="single" w:sz="4" w:space="0" w:color="000000"/>
              <w:right w:val="single" w:sz="4" w:space="0" w:color="auto"/>
            </w:tcBorders>
            <w:vAlign w:val="center"/>
            <w:hideMark/>
          </w:tcPr>
          <w:p w14:paraId="380DED3E" w14:textId="77777777" w:rsidR="001B6E1C" w:rsidRPr="00AD4B49" w:rsidRDefault="001B6E1C" w:rsidP="00CA0691">
            <w:pPr>
              <w:contextualSpacing/>
              <w:jc w:val="center"/>
              <w:rPr>
                <w:b/>
                <w:bCs/>
                <w:color w:val="000000" w:themeColor="text1"/>
                <w:sz w:val="22"/>
                <w:szCs w:val="22"/>
              </w:rPr>
            </w:pPr>
          </w:p>
        </w:tc>
        <w:tc>
          <w:tcPr>
            <w:tcW w:w="906" w:type="dxa"/>
            <w:vMerge/>
            <w:tcBorders>
              <w:left w:val="single" w:sz="4" w:space="0" w:color="auto"/>
              <w:bottom w:val="single" w:sz="4" w:space="0" w:color="auto"/>
              <w:right w:val="single" w:sz="4" w:space="0" w:color="auto"/>
            </w:tcBorders>
            <w:vAlign w:val="center"/>
            <w:hideMark/>
          </w:tcPr>
          <w:p w14:paraId="095344B6" w14:textId="77777777" w:rsidR="001B6E1C" w:rsidRPr="00AD4B49" w:rsidRDefault="001B6E1C" w:rsidP="00CA0691">
            <w:pPr>
              <w:contextualSpacing/>
              <w:jc w:val="center"/>
              <w:rPr>
                <w:b/>
                <w:bCs/>
                <w:color w:val="000000" w:themeColor="text1"/>
                <w:sz w:val="22"/>
                <w:szCs w:val="22"/>
              </w:rPr>
            </w:pPr>
          </w:p>
        </w:tc>
      </w:tr>
      <w:tr w:rsidR="001B6E1C" w:rsidRPr="00AD4B49" w14:paraId="50E24F7D"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D4ED2D" w14:textId="77777777" w:rsidR="001B6E1C" w:rsidRPr="00AD4B49" w:rsidRDefault="001B6E1C" w:rsidP="00CA0691">
            <w:pPr>
              <w:contextualSpacing/>
              <w:rPr>
                <w:color w:val="000000" w:themeColor="text1"/>
                <w:sz w:val="22"/>
                <w:szCs w:val="22"/>
              </w:rPr>
            </w:pPr>
            <w:r w:rsidRPr="00AD4B49">
              <w:rPr>
                <w:b/>
                <w:color w:val="000000" w:themeColor="text1"/>
                <w:sz w:val="22"/>
                <w:szCs w:val="22"/>
              </w:rPr>
              <w:t>Egyetemi tanár</w:t>
            </w:r>
            <w:r w:rsidRPr="00AD4B49">
              <w:rPr>
                <w:color w:val="000000" w:themeColor="text1"/>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3F9BCA4A"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600</w:t>
            </w:r>
          </w:p>
        </w:tc>
        <w:tc>
          <w:tcPr>
            <w:tcW w:w="2014" w:type="dxa"/>
            <w:tcBorders>
              <w:top w:val="nil"/>
              <w:left w:val="nil"/>
              <w:bottom w:val="single" w:sz="4" w:space="0" w:color="auto"/>
              <w:right w:val="single" w:sz="4" w:space="0" w:color="auto"/>
            </w:tcBorders>
            <w:shd w:val="clear" w:color="auto" w:fill="auto"/>
            <w:noWrap/>
            <w:vAlign w:val="bottom"/>
            <w:hideMark/>
          </w:tcPr>
          <w:p w14:paraId="56AC44EF"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29DD6CAD"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E9EF93F"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1030</w:t>
            </w:r>
          </w:p>
        </w:tc>
        <w:tc>
          <w:tcPr>
            <w:tcW w:w="1134" w:type="dxa"/>
            <w:tcBorders>
              <w:top w:val="nil"/>
              <w:left w:val="nil"/>
              <w:bottom w:val="single" w:sz="4" w:space="0" w:color="auto"/>
              <w:right w:val="single" w:sz="4" w:space="0" w:color="auto"/>
            </w:tcBorders>
            <w:shd w:val="clear" w:color="auto" w:fill="auto"/>
            <w:noWrap/>
            <w:vAlign w:val="bottom"/>
            <w:hideMark/>
          </w:tcPr>
          <w:p w14:paraId="23CCBBE8"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1300</w:t>
            </w:r>
          </w:p>
        </w:tc>
        <w:tc>
          <w:tcPr>
            <w:tcW w:w="906" w:type="dxa"/>
            <w:tcBorders>
              <w:top w:val="nil"/>
              <w:left w:val="nil"/>
              <w:bottom w:val="single" w:sz="4" w:space="0" w:color="auto"/>
              <w:right w:val="single" w:sz="4" w:space="0" w:color="auto"/>
            </w:tcBorders>
            <w:shd w:val="clear" w:color="auto" w:fill="auto"/>
            <w:noWrap/>
            <w:vAlign w:val="bottom"/>
            <w:hideMark/>
          </w:tcPr>
          <w:p w14:paraId="00517AD8"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270</w:t>
            </w:r>
          </w:p>
        </w:tc>
      </w:tr>
      <w:tr w:rsidR="001B6E1C" w:rsidRPr="00AD4B49" w14:paraId="38F97EF3"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5104FE5" w14:textId="77777777" w:rsidR="001B6E1C" w:rsidRPr="00AD4B49" w:rsidRDefault="001B6E1C" w:rsidP="00CA0691">
            <w:pPr>
              <w:contextualSpacing/>
              <w:rPr>
                <w:color w:val="000000" w:themeColor="text1"/>
                <w:sz w:val="22"/>
                <w:szCs w:val="22"/>
              </w:rPr>
            </w:pPr>
            <w:r w:rsidRPr="00AD4B49">
              <w:rPr>
                <w:b/>
                <w:color w:val="000000" w:themeColor="text1"/>
                <w:sz w:val="22"/>
                <w:szCs w:val="22"/>
              </w:rPr>
              <w:t>Egyetemi docens</w:t>
            </w:r>
            <w:r w:rsidRPr="00AD4B49">
              <w:rPr>
                <w:color w:val="000000" w:themeColor="text1"/>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2DD5D21E"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260</w:t>
            </w:r>
          </w:p>
        </w:tc>
        <w:tc>
          <w:tcPr>
            <w:tcW w:w="2014" w:type="dxa"/>
            <w:tcBorders>
              <w:top w:val="nil"/>
              <w:left w:val="nil"/>
              <w:bottom w:val="single" w:sz="4" w:space="0" w:color="auto"/>
              <w:right w:val="single" w:sz="4" w:space="0" w:color="auto"/>
            </w:tcBorders>
            <w:shd w:val="clear" w:color="auto" w:fill="auto"/>
            <w:noWrap/>
            <w:vAlign w:val="bottom"/>
            <w:hideMark/>
          </w:tcPr>
          <w:p w14:paraId="7EEA9F23"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09E8048B"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160</w:t>
            </w:r>
          </w:p>
        </w:tc>
        <w:tc>
          <w:tcPr>
            <w:tcW w:w="992" w:type="dxa"/>
            <w:tcBorders>
              <w:top w:val="nil"/>
              <w:left w:val="nil"/>
              <w:bottom w:val="single" w:sz="4" w:space="0" w:color="auto"/>
              <w:right w:val="single" w:sz="4" w:space="0" w:color="auto"/>
            </w:tcBorders>
            <w:shd w:val="clear" w:color="auto" w:fill="auto"/>
            <w:noWrap/>
            <w:vAlign w:val="bottom"/>
            <w:hideMark/>
          </w:tcPr>
          <w:p w14:paraId="250301AB"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7F63C74C"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820</w:t>
            </w:r>
          </w:p>
        </w:tc>
        <w:tc>
          <w:tcPr>
            <w:tcW w:w="906" w:type="dxa"/>
            <w:tcBorders>
              <w:top w:val="nil"/>
              <w:left w:val="nil"/>
              <w:bottom w:val="single" w:sz="4" w:space="0" w:color="auto"/>
              <w:right w:val="single" w:sz="4" w:space="0" w:color="auto"/>
            </w:tcBorders>
            <w:shd w:val="clear" w:color="auto" w:fill="auto"/>
            <w:noWrap/>
            <w:vAlign w:val="bottom"/>
            <w:hideMark/>
          </w:tcPr>
          <w:p w14:paraId="31E1A812"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220</w:t>
            </w:r>
          </w:p>
        </w:tc>
      </w:tr>
      <w:tr w:rsidR="001B6E1C" w:rsidRPr="00AD4B49" w14:paraId="7526131E" w14:textId="77777777" w:rsidTr="00CA0691">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803E5" w14:textId="77777777" w:rsidR="001B6E1C" w:rsidRPr="00AD4B49" w:rsidRDefault="001B6E1C" w:rsidP="00CA0691">
            <w:pPr>
              <w:contextualSpacing/>
              <w:rPr>
                <w:b/>
                <w:color w:val="000000" w:themeColor="text1"/>
                <w:sz w:val="22"/>
                <w:szCs w:val="22"/>
              </w:rPr>
            </w:pPr>
            <w:r w:rsidRPr="00AD4B49">
              <w:rPr>
                <w:b/>
                <w:color w:val="000000" w:themeColor="text1"/>
                <w:sz w:val="22"/>
                <w:szCs w:val="22"/>
              </w:rPr>
              <w:t>Adjunktus</w:t>
            </w:r>
          </w:p>
        </w:tc>
        <w:tc>
          <w:tcPr>
            <w:tcW w:w="821" w:type="dxa"/>
            <w:tcBorders>
              <w:top w:val="nil"/>
              <w:left w:val="nil"/>
              <w:bottom w:val="single" w:sz="4" w:space="0" w:color="auto"/>
              <w:right w:val="single" w:sz="4" w:space="0" w:color="auto"/>
            </w:tcBorders>
            <w:shd w:val="clear" w:color="auto" w:fill="auto"/>
            <w:noWrap/>
            <w:vAlign w:val="bottom"/>
            <w:hideMark/>
          </w:tcPr>
          <w:p w14:paraId="3B0A5D4E"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240</w:t>
            </w:r>
          </w:p>
        </w:tc>
        <w:tc>
          <w:tcPr>
            <w:tcW w:w="2014" w:type="dxa"/>
            <w:tcBorders>
              <w:top w:val="nil"/>
              <w:left w:val="nil"/>
              <w:bottom w:val="single" w:sz="4" w:space="0" w:color="auto"/>
              <w:right w:val="single" w:sz="4" w:space="0" w:color="auto"/>
            </w:tcBorders>
            <w:shd w:val="clear" w:color="auto" w:fill="auto"/>
            <w:noWrap/>
            <w:vAlign w:val="bottom"/>
            <w:hideMark/>
          </w:tcPr>
          <w:p w14:paraId="17AA4F82"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7BB8DD5A"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14:paraId="7E10CF8F"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65F7A98B"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500</w:t>
            </w:r>
          </w:p>
        </w:tc>
        <w:tc>
          <w:tcPr>
            <w:tcW w:w="906" w:type="dxa"/>
            <w:tcBorders>
              <w:top w:val="nil"/>
              <w:left w:val="nil"/>
              <w:bottom w:val="single" w:sz="4" w:space="0" w:color="auto"/>
              <w:right w:val="single" w:sz="4" w:space="0" w:color="auto"/>
            </w:tcBorders>
            <w:shd w:val="clear" w:color="auto" w:fill="auto"/>
            <w:noWrap/>
            <w:vAlign w:val="bottom"/>
            <w:hideMark/>
          </w:tcPr>
          <w:p w14:paraId="6930186E" w14:textId="77777777" w:rsidR="001B6E1C" w:rsidRPr="00AD4B49" w:rsidRDefault="001B6E1C" w:rsidP="00CA0691">
            <w:pPr>
              <w:contextualSpacing/>
              <w:jc w:val="right"/>
              <w:rPr>
                <w:color w:val="000000" w:themeColor="text1"/>
                <w:sz w:val="22"/>
                <w:szCs w:val="22"/>
              </w:rPr>
            </w:pPr>
            <w:r w:rsidRPr="00AD4B49">
              <w:rPr>
                <w:color w:val="000000" w:themeColor="text1"/>
                <w:sz w:val="22"/>
                <w:szCs w:val="22"/>
              </w:rPr>
              <w:t>90</w:t>
            </w:r>
          </w:p>
        </w:tc>
      </w:tr>
      <w:tr w:rsidR="001B6E1C" w:rsidRPr="00AD4B49" w14:paraId="12BBE627"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0B859F6" w14:textId="77777777" w:rsidR="001B6E1C" w:rsidRPr="00AD4B49" w:rsidRDefault="001B6E1C" w:rsidP="00CA0691">
            <w:pPr>
              <w:contextualSpacing/>
              <w:rPr>
                <w:sz w:val="22"/>
                <w:szCs w:val="22"/>
              </w:rPr>
            </w:pPr>
            <w:r w:rsidRPr="00AD4B49">
              <w:rPr>
                <w:b/>
                <w:sz w:val="22"/>
                <w:szCs w:val="22"/>
              </w:rPr>
              <w:t>Tanársegéd</w:t>
            </w:r>
            <w:r w:rsidRPr="00AD4B49">
              <w:rPr>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4B601A24" w14:textId="77777777" w:rsidR="001B6E1C" w:rsidRPr="00AD4B49" w:rsidRDefault="001B6E1C" w:rsidP="00CA0691">
            <w:pPr>
              <w:contextualSpacing/>
              <w:jc w:val="right"/>
              <w:rPr>
                <w:sz w:val="22"/>
                <w:szCs w:val="22"/>
              </w:rPr>
            </w:pPr>
            <w:r w:rsidRPr="00AD4B49">
              <w:rPr>
                <w:sz w:val="22"/>
                <w:szCs w:val="22"/>
              </w:rPr>
              <w:t>240</w:t>
            </w:r>
          </w:p>
        </w:tc>
        <w:tc>
          <w:tcPr>
            <w:tcW w:w="2014" w:type="dxa"/>
            <w:tcBorders>
              <w:top w:val="nil"/>
              <w:left w:val="nil"/>
              <w:bottom w:val="single" w:sz="4" w:space="0" w:color="auto"/>
              <w:right w:val="single" w:sz="4" w:space="0" w:color="auto"/>
            </w:tcBorders>
            <w:shd w:val="clear" w:color="auto" w:fill="auto"/>
            <w:noWrap/>
            <w:vAlign w:val="bottom"/>
            <w:hideMark/>
          </w:tcPr>
          <w:p w14:paraId="40D7C6DF" w14:textId="77777777" w:rsidR="001B6E1C" w:rsidRPr="00AD4B49" w:rsidRDefault="001B6E1C" w:rsidP="00CA0691">
            <w:pPr>
              <w:contextualSpacing/>
              <w:jc w:val="right"/>
              <w:rPr>
                <w:sz w:val="22"/>
                <w:szCs w:val="22"/>
              </w:rPr>
            </w:pPr>
            <w:r w:rsidRPr="00AD4B49">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0F53327" w14:textId="77777777" w:rsidR="001B6E1C" w:rsidRPr="00AD4B49" w:rsidRDefault="001B6E1C" w:rsidP="00CA0691">
            <w:pPr>
              <w:contextualSpacing/>
              <w:jc w:val="right"/>
              <w:rPr>
                <w:sz w:val="22"/>
                <w:szCs w:val="22"/>
              </w:rPr>
            </w:pPr>
            <w:r w:rsidRPr="00AD4B49">
              <w:rPr>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14:paraId="49B82659" w14:textId="77777777" w:rsidR="001B6E1C" w:rsidRPr="00AD4B49" w:rsidRDefault="001B6E1C" w:rsidP="00CA0691">
            <w:pPr>
              <w:contextualSpacing/>
              <w:jc w:val="right"/>
              <w:rPr>
                <w:sz w:val="22"/>
                <w:szCs w:val="22"/>
              </w:rPr>
            </w:pPr>
            <w:r w:rsidRPr="00AD4B49">
              <w:rPr>
                <w:sz w:val="22"/>
                <w:szCs w:val="22"/>
              </w:rPr>
              <w:t>370</w:t>
            </w:r>
          </w:p>
        </w:tc>
        <w:tc>
          <w:tcPr>
            <w:tcW w:w="1134" w:type="dxa"/>
            <w:tcBorders>
              <w:top w:val="nil"/>
              <w:left w:val="nil"/>
              <w:bottom w:val="single" w:sz="4" w:space="0" w:color="auto"/>
              <w:right w:val="single" w:sz="4" w:space="0" w:color="auto"/>
            </w:tcBorders>
            <w:shd w:val="clear" w:color="auto" w:fill="auto"/>
            <w:noWrap/>
            <w:vAlign w:val="bottom"/>
            <w:hideMark/>
          </w:tcPr>
          <w:p w14:paraId="38A4139A" w14:textId="77777777" w:rsidR="001B6E1C" w:rsidRPr="00AD4B49" w:rsidRDefault="001B6E1C" w:rsidP="00CA0691">
            <w:pPr>
              <w:contextualSpacing/>
              <w:jc w:val="right"/>
              <w:rPr>
                <w:sz w:val="22"/>
                <w:szCs w:val="22"/>
              </w:rPr>
            </w:pPr>
            <w:r w:rsidRPr="00AD4B49">
              <w:rPr>
                <w:sz w:val="22"/>
                <w:szCs w:val="22"/>
              </w:rPr>
              <w:t>400</w:t>
            </w:r>
          </w:p>
        </w:tc>
        <w:tc>
          <w:tcPr>
            <w:tcW w:w="906" w:type="dxa"/>
            <w:tcBorders>
              <w:top w:val="nil"/>
              <w:left w:val="nil"/>
              <w:bottom w:val="single" w:sz="4" w:space="0" w:color="auto"/>
              <w:right w:val="single" w:sz="4" w:space="0" w:color="auto"/>
            </w:tcBorders>
            <w:shd w:val="clear" w:color="auto" w:fill="auto"/>
            <w:noWrap/>
            <w:vAlign w:val="bottom"/>
            <w:hideMark/>
          </w:tcPr>
          <w:p w14:paraId="0990CAAC" w14:textId="77777777" w:rsidR="001B6E1C" w:rsidRPr="00AD4B49" w:rsidRDefault="001B6E1C" w:rsidP="00CA0691">
            <w:pPr>
              <w:contextualSpacing/>
              <w:jc w:val="right"/>
              <w:rPr>
                <w:sz w:val="22"/>
                <w:szCs w:val="22"/>
              </w:rPr>
            </w:pPr>
            <w:r w:rsidRPr="00AD4B49">
              <w:rPr>
                <w:sz w:val="22"/>
                <w:szCs w:val="22"/>
              </w:rPr>
              <w:t>30</w:t>
            </w:r>
          </w:p>
        </w:tc>
      </w:tr>
      <w:tr w:rsidR="001B6E1C" w:rsidRPr="00AD4B49" w14:paraId="6BA7BEA3"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D792C73" w14:textId="77777777" w:rsidR="001B6E1C" w:rsidRPr="00AD4B49" w:rsidRDefault="001B6E1C" w:rsidP="00CA0691">
            <w:pPr>
              <w:contextualSpacing/>
              <w:rPr>
                <w:sz w:val="22"/>
                <w:szCs w:val="22"/>
              </w:rPr>
            </w:pPr>
            <w:r w:rsidRPr="00AD4B49">
              <w:rPr>
                <w:b/>
                <w:sz w:val="22"/>
                <w:szCs w:val="22"/>
              </w:rPr>
              <w:t>Mesteroktató</w:t>
            </w:r>
            <w:r w:rsidRPr="00AD4B49">
              <w:rPr>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3CAB2027" w14:textId="77777777" w:rsidR="001B6E1C" w:rsidRPr="00AD4B49" w:rsidRDefault="001B6E1C" w:rsidP="00CA0691">
            <w:pPr>
              <w:contextualSpacing/>
              <w:jc w:val="right"/>
              <w:rPr>
                <w:sz w:val="22"/>
                <w:szCs w:val="22"/>
              </w:rPr>
            </w:pPr>
            <w:r w:rsidRPr="00AD4B49">
              <w:rPr>
                <w:sz w:val="22"/>
                <w:szCs w:val="22"/>
              </w:rPr>
              <w:t>240</w:t>
            </w:r>
          </w:p>
        </w:tc>
        <w:tc>
          <w:tcPr>
            <w:tcW w:w="2014" w:type="dxa"/>
            <w:tcBorders>
              <w:top w:val="nil"/>
              <w:left w:val="nil"/>
              <w:bottom w:val="single" w:sz="4" w:space="0" w:color="auto"/>
              <w:right w:val="single" w:sz="4" w:space="0" w:color="auto"/>
            </w:tcBorders>
            <w:shd w:val="clear" w:color="auto" w:fill="auto"/>
            <w:noWrap/>
            <w:vAlign w:val="bottom"/>
            <w:hideMark/>
          </w:tcPr>
          <w:p w14:paraId="0BFD52FC" w14:textId="77777777" w:rsidR="001B6E1C" w:rsidRPr="00AD4B49" w:rsidRDefault="001B6E1C" w:rsidP="00CA0691">
            <w:pPr>
              <w:contextualSpacing/>
              <w:jc w:val="right"/>
              <w:rPr>
                <w:sz w:val="22"/>
                <w:szCs w:val="22"/>
              </w:rPr>
            </w:pPr>
            <w:r w:rsidRPr="00AD4B49">
              <w:rPr>
                <w:sz w:val="22"/>
                <w:szCs w:val="22"/>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106546B8" w14:textId="77777777" w:rsidR="001B6E1C" w:rsidRPr="00AD4B49" w:rsidRDefault="001B6E1C" w:rsidP="00CA0691">
            <w:pPr>
              <w:contextualSpacing/>
              <w:jc w:val="right"/>
              <w:rPr>
                <w:sz w:val="22"/>
                <w:szCs w:val="22"/>
              </w:rPr>
            </w:pPr>
            <w:r w:rsidRPr="00AD4B49">
              <w:rPr>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14:paraId="1856CB07" w14:textId="77777777" w:rsidR="001B6E1C" w:rsidRPr="00AD4B49" w:rsidRDefault="001B6E1C" w:rsidP="00CA0691">
            <w:pPr>
              <w:contextualSpacing/>
              <w:jc w:val="right"/>
              <w:rPr>
                <w:sz w:val="22"/>
                <w:szCs w:val="22"/>
              </w:rPr>
            </w:pPr>
            <w:r w:rsidRPr="00AD4B49">
              <w:rPr>
                <w:sz w:val="22"/>
                <w:szCs w:val="22"/>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54B77846" w14:textId="77777777" w:rsidR="001B6E1C" w:rsidRPr="00AD4B49" w:rsidRDefault="001B6E1C" w:rsidP="00CA0691">
            <w:pPr>
              <w:contextualSpacing/>
              <w:jc w:val="right"/>
              <w:rPr>
                <w:sz w:val="22"/>
                <w:szCs w:val="22"/>
              </w:rPr>
            </w:pPr>
            <w:r w:rsidRPr="00AD4B49">
              <w:rPr>
                <w:sz w:val="22"/>
                <w:szCs w:val="22"/>
              </w:rPr>
              <w:t>500</w:t>
            </w:r>
          </w:p>
        </w:tc>
        <w:tc>
          <w:tcPr>
            <w:tcW w:w="906" w:type="dxa"/>
            <w:tcBorders>
              <w:top w:val="nil"/>
              <w:left w:val="nil"/>
              <w:bottom w:val="single" w:sz="4" w:space="0" w:color="auto"/>
              <w:right w:val="single" w:sz="4" w:space="0" w:color="auto"/>
            </w:tcBorders>
            <w:shd w:val="clear" w:color="auto" w:fill="auto"/>
            <w:noWrap/>
            <w:vAlign w:val="bottom"/>
            <w:hideMark/>
          </w:tcPr>
          <w:p w14:paraId="1D8E0021" w14:textId="77777777" w:rsidR="001B6E1C" w:rsidRPr="00AD4B49" w:rsidRDefault="001B6E1C" w:rsidP="00CA0691">
            <w:pPr>
              <w:contextualSpacing/>
              <w:jc w:val="right"/>
              <w:rPr>
                <w:sz w:val="22"/>
                <w:szCs w:val="22"/>
              </w:rPr>
            </w:pPr>
            <w:r w:rsidRPr="00AD4B49">
              <w:rPr>
                <w:sz w:val="22"/>
                <w:szCs w:val="22"/>
              </w:rPr>
              <w:t>90</w:t>
            </w:r>
          </w:p>
        </w:tc>
      </w:tr>
      <w:tr w:rsidR="001B6E1C" w:rsidRPr="00AD4B49" w14:paraId="758C58A4"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D496C74" w14:textId="77777777" w:rsidR="001B6E1C" w:rsidRPr="00AD4B49" w:rsidRDefault="001B6E1C" w:rsidP="00CA0691">
            <w:pPr>
              <w:contextualSpacing/>
              <w:rPr>
                <w:sz w:val="22"/>
                <w:szCs w:val="22"/>
              </w:rPr>
            </w:pPr>
            <w:r w:rsidRPr="00AD4B49">
              <w:rPr>
                <w:b/>
                <w:sz w:val="22"/>
                <w:szCs w:val="22"/>
              </w:rPr>
              <w:t>Tudományos fokozattal (habilitáció) rendelkező tudományos főmunkatárs</w:t>
            </w:r>
            <w:r w:rsidRPr="00AD4B49">
              <w:rPr>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24D24DB9" w14:textId="77777777" w:rsidR="001B6E1C" w:rsidRPr="00AD4B49" w:rsidRDefault="001B6E1C" w:rsidP="00CA0691">
            <w:pPr>
              <w:contextualSpacing/>
              <w:jc w:val="right"/>
              <w:rPr>
                <w:sz w:val="22"/>
                <w:szCs w:val="22"/>
              </w:rPr>
            </w:pPr>
            <w:r w:rsidRPr="00AD4B49">
              <w:rPr>
                <w:sz w:val="22"/>
                <w:szCs w:val="22"/>
              </w:rPr>
              <w:t>260</w:t>
            </w:r>
          </w:p>
        </w:tc>
        <w:tc>
          <w:tcPr>
            <w:tcW w:w="2014" w:type="dxa"/>
            <w:tcBorders>
              <w:top w:val="nil"/>
              <w:left w:val="nil"/>
              <w:bottom w:val="single" w:sz="4" w:space="0" w:color="auto"/>
              <w:right w:val="single" w:sz="4" w:space="0" w:color="auto"/>
            </w:tcBorders>
            <w:shd w:val="clear" w:color="auto" w:fill="auto"/>
            <w:noWrap/>
            <w:vAlign w:val="bottom"/>
            <w:hideMark/>
          </w:tcPr>
          <w:p w14:paraId="32FC72CC" w14:textId="77777777" w:rsidR="001B6E1C" w:rsidRPr="00AD4B49" w:rsidRDefault="001B6E1C" w:rsidP="00CA0691">
            <w:pPr>
              <w:contextualSpacing/>
              <w:jc w:val="right"/>
              <w:rPr>
                <w:sz w:val="22"/>
                <w:szCs w:val="22"/>
              </w:rPr>
            </w:pPr>
            <w:r w:rsidRPr="00AD4B49">
              <w:rPr>
                <w:sz w:val="22"/>
                <w:szCs w:val="22"/>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19CCC59E" w14:textId="77777777" w:rsidR="001B6E1C" w:rsidRPr="00AD4B49" w:rsidRDefault="001B6E1C" w:rsidP="00CA0691">
            <w:pPr>
              <w:contextualSpacing/>
              <w:jc w:val="right"/>
              <w:rPr>
                <w:sz w:val="22"/>
                <w:szCs w:val="22"/>
              </w:rPr>
            </w:pPr>
            <w:r w:rsidRPr="00AD4B49">
              <w:rPr>
                <w:sz w:val="22"/>
                <w:szCs w:val="22"/>
              </w:rPr>
              <w:t>160</w:t>
            </w:r>
          </w:p>
        </w:tc>
        <w:tc>
          <w:tcPr>
            <w:tcW w:w="992" w:type="dxa"/>
            <w:tcBorders>
              <w:top w:val="nil"/>
              <w:left w:val="nil"/>
              <w:bottom w:val="single" w:sz="4" w:space="0" w:color="auto"/>
              <w:right w:val="single" w:sz="4" w:space="0" w:color="auto"/>
            </w:tcBorders>
            <w:shd w:val="clear" w:color="auto" w:fill="auto"/>
            <w:noWrap/>
            <w:vAlign w:val="bottom"/>
            <w:hideMark/>
          </w:tcPr>
          <w:p w14:paraId="5FC5F924" w14:textId="77777777" w:rsidR="001B6E1C" w:rsidRPr="00AD4B49" w:rsidRDefault="001B6E1C" w:rsidP="00CA0691">
            <w:pPr>
              <w:contextualSpacing/>
              <w:jc w:val="right"/>
              <w:rPr>
                <w:sz w:val="22"/>
                <w:szCs w:val="22"/>
              </w:rPr>
            </w:pPr>
            <w:r w:rsidRPr="00AD4B49">
              <w:rPr>
                <w:sz w:val="22"/>
                <w:szCs w:val="22"/>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48F3C381" w14:textId="77777777" w:rsidR="001B6E1C" w:rsidRPr="00AD4B49" w:rsidRDefault="001B6E1C" w:rsidP="00CA0691">
            <w:pPr>
              <w:contextualSpacing/>
              <w:jc w:val="right"/>
              <w:rPr>
                <w:sz w:val="22"/>
                <w:szCs w:val="22"/>
              </w:rPr>
            </w:pPr>
            <w:r w:rsidRPr="00AD4B49">
              <w:rPr>
                <w:sz w:val="22"/>
                <w:szCs w:val="22"/>
              </w:rPr>
              <w:t>820</w:t>
            </w:r>
          </w:p>
        </w:tc>
        <w:tc>
          <w:tcPr>
            <w:tcW w:w="906" w:type="dxa"/>
            <w:tcBorders>
              <w:top w:val="nil"/>
              <w:left w:val="nil"/>
              <w:bottom w:val="single" w:sz="4" w:space="0" w:color="auto"/>
              <w:right w:val="single" w:sz="4" w:space="0" w:color="auto"/>
            </w:tcBorders>
            <w:shd w:val="clear" w:color="auto" w:fill="auto"/>
            <w:noWrap/>
            <w:vAlign w:val="bottom"/>
            <w:hideMark/>
          </w:tcPr>
          <w:p w14:paraId="4A9FF525" w14:textId="77777777" w:rsidR="001B6E1C" w:rsidRPr="00AD4B49" w:rsidRDefault="001B6E1C" w:rsidP="00CA0691">
            <w:pPr>
              <w:contextualSpacing/>
              <w:jc w:val="right"/>
              <w:rPr>
                <w:sz w:val="22"/>
                <w:szCs w:val="22"/>
              </w:rPr>
            </w:pPr>
            <w:r w:rsidRPr="00AD4B49">
              <w:rPr>
                <w:sz w:val="22"/>
                <w:szCs w:val="22"/>
              </w:rPr>
              <w:t>220</w:t>
            </w:r>
          </w:p>
        </w:tc>
      </w:tr>
      <w:tr w:rsidR="001B6E1C" w:rsidRPr="00AD4B49" w14:paraId="46A07880"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431815E" w14:textId="77777777" w:rsidR="001B6E1C" w:rsidRPr="00AD4B49" w:rsidRDefault="001B6E1C" w:rsidP="00CA0691">
            <w:pPr>
              <w:contextualSpacing/>
              <w:rPr>
                <w:sz w:val="22"/>
                <w:szCs w:val="22"/>
              </w:rPr>
            </w:pPr>
            <w:r w:rsidRPr="00AD4B49">
              <w:rPr>
                <w:b/>
                <w:sz w:val="22"/>
                <w:szCs w:val="22"/>
              </w:rPr>
              <w:t>Tudományos fokozattal rendelkező tudományos munkatárs</w:t>
            </w:r>
            <w:r w:rsidRPr="00AD4B49">
              <w:rPr>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1A3CBB4F" w14:textId="77777777" w:rsidR="001B6E1C" w:rsidRPr="00AD4B49" w:rsidRDefault="001B6E1C" w:rsidP="00CA0691">
            <w:pPr>
              <w:contextualSpacing/>
              <w:jc w:val="right"/>
              <w:rPr>
                <w:sz w:val="22"/>
                <w:szCs w:val="22"/>
              </w:rPr>
            </w:pPr>
            <w:r w:rsidRPr="00AD4B49">
              <w:rPr>
                <w:sz w:val="22"/>
                <w:szCs w:val="22"/>
              </w:rPr>
              <w:t>240</w:t>
            </w:r>
          </w:p>
        </w:tc>
        <w:tc>
          <w:tcPr>
            <w:tcW w:w="2014" w:type="dxa"/>
            <w:tcBorders>
              <w:top w:val="nil"/>
              <w:left w:val="nil"/>
              <w:bottom w:val="single" w:sz="4" w:space="0" w:color="auto"/>
              <w:right w:val="single" w:sz="4" w:space="0" w:color="auto"/>
            </w:tcBorders>
            <w:shd w:val="clear" w:color="auto" w:fill="auto"/>
            <w:noWrap/>
            <w:vAlign w:val="bottom"/>
            <w:hideMark/>
          </w:tcPr>
          <w:p w14:paraId="26EA761B" w14:textId="77777777" w:rsidR="001B6E1C" w:rsidRPr="00AD4B49" w:rsidRDefault="001B6E1C" w:rsidP="00CA0691">
            <w:pPr>
              <w:contextualSpacing/>
              <w:jc w:val="right"/>
              <w:rPr>
                <w:sz w:val="22"/>
                <w:szCs w:val="22"/>
              </w:rPr>
            </w:pPr>
            <w:r w:rsidRPr="00AD4B49">
              <w:rPr>
                <w:sz w:val="22"/>
                <w:szCs w:val="22"/>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0BC1AA53" w14:textId="77777777" w:rsidR="001B6E1C" w:rsidRPr="00AD4B49" w:rsidRDefault="001B6E1C" w:rsidP="00CA0691">
            <w:pPr>
              <w:contextualSpacing/>
              <w:jc w:val="right"/>
              <w:rPr>
                <w:sz w:val="22"/>
                <w:szCs w:val="22"/>
              </w:rPr>
            </w:pPr>
            <w:r w:rsidRPr="00AD4B49">
              <w:rPr>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14:paraId="1FAFF4B1" w14:textId="77777777" w:rsidR="001B6E1C" w:rsidRPr="00AD4B49" w:rsidRDefault="001B6E1C" w:rsidP="00CA0691">
            <w:pPr>
              <w:contextualSpacing/>
              <w:jc w:val="right"/>
              <w:rPr>
                <w:sz w:val="22"/>
                <w:szCs w:val="22"/>
              </w:rPr>
            </w:pPr>
            <w:r w:rsidRPr="00AD4B49">
              <w:rPr>
                <w:sz w:val="22"/>
                <w:szCs w:val="22"/>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3C4AE92B" w14:textId="77777777" w:rsidR="001B6E1C" w:rsidRPr="00AD4B49" w:rsidRDefault="001B6E1C" w:rsidP="00CA0691">
            <w:pPr>
              <w:contextualSpacing/>
              <w:jc w:val="right"/>
              <w:rPr>
                <w:sz w:val="22"/>
                <w:szCs w:val="22"/>
              </w:rPr>
            </w:pPr>
            <w:r w:rsidRPr="00AD4B49">
              <w:rPr>
                <w:sz w:val="22"/>
                <w:szCs w:val="22"/>
              </w:rPr>
              <w:t>500</w:t>
            </w:r>
          </w:p>
        </w:tc>
        <w:tc>
          <w:tcPr>
            <w:tcW w:w="906" w:type="dxa"/>
            <w:tcBorders>
              <w:top w:val="nil"/>
              <w:left w:val="nil"/>
              <w:bottom w:val="single" w:sz="4" w:space="0" w:color="auto"/>
              <w:right w:val="single" w:sz="4" w:space="0" w:color="auto"/>
            </w:tcBorders>
            <w:shd w:val="clear" w:color="auto" w:fill="auto"/>
            <w:noWrap/>
            <w:vAlign w:val="bottom"/>
            <w:hideMark/>
          </w:tcPr>
          <w:p w14:paraId="20DFD94F" w14:textId="77777777" w:rsidR="001B6E1C" w:rsidRPr="00AD4B49" w:rsidRDefault="001B6E1C" w:rsidP="00CA0691">
            <w:pPr>
              <w:contextualSpacing/>
              <w:jc w:val="right"/>
              <w:rPr>
                <w:sz w:val="22"/>
                <w:szCs w:val="22"/>
              </w:rPr>
            </w:pPr>
            <w:r w:rsidRPr="00AD4B49">
              <w:rPr>
                <w:sz w:val="22"/>
                <w:szCs w:val="22"/>
              </w:rPr>
              <w:t>90</w:t>
            </w:r>
          </w:p>
        </w:tc>
      </w:tr>
      <w:tr w:rsidR="001B6E1C" w:rsidRPr="00AD4B49" w14:paraId="5D80FF64" w14:textId="77777777" w:rsidTr="00CA0691">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53BA74F" w14:textId="77777777" w:rsidR="001B6E1C" w:rsidRPr="00AD4B49" w:rsidRDefault="001B6E1C" w:rsidP="00CA0691">
            <w:pPr>
              <w:contextualSpacing/>
              <w:rPr>
                <w:sz w:val="22"/>
                <w:szCs w:val="22"/>
              </w:rPr>
            </w:pPr>
            <w:r w:rsidRPr="00AD4B49">
              <w:rPr>
                <w:b/>
                <w:sz w:val="22"/>
                <w:szCs w:val="22"/>
              </w:rPr>
              <w:t>Tudományos segédmunkatárs</w:t>
            </w:r>
            <w:r w:rsidRPr="00AD4B49">
              <w:rPr>
                <w:sz w:val="22"/>
                <w:szCs w:val="22"/>
              </w:rPr>
              <w:t> </w:t>
            </w:r>
          </w:p>
        </w:tc>
        <w:tc>
          <w:tcPr>
            <w:tcW w:w="821" w:type="dxa"/>
            <w:tcBorders>
              <w:top w:val="nil"/>
              <w:left w:val="nil"/>
              <w:bottom w:val="single" w:sz="4" w:space="0" w:color="auto"/>
              <w:right w:val="single" w:sz="4" w:space="0" w:color="auto"/>
            </w:tcBorders>
            <w:shd w:val="clear" w:color="auto" w:fill="auto"/>
            <w:noWrap/>
            <w:vAlign w:val="bottom"/>
            <w:hideMark/>
          </w:tcPr>
          <w:p w14:paraId="2C8E4F40" w14:textId="77777777" w:rsidR="001B6E1C" w:rsidRPr="00AD4B49" w:rsidRDefault="001B6E1C" w:rsidP="00CA0691">
            <w:pPr>
              <w:contextualSpacing/>
              <w:jc w:val="right"/>
              <w:rPr>
                <w:sz w:val="22"/>
                <w:szCs w:val="22"/>
              </w:rPr>
            </w:pPr>
            <w:r w:rsidRPr="00AD4B49">
              <w:rPr>
                <w:sz w:val="22"/>
                <w:szCs w:val="22"/>
              </w:rPr>
              <w:t>240</w:t>
            </w:r>
          </w:p>
        </w:tc>
        <w:tc>
          <w:tcPr>
            <w:tcW w:w="2014" w:type="dxa"/>
            <w:tcBorders>
              <w:top w:val="nil"/>
              <w:left w:val="nil"/>
              <w:bottom w:val="single" w:sz="4" w:space="0" w:color="auto"/>
              <w:right w:val="single" w:sz="4" w:space="0" w:color="auto"/>
            </w:tcBorders>
            <w:shd w:val="clear" w:color="auto" w:fill="auto"/>
            <w:noWrap/>
            <w:vAlign w:val="bottom"/>
            <w:hideMark/>
          </w:tcPr>
          <w:p w14:paraId="6A832403" w14:textId="77777777" w:rsidR="001B6E1C" w:rsidRPr="00AD4B49" w:rsidRDefault="001B6E1C" w:rsidP="00CA0691">
            <w:pPr>
              <w:contextualSpacing/>
              <w:jc w:val="right"/>
              <w:rPr>
                <w:sz w:val="22"/>
                <w:szCs w:val="22"/>
              </w:rPr>
            </w:pPr>
            <w:r w:rsidRPr="00AD4B49">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4097828" w14:textId="77777777" w:rsidR="001B6E1C" w:rsidRPr="00AD4B49" w:rsidRDefault="001B6E1C" w:rsidP="00CA0691">
            <w:pPr>
              <w:contextualSpacing/>
              <w:jc w:val="right"/>
              <w:rPr>
                <w:sz w:val="22"/>
                <w:szCs w:val="22"/>
              </w:rPr>
            </w:pPr>
            <w:r w:rsidRPr="00AD4B49">
              <w:rPr>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14:paraId="3A53740B" w14:textId="77777777" w:rsidR="001B6E1C" w:rsidRPr="00AD4B49" w:rsidRDefault="001B6E1C" w:rsidP="00CA0691">
            <w:pPr>
              <w:contextualSpacing/>
              <w:jc w:val="right"/>
              <w:rPr>
                <w:sz w:val="22"/>
                <w:szCs w:val="22"/>
              </w:rPr>
            </w:pPr>
            <w:r w:rsidRPr="00AD4B49">
              <w:rPr>
                <w:sz w:val="22"/>
                <w:szCs w:val="22"/>
              </w:rPr>
              <w:t>370</w:t>
            </w:r>
          </w:p>
        </w:tc>
        <w:tc>
          <w:tcPr>
            <w:tcW w:w="1134" w:type="dxa"/>
            <w:tcBorders>
              <w:top w:val="nil"/>
              <w:left w:val="nil"/>
              <w:bottom w:val="single" w:sz="4" w:space="0" w:color="auto"/>
              <w:right w:val="single" w:sz="4" w:space="0" w:color="auto"/>
            </w:tcBorders>
            <w:shd w:val="clear" w:color="auto" w:fill="auto"/>
            <w:noWrap/>
            <w:vAlign w:val="bottom"/>
            <w:hideMark/>
          </w:tcPr>
          <w:p w14:paraId="2E9797D9" w14:textId="77777777" w:rsidR="001B6E1C" w:rsidRPr="00AD4B49" w:rsidRDefault="001B6E1C" w:rsidP="00CA0691">
            <w:pPr>
              <w:contextualSpacing/>
              <w:jc w:val="right"/>
              <w:rPr>
                <w:sz w:val="22"/>
                <w:szCs w:val="22"/>
              </w:rPr>
            </w:pPr>
            <w:r w:rsidRPr="00AD4B49">
              <w:rPr>
                <w:sz w:val="22"/>
                <w:szCs w:val="22"/>
              </w:rPr>
              <w:t>400</w:t>
            </w:r>
          </w:p>
        </w:tc>
        <w:tc>
          <w:tcPr>
            <w:tcW w:w="906" w:type="dxa"/>
            <w:tcBorders>
              <w:top w:val="nil"/>
              <w:left w:val="nil"/>
              <w:bottom w:val="single" w:sz="4" w:space="0" w:color="auto"/>
              <w:right w:val="single" w:sz="4" w:space="0" w:color="auto"/>
            </w:tcBorders>
            <w:shd w:val="clear" w:color="auto" w:fill="auto"/>
            <w:noWrap/>
            <w:vAlign w:val="bottom"/>
            <w:hideMark/>
          </w:tcPr>
          <w:p w14:paraId="08A92F1C" w14:textId="77777777" w:rsidR="001B6E1C" w:rsidRPr="00AD4B49" w:rsidRDefault="001B6E1C" w:rsidP="00CA0691">
            <w:pPr>
              <w:contextualSpacing/>
              <w:jc w:val="right"/>
              <w:rPr>
                <w:sz w:val="22"/>
                <w:szCs w:val="22"/>
              </w:rPr>
            </w:pPr>
            <w:r w:rsidRPr="00AD4B49">
              <w:rPr>
                <w:sz w:val="22"/>
                <w:szCs w:val="22"/>
              </w:rPr>
              <w:t>30</w:t>
            </w:r>
          </w:p>
        </w:tc>
      </w:tr>
    </w:tbl>
    <w:p w14:paraId="38D27E57" w14:textId="77777777" w:rsidR="001B6E1C" w:rsidRPr="00AD4B49" w:rsidRDefault="001B6E1C" w:rsidP="001B6E1C">
      <w:pPr>
        <w:tabs>
          <w:tab w:val="left" w:pos="5040"/>
          <w:tab w:val="left" w:pos="6594"/>
          <w:tab w:val="left" w:pos="7701"/>
          <w:tab w:val="left" w:pos="8831"/>
        </w:tabs>
        <w:ind w:left="150"/>
        <w:contextualSpacing/>
        <w:jc w:val="both"/>
        <w:rPr>
          <w:color w:val="000000" w:themeColor="text1"/>
          <w:sz w:val="22"/>
          <w:szCs w:val="22"/>
        </w:rPr>
      </w:pPr>
      <w:r w:rsidRPr="00AD4B49">
        <w:rPr>
          <w:color w:val="000000" w:themeColor="text1"/>
          <w:sz w:val="22"/>
          <w:szCs w:val="22"/>
        </w:rPr>
        <w:t xml:space="preserve">*Ha bizonyos esetben az oktató túlteljesíti az egyik </w:t>
      </w:r>
      <w:proofErr w:type="gramStart"/>
      <w:r w:rsidRPr="00AD4B49">
        <w:rPr>
          <w:color w:val="000000" w:themeColor="text1"/>
          <w:sz w:val="22"/>
          <w:szCs w:val="22"/>
        </w:rPr>
        <w:t>kategóriát</w:t>
      </w:r>
      <w:proofErr w:type="gramEnd"/>
      <w:r w:rsidRPr="00AD4B49">
        <w:rPr>
          <w:color w:val="000000" w:themeColor="text1"/>
          <w:sz w:val="22"/>
          <w:szCs w:val="22"/>
        </w:rPr>
        <w:t>, miközben egy másik kategória alulmarad</w:t>
      </w:r>
      <w:r w:rsidRPr="00AD4B49">
        <w:rPr>
          <w:color w:val="000000" w:themeColor="text1"/>
          <w:sz w:val="22"/>
          <w:szCs w:val="22"/>
        </w:rPr>
        <w:tab/>
      </w:r>
      <w:r w:rsidRPr="00AD4B49">
        <w:rPr>
          <w:color w:val="000000" w:themeColor="text1"/>
          <w:sz w:val="22"/>
          <w:szCs w:val="22"/>
        </w:rPr>
        <w:tab/>
      </w:r>
      <w:r w:rsidRPr="00AD4B49">
        <w:rPr>
          <w:color w:val="000000" w:themeColor="text1"/>
          <w:sz w:val="22"/>
          <w:szCs w:val="22"/>
        </w:rPr>
        <w:tab/>
      </w:r>
    </w:p>
    <w:p w14:paraId="7E458F5E"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 xml:space="preserve">(2) Az </w:t>
      </w:r>
      <w:r w:rsidRPr="00AD4B49">
        <w:rPr>
          <w:color w:val="000000" w:themeColor="text1"/>
          <w:sz w:val="22"/>
          <w:szCs w:val="22"/>
        </w:rPr>
        <w:t>értékelési szempontok kimenete</w:t>
      </w:r>
      <w:r w:rsidRPr="00AD4B49">
        <w:rPr>
          <w:rFonts w:eastAsia="Calibri"/>
          <w:color w:val="000000" w:themeColor="text1"/>
          <w:sz w:val="22"/>
          <w:szCs w:val="22"/>
        </w:rPr>
        <w:t xml:space="preserve"> négyes skálán történik, melyek meghatározása:</w:t>
      </w:r>
    </w:p>
    <w:p w14:paraId="4D99F917"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3 – kiválóan megfelelt:</w:t>
      </w:r>
      <w:r w:rsidRPr="00AD4B49">
        <w:rPr>
          <w:rFonts w:eastAsia="Calibri"/>
          <w:color w:val="000000" w:themeColor="text1"/>
          <w:sz w:val="22"/>
          <w:szCs w:val="22"/>
        </w:rPr>
        <w:t xml:space="preserve"> az elvárt követelmények feletti, kimagasló teljesítmény = 126% vagy afelett</w:t>
      </w:r>
    </w:p>
    <w:p w14:paraId="26F5CF95"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2 – jól megfelelt</w:t>
      </w:r>
      <w:r w:rsidRPr="00AD4B49">
        <w:rPr>
          <w:rFonts w:eastAsia="Calibri"/>
          <w:color w:val="000000" w:themeColor="text1"/>
          <w:sz w:val="22"/>
          <w:szCs w:val="22"/>
        </w:rPr>
        <w:t>: az elvárt követelményeknek teljesen megfelelő teljesítmény = 75%-125 %</w:t>
      </w:r>
    </w:p>
    <w:p w14:paraId="3F295401"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1 - megfelelt:</w:t>
      </w:r>
      <w:r w:rsidRPr="00AD4B49">
        <w:rPr>
          <w:rFonts w:eastAsia="Calibri"/>
          <w:color w:val="000000" w:themeColor="text1"/>
          <w:sz w:val="22"/>
          <w:szCs w:val="22"/>
        </w:rPr>
        <w:t xml:space="preserve"> az elvárt követelményeknek még megfelelő teljesítmény = 51%-74%</w:t>
      </w:r>
    </w:p>
    <w:p w14:paraId="2F889224" w14:textId="77777777" w:rsidR="001B6E1C" w:rsidRPr="00AD4B49" w:rsidRDefault="001B6E1C" w:rsidP="001B6E1C">
      <w:pPr>
        <w:contextualSpacing/>
        <w:jc w:val="both"/>
        <w:rPr>
          <w:rFonts w:eastAsia="Calibri"/>
          <w:color w:val="000000" w:themeColor="text1"/>
          <w:sz w:val="22"/>
          <w:szCs w:val="22"/>
        </w:rPr>
      </w:pPr>
      <w:r w:rsidRPr="00AD4B49">
        <w:rPr>
          <w:rFonts w:eastAsia="Calibri"/>
          <w:b/>
          <w:color w:val="000000" w:themeColor="text1"/>
          <w:sz w:val="22"/>
          <w:szCs w:val="22"/>
        </w:rPr>
        <w:t>0 - nem felelt meg</w:t>
      </w:r>
      <w:r w:rsidRPr="00AD4B49">
        <w:rPr>
          <w:rFonts w:eastAsia="Calibri"/>
          <w:color w:val="000000" w:themeColor="text1"/>
          <w:sz w:val="22"/>
          <w:szCs w:val="22"/>
        </w:rPr>
        <w:t>: az elvárt követelményeknek még részben sem megfelelő teljesítmény = 50% -</w:t>
      </w:r>
      <w:proofErr w:type="spellStart"/>
      <w:r w:rsidRPr="00AD4B49">
        <w:rPr>
          <w:rFonts w:eastAsia="Calibri"/>
          <w:color w:val="000000" w:themeColor="text1"/>
          <w:sz w:val="22"/>
          <w:szCs w:val="22"/>
        </w:rPr>
        <w:t>ig</w:t>
      </w:r>
      <w:proofErr w:type="spellEnd"/>
    </w:p>
    <w:p w14:paraId="255B3883" w14:textId="77777777" w:rsidR="001B6E1C" w:rsidRPr="00AD4B49" w:rsidRDefault="001B6E1C" w:rsidP="001B6E1C">
      <w:pPr>
        <w:ind w:left="1134"/>
        <w:contextualSpacing/>
        <w:jc w:val="both"/>
        <w:rPr>
          <w:rFonts w:eastAsia="Calibri"/>
          <w:color w:val="000000" w:themeColor="text1"/>
          <w:sz w:val="22"/>
          <w:szCs w:val="22"/>
        </w:rPr>
      </w:pPr>
    </w:p>
    <w:p w14:paraId="3793AD5E" w14:textId="77777777" w:rsidR="001B6E1C" w:rsidRPr="00AD4B49" w:rsidRDefault="001B6E1C" w:rsidP="001B6E1C">
      <w:pPr>
        <w:contextualSpacing/>
        <w:jc w:val="both"/>
        <w:rPr>
          <w:rFonts w:eastAsia="Calibri"/>
          <w:color w:val="000000" w:themeColor="text1"/>
          <w:sz w:val="22"/>
          <w:szCs w:val="22"/>
        </w:rPr>
      </w:pPr>
      <w:r w:rsidRPr="00AD4B49">
        <w:rPr>
          <w:rFonts w:eastAsia="Calibri"/>
          <w:color w:val="000000" w:themeColor="text1"/>
          <w:sz w:val="22"/>
          <w:szCs w:val="22"/>
        </w:rPr>
        <w:t>(3)</w:t>
      </w:r>
      <w:r w:rsidRPr="00AD4B49">
        <w:rPr>
          <w:rStyle w:val="Lbjegyzet-hivatkozs"/>
          <w:rFonts w:eastAsia="Calibri"/>
          <w:color w:val="000000" w:themeColor="text1"/>
          <w:sz w:val="22"/>
          <w:szCs w:val="22"/>
        </w:rPr>
        <w:footnoteReference w:id="485"/>
      </w:r>
      <w:r w:rsidRPr="00AD4B49">
        <w:rPr>
          <w:rFonts w:eastAsia="Calibri"/>
          <w:color w:val="000000" w:themeColor="text1"/>
          <w:sz w:val="22"/>
          <w:szCs w:val="22"/>
        </w:rPr>
        <w:t xml:space="preserve"> Az alkalmatlan oktató esetében (amennyiben előzőleg dokumentáltan sor került szóbeli, írásbeli figyelmeztetésre, elmarasztalásra) a munkáltatói jogok gyakorlója (dékán, rektor) a hatályos jogszabályok alapján mérlegeli az értékelés következményeit.</w:t>
      </w:r>
    </w:p>
    <w:p w14:paraId="376EB655" w14:textId="77777777" w:rsidR="001B6E1C" w:rsidRPr="00AD4B49" w:rsidRDefault="001B6E1C" w:rsidP="001B6E1C">
      <w:pPr>
        <w:contextualSpacing/>
        <w:jc w:val="both"/>
        <w:rPr>
          <w:rFonts w:eastAsia="Calibri"/>
          <w:color w:val="000000" w:themeColor="text1"/>
          <w:sz w:val="22"/>
          <w:szCs w:val="22"/>
        </w:rPr>
      </w:pPr>
    </w:p>
    <w:p w14:paraId="2D55A3C9" w14:textId="77777777" w:rsidR="001B6E1C" w:rsidRPr="00AD4B49" w:rsidRDefault="001B6E1C" w:rsidP="001B6E1C">
      <w:pPr>
        <w:contextualSpacing/>
        <w:jc w:val="center"/>
        <w:rPr>
          <w:rFonts w:eastAsia="Calibri"/>
          <w:b/>
          <w:color w:val="000000" w:themeColor="text1"/>
          <w:sz w:val="22"/>
          <w:szCs w:val="22"/>
        </w:rPr>
      </w:pPr>
      <w:r w:rsidRPr="00AD4B49">
        <w:rPr>
          <w:rFonts w:eastAsia="Calibri"/>
          <w:b/>
          <w:color w:val="000000" w:themeColor="text1"/>
          <w:sz w:val="22"/>
          <w:szCs w:val="22"/>
        </w:rPr>
        <w:t>Záró és hatályba léptető rendelkezések</w:t>
      </w:r>
    </w:p>
    <w:p w14:paraId="497925BE" w14:textId="77777777" w:rsidR="001B6E1C" w:rsidRPr="00AD4B49" w:rsidRDefault="001B6E1C" w:rsidP="001B6E1C">
      <w:pPr>
        <w:contextualSpacing/>
        <w:jc w:val="center"/>
        <w:rPr>
          <w:rFonts w:eastAsia="Calibri"/>
          <w:b/>
          <w:color w:val="000000" w:themeColor="text1"/>
          <w:sz w:val="22"/>
          <w:szCs w:val="22"/>
        </w:rPr>
      </w:pPr>
    </w:p>
    <w:p w14:paraId="47A9CE0D" w14:textId="77777777" w:rsidR="001B6E1C" w:rsidRPr="00AD4B49" w:rsidRDefault="001B6E1C" w:rsidP="001B6E1C">
      <w:pPr>
        <w:contextualSpacing/>
        <w:jc w:val="both"/>
        <w:rPr>
          <w:rFonts w:eastAsia="Calibri"/>
          <w:strike/>
          <w:color w:val="000000" w:themeColor="text1"/>
          <w:sz w:val="22"/>
          <w:szCs w:val="22"/>
        </w:rPr>
      </w:pPr>
      <w:r w:rsidRPr="00AD4B49">
        <w:rPr>
          <w:rFonts w:eastAsia="Calibri"/>
          <w:b/>
          <w:sz w:val="22"/>
          <w:szCs w:val="22"/>
        </w:rPr>
        <w:t>11</w:t>
      </w:r>
      <w:r w:rsidRPr="00AD4B49">
        <w:rPr>
          <w:rFonts w:eastAsia="Calibri"/>
          <w:b/>
          <w:color w:val="000000" w:themeColor="text1"/>
          <w:sz w:val="22"/>
          <w:szCs w:val="22"/>
        </w:rPr>
        <w:t>. §</w:t>
      </w:r>
      <w:r w:rsidRPr="00AD4B49">
        <w:rPr>
          <w:rFonts w:eastAsia="Calibri"/>
          <w:color w:val="000000" w:themeColor="text1"/>
          <w:sz w:val="22"/>
          <w:szCs w:val="22"/>
        </w:rPr>
        <w:t xml:space="preserve"> (1)</w:t>
      </w:r>
      <w:r w:rsidRPr="00AD4B49">
        <w:rPr>
          <w:rStyle w:val="Lbjegyzet-hivatkozs"/>
          <w:rFonts w:eastAsia="Calibri"/>
          <w:color w:val="000000" w:themeColor="text1"/>
          <w:sz w:val="22"/>
          <w:szCs w:val="22"/>
        </w:rPr>
        <w:footnoteReference w:id="486"/>
      </w:r>
      <w:r w:rsidRPr="00AD4B49">
        <w:rPr>
          <w:rFonts w:eastAsia="Calibri"/>
          <w:color w:val="000000" w:themeColor="text1"/>
          <w:sz w:val="22"/>
          <w:szCs w:val="22"/>
        </w:rPr>
        <w:t xml:space="preserve"> Jelen szabályzat a Szenátus általi elfogadás napján lép hatályba, a szabályzatot első alkalommal a 2019/2020. tanév tekintetében kell alkalmazni a PTE Foglalkoztatási Követelményrendszerének 181. § (1) bekezdésében foglaltakra tekintettel. </w:t>
      </w:r>
    </w:p>
    <w:p w14:paraId="5852B55E" w14:textId="77777777" w:rsidR="001B6E1C" w:rsidRPr="00AD4B49" w:rsidRDefault="001B6E1C" w:rsidP="001B6E1C">
      <w:pPr>
        <w:contextualSpacing/>
        <w:jc w:val="both"/>
        <w:rPr>
          <w:rFonts w:eastAsia="Calibri"/>
          <w:color w:val="000000" w:themeColor="text1"/>
          <w:sz w:val="22"/>
          <w:szCs w:val="22"/>
        </w:rPr>
      </w:pPr>
    </w:p>
    <w:p w14:paraId="7804BF85" w14:textId="77777777" w:rsidR="001B6E1C" w:rsidRPr="00AD4B49" w:rsidRDefault="001B6E1C" w:rsidP="001B6E1C">
      <w:pPr>
        <w:jc w:val="both"/>
        <w:rPr>
          <w:rFonts w:eastAsia="Calibri"/>
          <w:sz w:val="22"/>
          <w:szCs w:val="22"/>
        </w:rPr>
      </w:pPr>
      <w:r w:rsidRPr="00AD4B49">
        <w:rPr>
          <w:rFonts w:eastAsia="Calibri"/>
          <w:color w:val="000000" w:themeColor="text1"/>
          <w:sz w:val="22"/>
          <w:szCs w:val="22"/>
        </w:rPr>
        <w:t>(2)</w:t>
      </w:r>
      <w:r w:rsidRPr="00AD4B49">
        <w:rPr>
          <w:rStyle w:val="Lbjegyzet-hivatkozs"/>
          <w:rFonts w:eastAsia="Calibri"/>
          <w:color w:val="000000" w:themeColor="text1"/>
          <w:sz w:val="22"/>
          <w:szCs w:val="22"/>
        </w:rPr>
        <w:footnoteReference w:id="487"/>
      </w:r>
      <w:r w:rsidRPr="00AD4B49">
        <w:rPr>
          <w:rFonts w:eastAsia="Calibri"/>
          <w:color w:val="000000" w:themeColor="text1"/>
          <w:sz w:val="22"/>
          <w:szCs w:val="22"/>
        </w:rPr>
        <w:t xml:space="preserve">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(pl. oktatói minősítéstábla; oktatói, kutatói </w:t>
      </w:r>
      <w:r w:rsidRPr="00AD4B49">
        <w:rPr>
          <w:rFonts w:eastAsia="Calibri"/>
          <w:sz w:val="22"/>
          <w:szCs w:val="22"/>
        </w:rPr>
        <w:t>minősítési lap; nem oktatói, kutatói minősítési lap; szakmai önéletrajz minta) a Kar dékáni utasításban rendelkezik a Kari Tanács jóváhagyása után.</w:t>
      </w:r>
    </w:p>
    <w:p w14:paraId="6934527E" w14:textId="77777777" w:rsidR="001B6E1C" w:rsidRPr="00AD4B49" w:rsidRDefault="001B6E1C" w:rsidP="001B6E1C">
      <w:pPr>
        <w:jc w:val="both"/>
        <w:rPr>
          <w:rFonts w:eastAsia="Calibri"/>
          <w:sz w:val="22"/>
          <w:szCs w:val="22"/>
        </w:rPr>
      </w:pPr>
    </w:p>
    <w:p w14:paraId="174D8B4F" w14:textId="77777777" w:rsidR="001B6E1C" w:rsidRPr="00AD4B49" w:rsidRDefault="001B6E1C" w:rsidP="001B6E1C">
      <w:pPr>
        <w:spacing w:after="160" w:line="259" w:lineRule="auto"/>
        <w:jc w:val="both"/>
        <w:rPr>
          <w:bCs/>
          <w:sz w:val="22"/>
          <w:szCs w:val="22"/>
        </w:rPr>
      </w:pPr>
      <w:r w:rsidRPr="00AD4B49">
        <w:rPr>
          <w:bCs/>
          <w:sz w:val="22"/>
          <w:szCs w:val="22"/>
        </w:rPr>
        <w:lastRenderedPageBreak/>
        <w:t>(3)</w:t>
      </w:r>
      <w:r w:rsidRPr="00AD4B49">
        <w:rPr>
          <w:rStyle w:val="Lbjegyzet-hivatkozs"/>
          <w:bCs/>
          <w:sz w:val="22"/>
          <w:szCs w:val="22"/>
        </w:rPr>
        <w:footnoteReference w:id="488"/>
      </w:r>
      <w:r w:rsidRPr="00AD4B49">
        <w:rPr>
          <w:bCs/>
          <w:sz w:val="22"/>
          <w:szCs w:val="22"/>
        </w:rPr>
        <w:t xml:space="preserve"> A Minőségirányítási Bizottság évente egyszer felülvizsgálja a TÉR működését és − amennyiben szükséges − javaslatot tesz a Kari Tanácsnak a TÉR módosítására.</w:t>
      </w:r>
    </w:p>
    <w:p w14:paraId="14E61FE2" w14:textId="77777777" w:rsidR="001B6E1C" w:rsidRPr="00934AB0" w:rsidRDefault="001B6E1C" w:rsidP="001B6E1C">
      <w:pPr>
        <w:contextualSpacing/>
        <w:jc w:val="both"/>
        <w:rPr>
          <w:rFonts w:eastAsia="Calibri"/>
          <w:b/>
          <w:sz w:val="22"/>
          <w:szCs w:val="22"/>
          <w:u w:val="single"/>
        </w:rPr>
      </w:pPr>
      <w:r w:rsidRPr="00934AB0">
        <w:rPr>
          <w:rFonts w:eastAsia="Calibri"/>
          <w:b/>
          <w:sz w:val="22"/>
          <w:szCs w:val="22"/>
          <w:u w:val="single"/>
        </w:rPr>
        <w:t>Záradék:</w:t>
      </w:r>
    </w:p>
    <w:p w14:paraId="5B61CDD5" w14:textId="77777777" w:rsidR="001B6E1C" w:rsidRPr="00F36770" w:rsidRDefault="001B6E1C" w:rsidP="001B6E1C">
      <w:pPr>
        <w:spacing w:after="160" w:line="259" w:lineRule="auto"/>
        <w:jc w:val="both"/>
        <w:rPr>
          <w:bCs/>
          <w:i/>
          <w:sz w:val="20"/>
          <w:szCs w:val="20"/>
        </w:rPr>
      </w:pPr>
      <w:r w:rsidRPr="00F36770">
        <w:rPr>
          <w:rStyle w:val="normaltextrun"/>
          <w:rFonts w:eastAsia="Calibri"/>
          <w:bCs/>
          <w:i/>
          <w:sz w:val="20"/>
          <w:szCs w:val="20"/>
        </w:rPr>
        <w:t xml:space="preserve">A Pécsi Tudományegyetem foglalkoztatási követelményrendszere 1/9. számú melléklete, a Pécsi Tudományegyetem Művészeti Karának Teljesítményértékelési Szabályzata </w:t>
      </w:r>
      <w:r w:rsidRPr="00F36770">
        <w:rPr>
          <w:bCs/>
          <w:i/>
          <w:sz w:val="20"/>
          <w:szCs w:val="20"/>
        </w:rPr>
        <w:t>módosítását a Művészeti Kar Kari Tanács a 2020. július 08-ai ülésén a 25/2020 (2020.07.08.) számú határozattal elfogadta, az Oktatási Bizottság a 2020. szeptember 15-én tartott ülésén a 64/2020 (09.15) számú határozatával hagyta jóvá. A módosított melléklet 2020. szeptember 15. napjával hatályos a módosított rendelkezéseket először a 2021. évi teljesítményértékelés során lehet figyelembe venni.</w:t>
      </w:r>
    </w:p>
    <w:p w14:paraId="18CDE781" w14:textId="3ADD0C2E" w:rsidR="00FD0545" w:rsidRPr="009A073F" w:rsidRDefault="00FD0545" w:rsidP="001B6E1C">
      <w:pPr>
        <w:pStyle w:val="Cmsor1"/>
      </w:pPr>
      <w:r w:rsidRPr="00E13CE5">
        <w:rPr>
          <w:rFonts w:eastAsia="Calibri"/>
          <w:u w:val="single"/>
        </w:rPr>
        <w:br w:type="page"/>
      </w:r>
      <w:bookmarkStart w:id="379" w:name="_Toc21961980"/>
      <w:bookmarkStart w:id="380" w:name="_Toc58569588"/>
      <w:r w:rsidRPr="00BE30EA">
        <w:lastRenderedPageBreak/>
        <w:t>1/10. számú melléklet</w:t>
      </w:r>
      <w:bookmarkEnd w:id="379"/>
      <w:bookmarkEnd w:id="380"/>
    </w:p>
    <w:p w14:paraId="2E3703D3" w14:textId="77777777" w:rsidR="00FD0545" w:rsidRPr="00E13CE5" w:rsidRDefault="00FD0545" w:rsidP="00FD0545">
      <w:pPr>
        <w:pStyle w:val="Cmsor1"/>
        <w:rPr>
          <w:rFonts w:eastAsia="Calibri"/>
        </w:rPr>
      </w:pPr>
      <w:bookmarkStart w:id="381" w:name="_Toc21961981"/>
      <w:bookmarkStart w:id="382" w:name="_Toc58569589"/>
      <w:r w:rsidRPr="00E13CE5">
        <w:rPr>
          <w:rFonts w:eastAsia="Calibri"/>
        </w:rPr>
        <w:t xml:space="preserve">A Pécsi Tudományegyetem </w:t>
      </w:r>
      <w:r w:rsidRPr="00E13CE5">
        <w:rPr>
          <w:rFonts w:eastAsia="Calibri"/>
          <w:bCs/>
        </w:rPr>
        <w:t xml:space="preserve">Természettudományi Karának </w:t>
      </w:r>
      <w:r w:rsidRPr="00E13CE5">
        <w:rPr>
          <w:rFonts w:eastAsia="Calibri"/>
        </w:rPr>
        <w:t>Teljesítményértékelési Szabályzata</w:t>
      </w:r>
      <w:bookmarkEnd w:id="381"/>
      <w:bookmarkEnd w:id="382"/>
    </w:p>
    <w:p w14:paraId="0F9A85D4" w14:textId="77777777" w:rsidR="00FD0545" w:rsidRPr="00E13CE5" w:rsidRDefault="00FD0545" w:rsidP="00FD0545">
      <w:pPr>
        <w:contextualSpacing/>
        <w:jc w:val="both"/>
        <w:rPr>
          <w:rFonts w:eastAsia="Calibri"/>
          <w:b/>
          <w:sz w:val="22"/>
          <w:szCs w:val="22"/>
          <w:u w:val="single"/>
        </w:rPr>
      </w:pPr>
    </w:p>
    <w:p w14:paraId="360CD721" w14:textId="77777777" w:rsidR="00FD0545" w:rsidRPr="00E13CE5" w:rsidRDefault="00FD0545" w:rsidP="00FD0545">
      <w:pPr>
        <w:spacing w:before="120" w:after="120" w:line="276" w:lineRule="auto"/>
        <w:contextualSpacing/>
        <w:jc w:val="center"/>
        <w:rPr>
          <w:rFonts w:eastAsia="Calibri"/>
          <w:b/>
          <w:sz w:val="22"/>
          <w:szCs w:val="22"/>
        </w:rPr>
      </w:pPr>
      <w:r w:rsidRPr="00E13CE5">
        <w:rPr>
          <w:rFonts w:eastAsia="Calibri"/>
          <w:b/>
          <w:sz w:val="22"/>
          <w:szCs w:val="22"/>
        </w:rPr>
        <w:t>A Szabályzat személyi hatálya</w:t>
      </w:r>
    </w:p>
    <w:p w14:paraId="25A5E0E9" w14:textId="77777777" w:rsidR="00FD0545" w:rsidRPr="00E13CE5" w:rsidRDefault="00FD0545" w:rsidP="00FD0545">
      <w:pPr>
        <w:jc w:val="both"/>
        <w:rPr>
          <w:rFonts w:eastAsia="Calibri"/>
          <w:sz w:val="22"/>
          <w:szCs w:val="22"/>
        </w:rPr>
      </w:pPr>
    </w:p>
    <w:p w14:paraId="67B20EE7" w14:textId="77777777" w:rsidR="00FD0545" w:rsidRPr="00E13CE5" w:rsidRDefault="00FD0545" w:rsidP="00FD0545">
      <w:pPr>
        <w:jc w:val="both"/>
        <w:rPr>
          <w:rFonts w:eastAsia="Calibri"/>
          <w:b/>
          <w:i/>
          <w:sz w:val="22"/>
          <w:szCs w:val="22"/>
        </w:rPr>
      </w:pPr>
      <w:r w:rsidRPr="00E13CE5">
        <w:rPr>
          <w:rFonts w:eastAsia="Calibri"/>
          <w:b/>
          <w:sz w:val="22"/>
          <w:szCs w:val="22"/>
        </w:rPr>
        <w:t>1. §</w:t>
      </w:r>
      <w:r w:rsidRPr="00E13CE5">
        <w:rPr>
          <w:rFonts w:eastAsia="Calibri"/>
          <w:sz w:val="22"/>
          <w:szCs w:val="22"/>
        </w:rPr>
        <w:t xml:space="preserve"> (1) A Szabályzat személyi hatálya kiterjed a Karral közalkalmazotti jogviszonyban álló valamennyi oktatói, illetve kutatói, tanári, mesteroktatói munkakörben, beleértve a pályázatok keretében foglalkoztatott közalkalmazottra</w:t>
      </w:r>
      <w:r w:rsidRPr="00E13CE5">
        <w:rPr>
          <w:rFonts w:eastAsia="Calibri"/>
          <w:b/>
          <w:i/>
          <w:sz w:val="22"/>
          <w:szCs w:val="22"/>
        </w:rPr>
        <w:t>.</w:t>
      </w:r>
    </w:p>
    <w:p w14:paraId="34F29FF7" w14:textId="77777777" w:rsidR="00FD0545" w:rsidRPr="00E13CE5" w:rsidRDefault="00FD0545" w:rsidP="00FD0545">
      <w:pPr>
        <w:jc w:val="both"/>
        <w:rPr>
          <w:rFonts w:eastAsia="Calibri"/>
          <w:sz w:val="22"/>
          <w:szCs w:val="22"/>
        </w:rPr>
      </w:pPr>
    </w:p>
    <w:p w14:paraId="5AEF9DB9" w14:textId="77777777" w:rsidR="00FD0545" w:rsidRPr="00E13CE5" w:rsidRDefault="00FD0545" w:rsidP="00FD0545">
      <w:pPr>
        <w:jc w:val="both"/>
        <w:rPr>
          <w:rFonts w:eastAsia="Calibri"/>
          <w:sz w:val="22"/>
          <w:szCs w:val="22"/>
        </w:rPr>
      </w:pPr>
      <w:r w:rsidRPr="00E13CE5">
        <w:rPr>
          <w:rFonts w:eastAsia="Calibri"/>
          <w:sz w:val="22"/>
          <w:szCs w:val="22"/>
        </w:rPr>
        <w:t>(2) Jelen Szabályzat személyi hatálya kiterjed továbbá az adatbázisok kezelését és ellenőrzését végző nemoktató, kutató munkakörben foglalkoztatott közalkalmazottakra.</w:t>
      </w:r>
    </w:p>
    <w:p w14:paraId="358297A0" w14:textId="77777777" w:rsidR="00FD0545" w:rsidRPr="00E13CE5" w:rsidRDefault="00FD0545" w:rsidP="00FD0545">
      <w:pPr>
        <w:jc w:val="both"/>
        <w:rPr>
          <w:rFonts w:eastAsia="Calibri"/>
          <w:sz w:val="22"/>
          <w:szCs w:val="22"/>
        </w:rPr>
      </w:pPr>
    </w:p>
    <w:p w14:paraId="6DFFB1A9" w14:textId="77777777" w:rsidR="00FD0545" w:rsidRPr="00E13CE5" w:rsidRDefault="00FD0545" w:rsidP="00FD0545">
      <w:pPr>
        <w:spacing w:before="120" w:after="120"/>
        <w:jc w:val="center"/>
        <w:rPr>
          <w:rFonts w:eastAsia="Calibri"/>
          <w:b/>
          <w:sz w:val="22"/>
          <w:szCs w:val="22"/>
        </w:rPr>
      </w:pPr>
      <w:r w:rsidRPr="00E13CE5">
        <w:rPr>
          <w:rFonts w:eastAsia="Calibri"/>
          <w:b/>
          <w:sz w:val="22"/>
          <w:szCs w:val="22"/>
        </w:rPr>
        <w:t>A Szabályzat célja, alapelvei és általános rendelkezései</w:t>
      </w:r>
    </w:p>
    <w:p w14:paraId="054F86C0" w14:textId="77777777" w:rsidR="00FD0545" w:rsidRPr="00E13CE5" w:rsidRDefault="00FD0545" w:rsidP="00FD0545">
      <w:pPr>
        <w:jc w:val="both"/>
        <w:rPr>
          <w:rFonts w:eastAsia="Calibri"/>
          <w:sz w:val="22"/>
          <w:szCs w:val="22"/>
        </w:rPr>
      </w:pPr>
    </w:p>
    <w:p w14:paraId="56F12C05" w14:textId="77777777" w:rsidR="00FD0545" w:rsidRPr="00E13CE5" w:rsidRDefault="00FD0545" w:rsidP="00FD0545">
      <w:pPr>
        <w:jc w:val="both"/>
        <w:rPr>
          <w:rFonts w:eastAsia="Calibri"/>
          <w:sz w:val="22"/>
          <w:szCs w:val="22"/>
        </w:rPr>
      </w:pPr>
      <w:r w:rsidRPr="00E13CE5">
        <w:rPr>
          <w:rFonts w:eastAsia="Calibri"/>
          <w:b/>
          <w:sz w:val="22"/>
          <w:szCs w:val="22"/>
        </w:rPr>
        <w:t>2. §</w:t>
      </w:r>
      <w:r w:rsidRPr="00E13CE5">
        <w:rPr>
          <w:rFonts w:eastAsia="Calibri"/>
          <w:sz w:val="22"/>
          <w:szCs w:val="22"/>
        </w:rPr>
        <w:t xml:space="preserve"> (1) A Kar által működtetett teljesítményértékelési rendszer (továbbiakban: TÉR) lehetővé teszi a Kar oktatói és kutatói által végzett munka </w:t>
      </w:r>
      <w:proofErr w:type="gramStart"/>
      <w:r w:rsidRPr="00E13CE5">
        <w:rPr>
          <w:rFonts w:eastAsia="Calibri"/>
          <w:sz w:val="22"/>
          <w:szCs w:val="22"/>
        </w:rPr>
        <w:t>objektívebb</w:t>
      </w:r>
      <w:proofErr w:type="gramEnd"/>
      <w:r w:rsidRPr="00E13CE5">
        <w:rPr>
          <w:rFonts w:eastAsia="Calibri"/>
          <w:sz w:val="22"/>
          <w:szCs w:val="22"/>
        </w:rPr>
        <w:t xml:space="preserve"> megítélését, alapjául szolgál a jutalmak kifizetését és az oktatói előmenetelt meghatározó döntéseknek.</w:t>
      </w:r>
    </w:p>
    <w:p w14:paraId="7D32A576" w14:textId="77777777" w:rsidR="00FD0545" w:rsidRPr="00E13CE5" w:rsidRDefault="00FD0545" w:rsidP="00FD0545">
      <w:pPr>
        <w:jc w:val="both"/>
        <w:rPr>
          <w:rFonts w:eastAsia="Calibri"/>
          <w:sz w:val="22"/>
          <w:szCs w:val="22"/>
        </w:rPr>
      </w:pPr>
    </w:p>
    <w:p w14:paraId="1B02A46B" w14:textId="77777777" w:rsidR="00FD0545" w:rsidRPr="00E13CE5" w:rsidRDefault="00FD0545" w:rsidP="00FD0545">
      <w:pPr>
        <w:jc w:val="both"/>
        <w:rPr>
          <w:rFonts w:eastAsia="Calibri"/>
          <w:sz w:val="22"/>
          <w:szCs w:val="22"/>
        </w:rPr>
      </w:pPr>
      <w:r w:rsidRPr="00E13CE5">
        <w:rPr>
          <w:rFonts w:eastAsia="Calibri"/>
          <w:sz w:val="22"/>
          <w:szCs w:val="22"/>
        </w:rPr>
        <w:t xml:space="preserve">(2) A TÉR differenciáltabb értékelést tesz lehetővé az oktatás területén, egyben kifejezésre juttatja azt is, hogy a kutatási tevékenység meghatározó fontosságú a Kar számára. </w:t>
      </w:r>
    </w:p>
    <w:p w14:paraId="4F6A5CC9" w14:textId="77777777" w:rsidR="00FD0545" w:rsidRPr="00E13CE5" w:rsidRDefault="00FD0545" w:rsidP="00FD0545">
      <w:pPr>
        <w:jc w:val="both"/>
        <w:rPr>
          <w:rFonts w:eastAsia="Calibri"/>
          <w:sz w:val="22"/>
          <w:szCs w:val="22"/>
        </w:rPr>
      </w:pPr>
    </w:p>
    <w:p w14:paraId="3E766289" w14:textId="77777777" w:rsidR="00FD0545" w:rsidRPr="00E13CE5" w:rsidRDefault="00FD0545" w:rsidP="00FD0545">
      <w:pPr>
        <w:jc w:val="both"/>
        <w:rPr>
          <w:rFonts w:eastAsia="Calibri"/>
          <w:sz w:val="22"/>
          <w:szCs w:val="22"/>
        </w:rPr>
      </w:pPr>
      <w:r w:rsidRPr="00E13CE5">
        <w:rPr>
          <w:rFonts w:eastAsia="Calibri"/>
          <w:sz w:val="22"/>
          <w:szCs w:val="22"/>
        </w:rPr>
        <w:t>(3) A TÉR figyelembe veszi a közalkalmazott által a Kar érdekében végzett adminisztratív munkát.</w:t>
      </w:r>
    </w:p>
    <w:p w14:paraId="5EAF019A" w14:textId="77777777" w:rsidR="00FD0545" w:rsidRPr="00E13CE5" w:rsidRDefault="00FD0545" w:rsidP="00FD0545">
      <w:pPr>
        <w:spacing w:before="120"/>
        <w:jc w:val="both"/>
        <w:rPr>
          <w:rFonts w:eastAsia="Calibri"/>
          <w:sz w:val="22"/>
          <w:szCs w:val="22"/>
        </w:rPr>
      </w:pPr>
      <w:r w:rsidRPr="00E13CE5">
        <w:rPr>
          <w:rFonts w:eastAsia="Calibri"/>
          <w:b/>
          <w:sz w:val="22"/>
          <w:szCs w:val="22"/>
        </w:rPr>
        <w:t>3. §</w:t>
      </w:r>
      <w:r w:rsidRPr="00E13CE5">
        <w:rPr>
          <w:rFonts w:eastAsia="Calibri"/>
          <w:sz w:val="22"/>
          <w:szCs w:val="22"/>
        </w:rPr>
        <w:t xml:space="preserve"> (1) A TÉR szabályait egy erre a célra – a Kar valamennyi intézete </w:t>
      </w:r>
      <w:proofErr w:type="gramStart"/>
      <w:r w:rsidRPr="00E13CE5">
        <w:rPr>
          <w:rFonts w:eastAsia="Calibri"/>
          <w:sz w:val="22"/>
          <w:szCs w:val="22"/>
        </w:rPr>
        <w:t>delegáltjának</w:t>
      </w:r>
      <w:proofErr w:type="gramEnd"/>
      <w:r w:rsidRPr="00E13CE5">
        <w:rPr>
          <w:rFonts w:eastAsia="Calibri"/>
          <w:sz w:val="22"/>
          <w:szCs w:val="22"/>
        </w:rPr>
        <w:t xml:space="preserve"> részvételével létrehozott – bizottság (a továbbiakban TÉR Bizottság) állapította meg.</w:t>
      </w:r>
    </w:p>
    <w:p w14:paraId="7ADD56FF" w14:textId="77777777" w:rsidR="00FD0545" w:rsidRPr="00E13CE5" w:rsidRDefault="00FD0545" w:rsidP="00FD0545">
      <w:pPr>
        <w:contextualSpacing/>
        <w:jc w:val="both"/>
        <w:rPr>
          <w:rFonts w:eastAsia="Calibri"/>
          <w:sz w:val="22"/>
          <w:szCs w:val="22"/>
        </w:rPr>
      </w:pPr>
    </w:p>
    <w:p w14:paraId="185F5D9D" w14:textId="77777777" w:rsidR="00FD0545" w:rsidRPr="00E13CE5" w:rsidRDefault="00FD0545" w:rsidP="00FD0545">
      <w:pPr>
        <w:contextualSpacing/>
        <w:jc w:val="both"/>
        <w:rPr>
          <w:rFonts w:eastAsia="Calibri"/>
          <w:sz w:val="22"/>
          <w:szCs w:val="22"/>
        </w:rPr>
      </w:pPr>
      <w:r w:rsidRPr="00E13CE5">
        <w:rPr>
          <w:rFonts w:eastAsia="Calibri"/>
          <w:sz w:val="22"/>
          <w:szCs w:val="22"/>
        </w:rPr>
        <w:t>(2) A TÉR-</w:t>
      </w:r>
      <w:proofErr w:type="spellStart"/>
      <w:r w:rsidRPr="00E13CE5">
        <w:rPr>
          <w:rFonts w:eastAsia="Calibri"/>
          <w:sz w:val="22"/>
          <w:szCs w:val="22"/>
        </w:rPr>
        <w:t>rel</w:t>
      </w:r>
      <w:proofErr w:type="spellEnd"/>
      <w:r w:rsidRPr="00E13CE5">
        <w:rPr>
          <w:rFonts w:eastAsia="Calibri"/>
          <w:sz w:val="22"/>
          <w:szCs w:val="22"/>
        </w:rPr>
        <w:t xml:space="preserve"> kapcsolatos </w:t>
      </w:r>
      <w:proofErr w:type="gramStart"/>
      <w:r w:rsidRPr="00E13CE5">
        <w:rPr>
          <w:rFonts w:eastAsia="Calibri"/>
          <w:sz w:val="22"/>
          <w:szCs w:val="22"/>
        </w:rPr>
        <w:t>adminisztrációhoz</w:t>
      </w:r>
      <w:proofErr w:type="gramEnd"/>
      <w:r w:rsidRPr="00E13CE5">
        <w:rPr>
          <w:rFonts w:eastAsia="Calibri"/>
          <w:sz w:val="22"/>
          <w:szCs w:val="22"/>
        </w:rPr>
        <w:t xml:space="preserve"> az </w:t>
      </w:r>
      <w:proofErr w:type="spellStart"/>
      <w:r w:rsidRPr="00E13CE5">
        <w:rPr>
          <w:rFonts w:eastAsia="Calibri"/>
          <w:sz w:val="22"/>
          <w:szCs w:val="22"/>
        </w:rPr>
        <w:t>alapadatokat</w:t>
      </w:r>
      <w:proofErr w:type="spellEnd"/>
      <w:r w:rsidRPr="00E13CE5">
        <w:rPr>
          <w:rFonts w:eastAsia="Calibri"/>
          <w:sz w:val="22"/>
          <w:szCs w:val="22"/>
        </w:rPr>
        <w:t xml:space="preserve"> az oktatás és az adminisztratív munka esetében a Tanulmányi Osztály, és a Dékáni Hivatal szolgáltatja. Az oktatók munkarendje kötetlen, az oktatási kontaktórák számítási alapját a </w:t>
      </w:r>
      <w:proofErr w:type="spellStart"/>
      <w:r w:rsidRPr="00E13CE5">
        <w:rPr>
          <w:rFonts w:eastAsia="Calibri"/>
          <w:sz w:val="22"/>
          <w:szCs w:val="22"/>
        </w:rPr>
        <w:t>Neptun</w:t>
      </w:r>
      <w:proofErr w:type="spellEnd"/>
      <w:r w:rsidRPr="00E13CE5">
        <w:rPr>
          <w:rFonts w:eastAsia="Calibri"/>
          <w:sz w:val="22"/>
          <w:szCs w:val="22"/>
        </w:rPr>
        <w:t xml:space="preserve"> tanulmányi rendszerben rögzített órák képezik.</w:t>
      </w:r>
    </w:p>
    <w:p w14:paraId="1D9715F2" w14:textId="77777777" w:rsidR="00FD0545" w:rsidRPr="00E13CE5" w:rsidRDefault="00FD0545" w:rsidP="00FD0545">
      <w:pPr>
        <w:jc w:val="both"/>
        <w:rPr>
          <w:rFonts w:eastAsia="Calibri"/>
          <w:sz w:val="22"/>
          <w:szCs w:val="22"/>
        </w:rPr>
      </w:pPr>
    </w:p>
    <w:p w14:paraId="4831AA73" w14:textId="77777777" w:rsidR="00FD0545" w:rsidRPr="00E13CE5" w:rsidRDefault="00FD0545" w:rsidP="00FD0545">
      <w:pPr>
        <w:jc w:val="both"/>
        <w:rPr>
          <w:rFonts w:eastAsia="Calibri"/>
          <w:sz w:val="22"/>
          <w:szCs w:val="22"/>
        </w:rPr>
      </w:pPr>
      <w:r w:rsidRPr="00E13CE5">
        <w:rPr>
          <w:rFonts w:eastAsia="Calibri"/>
          <w:sz w:val="22"/>
          <w:szCs w:val="22"/>
        </w:rPr>
        <w:t xml:space="preserve">(3) Az adatok ellenőrzését, esetleg </w:t>
      </w:r>
      <w:proofErr w:type="gramStart"/>
      <w:r w:rsidRPr="00E13CE5">
        <w:rPr>
          <w:rFonts w:eastAsia="Calibri"/>
          <w:sz w:val="22"/>
          <w:szCs w:val="22"/>
        </w:rPr>
        <w:t>korrekcióját</w:t>
      </w:r>
      <w:proofErr w:type="gramEnd"/>
      <w:r w:rsidRPr="00E13CE5">
        <w:rPr>
          <w:rFonts w:eastAsia="Calibri"/>
          <w:sz w:val="22"/>
          <w:szCs w:val="22"/>
        </w:rPr>
        <w:t xml:space="preserve"> az intézetigazgatók jóváhagyásával az oktatóknak, kutatóknak kell elvégezniük.</w:t>
      </w:r>
    </w:p>
    <w:p w14:paraId="3464C6D5" w14:textId="77777777" w:rsidR="00FD0545" w:rsidRPr="00E13CE5" w:rsidRDefault="00FD0545" w:rsidP="00FD0545">
      <w:pPr>
        <w:jc w:val="both"/>
        <w:rPr>
          <w:rFonts w:eastAsia="Calibri"/>
          <w:sz w:val="22"/>
          <w:szCs w:val="22"/>
        </w:rPr>
      </w:pPr>
    </w:p>
    <w:p w14:paraId="192CB70B" w14:textId="77777777" w:rsidR="00FD0545" w:rsidRPr="00E13CE5" w:rsidRDefault="00FD0545" w:rsidP="00FD0545">
      <w:pPr>
        <w:jc w:val="both"/>
        <w:rPr>
          <w:rFonts w:eastAsia="Calibri"/>
          <w:sz w:val="22"/>
          <w:szCs w:val="22"/>
        </w:rPr>
      </w:pPr>
      <w:r w:rsidRPr="00E13CE5">
        <w:rPr>
          <w:rFonts w:eastAsia="Calibri"/>
          <w:sz w:val="22"/>
          <w:szCs w:val="22"/>
        </w:rPr>
        <w:t xml:space="preserve">(4) A tudományos teljesítmény értékeléséhez szükséges adatok felvitele a közalkalmazott érdeke és saját egyéni feladata. E mérőszámok kizárólagos forrása az MTMT. A Kar inhomogén kutatási </w:t>
      </w:r>
      <w:proofErr w:type="gramStart"/>
      <w:r w:rsidRPr="00E13CE5">
        <w:rPr>
          <w:rFonts w:eastAsia="Calibri"/>
          <w:sz w:val="22"/>
          <w:szCs w:val="22"/>
        </w:rPr>
        <w:t>struktúráját</w:t>
      </w:r>
      <w:proofErr w:type="gramEnd"/>
      <w:r w:rsidRPr="00E13CE5">
        <w:rPr>
          <w:rFonts w:eastAsia="Calibri"/>
          <w:sz w:val="22"/>
          <w:szCs w:val="22"/>
        </w:rPr>
        <w:t xml:space="preserve"> figyelembe véve az egységesített szempontrendszer viszonyítási alapja a különböző tudományterületek akadémiai osztályai által, az MTA doktora (</w:t>
      </w:r>
      <w:proofErr w:type="spellStart"/>
      <w:r w:rsidRPr="00E13CE5">
        <w:rPr>
          <w:rFonts w:eastAsia="Calibri"/>
          <w:sz w:val="22"/>
          <w:szCs w:val="22"/>
        </w:rPr>
        <w:t>DSc</w:t>
      </w:r>
      <w:proofErr w:type="spellEnd"/>
      <w:r w:rsidRPr="00E13CE5">
        <w:rPr>
          <w:rFonts w:eastAsia="Calibri"/>
          <w:sz w:val="22"/>
          <w:szCs w:val="22"/>
        </w:rPr>
        <w:t xml:space="preserve">) cím eléréséhez megállapított minimális követelmények szintje. Erre építve a TÉR bizottság kidolgozott egy egységesített adattáblát, aminek egyénekre szabott feltöltése a Dékáni Hivatal feladata, alapjául pedig az MTMT adatbázis szolgál. Az így elkészített </w:t>
      </w:r>
      <w:proofErr w:type="gramStart"/>
      <w:r w:rsidRPr="00E13CE5">
        <w:rPr>
          <w:rFonts w:eastAsia="Calibri"/>
          <w:sz w:val="22"/>
          <w:szCs w:val="22"/>
        </w:rPr>
        <w:t>fájl</w:t>
      </w:r>
      <w:proofErr w:type="gramEnd"/>
      <w:r w:rsidRPr="00E13CE5">
        <w:rPr>
          <w:rFonts w:eastAsia="Calibri"/>
          <w:sz w:val="22"/>
          <w:szCs w:val="22"/>
        </w:rPr>
        <w:t xml:space="preserve"> ellenőrzését, esetleges korrekcióját az intézetigazgatók jóváhagyásával az oktatóknak, kutatóknak kell elvégezniük.</w:t>
      </w:r>
    </w:p>
    <w:p w14:paraId="6376D66B" w14:textId="77777777" w:rsidR="00FD0545" w:rsidRPr="00E13CE5" w:rsidRDefault="00FD0545" w:rsidP="00FD0545">
      <w:pPr>
        <w:jc w:val="both"/>
        <w:rPr>
          <w:rFonts w:eastAsia="Calibri"/>
          <w:sz w:val="22"/>
          <w:szCs w:val="22"/>
        </w:rPr>
      </w:pPr>
    </w:p>
    <w:p w14:paraId="610CB444" w14:textId="77777777" w:rsidR="00FD0545" w:rsidRPr="00E13CE5" w:rsidRDefault="00FD0545" w:rsidP="00FD0545">
      <w:pPr>
        <w:jc w:val="both"/>
        <w:rPr>
          <w:rFonts w:eastAsia="Calibri"/>
          <w:sz w:val="22"/>
          <w:szCs w:val="22"/>
        </w:rPr>
      </w:pPr>
      <w:r w:rsidRPr="00E13CE5">
        <w:rPr>
          <w:rFonts w:eastAsia="Calibri"/>
          <w:sz w:val="22"/>
          <w:szCs w:val="22"/>
        </w:rPr>
        <w:t xml:space="preserve">(5) A teljesítményértékelés évente történik. Az oktatási és </w:t>
      </w:r>
      <w:proofErr w:type="gramStart"/>
      <w:r w:rsidRPr="00E13CE5">
        <w:rPr>
          <w:rFonts w:eastAsia="Calibri"/>
          <w:sz w:val="22"/>
          <w:szCs w:val="22"/>
        </w:rPr>
        <w:t>adminisztrációs</w:t>
      </w:r>
      <w:proofErr w:type="gramEnd"/>
      <w:r w:rsidRPr="00E13CE5">
        <w:rPr>
          <w:rFonts w:eastAsia="Calibri"/>
          <w:sz w:val="22"/>
          <w:szCs w:val="22"/>
        </w:rPr>
        <w:t xml:space="preserve"> TÉR esetében tanévenként, tudományos és pályázati aktivitás mérésénél az adott értékelési évet megelőző három csúszó naptári év teljesítménye alapján történik az értékelés.</w:t>
      </w:r>
    </w:p>
    <w:p w14:paraId="3F6C7609" w14:textId="77777777" w:rsidR="00FD0545" w:rsidRPr="00E13CE5" w:rsidRDefault="00FD0545" w:rsidP="00FD0545">
      <w:pPr>
        <w:jc w:val="both"/>
        <w:rPr>
          <w:rFonts w:eastAsia="Calibri"/>
          <w:sz w:val="22"/>
          <w:szCs w:val="22"/>
        </w:rPr>
      </w:pPr>
    </w:p>
    <w:p w14:paraId="3EF90F3C" w14:textId="77777777" w:rsidR="00FD0545" w:rsidRPr="00E13CE5" w:rsidRDefault="00FD0545" w:rsidP="00FD0545">
      <w:pPr>
        <w:jc w:val="both"/>
        <w:rPr>
          <w:rFonts w:eastAsia="Calibri"/>
          <w:sz w:val="22"/>
          <w:szCs w:val="22"/>
        </w:rPr>
      </w:pPr>
      <w:r w:rsidRPr="00E13CE5">
        <w:rPr>
          <w:rFonts w:eastAsia="Calibri"/>
          <w:sz w:val="22"/>
          <w:szCs w:val="22"/>
        </w:rPr>
        <w:t>(6) Ha az értékelésben résztvevő munkatárs oktatási/</w:t>
      </w:r>
      <w:proofErr w:type="gramStart"/>
      <w:r w:rsidRPr="00E13CE5">
        <w:rPr>
          <w:rFonts w:eastAsia="Calibri"/>
          <w:sz w:val="22"/>
          <w:szCs w:val="22"/>
        </w:rPr>
        <w:t>adminisztrációs</w:t>
      </w:r>
      <w:proofErr w:type="gramEnd"/>
      <w:r w:rsidRPr="00E13CE5">
        <w:rPr>
          <w:rFonts w:eastAsia="Calibri"/>
          <w:sz w:val="22"/>
          <w:szCs w:val="22"/>
        </w:rPr>
        <w:t xml:space="preserve"> TÉR értékelésénél nem volt oktatói státuszban egy teljes tanévet, akkor az Intézetigazgató indoklással alkalmazhatja a „Nem releváns” minősítést, ezzel mentesítve a kollégát az oktatási TÉR értékelés alól az adott évben.</w:t>
      </w:r>
    </w:p>
    <w:p w14:paraId="73CA5413" w14:textId="77777777" w:rsidR="00FD0545" w:rsidRPr="00E13CE5" w:rsidRDefault="00FD0545" w:rsidP="00FD0545">
      <w:pPr>
        <w:jc w:val="both"/>
        <w:rPr>
          <w:rFonts w:eastAsia="Calibri"/>
          <w:sz w:val="22"/>
          <w:szCs w:val="22"/>
        </w:rPr>
      </w:pPr>
    </w:p>
    <w:p w14:paraId="34085098" w14:textId="77777777" w:rsidR="00FD0545" w:rsidRPr="00E13CE5" w:rsidRDefault="00FD0545" w:rsidP="00FD0545">
      <w:pPr>
        <w:jc w:val="both"/>
        <w:rPr>
          <w:rFonts w:eastAsia="Calibri"/>
          <w:sz w:val="22"/>
          <w:szCs w:val="22"/>
        </w:rPr>
      </w:pPr>
      <w:r w:rsidRPr="00E13CE5">
        <w:rPr>
          <w:rFonts w:eastAsia="Calibri"/>
          <w:sz w:val="22"/>
          <w:szCs w:val="22"/>
        </w:rPr>
        <w:t xml:space="preserve">(7) Ha az értékelésben résztvevő munkatárs a három éves periódust bármely okból nem töltötte ki, úgy a tudományos/pályázati TÉR értékelésénél az Intézetigazgató indoklással alkalmazhatja a „Nem releváns” minősítést, ezzel mentesítve a </w:t>
      </w:r>
      <w:proofErr w:type="gramStart"/>
      <w:r w:rsidRPr="00E13CE5">
        <w:rPr>
          <w:rFonts w:eastAsia="Calibri"/>
          <w:sz w:val="22"/>
          <w:szCs w:val="22"/>
        </w:rPr>
        <w:t>kollégát</w:t>
      </w:r>
      <w:proofErr w:type="gramEnd"/>
      <w:r w:rsidRPr="00E13CE5">
        <w:rPr>
          <w:rFonts w:eastAsia="Calibri"/>
          <w:sz w:val="22"/>
          <w:szCs w:val="22"/>
        </w:rPr>
        <w:t xml:space="preserve"> a tudományos/pályázati TÉR értékelés alól. </w:t>
      </w:r>
    </w:p>
    <w:p w14:paraId="3E089C14" w14:textId="77777777" w:rsidR="00FD0545" w:rsidRPr="00E13CE5" w:rsidRDefault="00FD0545" w:rsidP="00FD0545">
      <w:pPr>
        <w:jc w:val="both"/>
        <w:rPr>
          <w:rFonts w:eastAsia="Calibri"/>
          <w:sz w:val="22"/>
          <w:szCs w:val="22"/>
        </w:rPr>
      </w:pPr>
    </w:p>
    <w:p w14:paraId="6B588254" w14:textId="77777777" w:rsidR="00FD0545" w:rsidRPr="00E13CE5" w:rsidRDefault="00FD0545" w:rsidP="00FD0545">
      <w:pPr>
        <w:jc w:val="both"/>
        <w:rPr>
          <w:rFonts w:eastAsia="Calibri"/>
          <w:sz w:val="22"/>
          <w:szCs w:val="22"/>
        </w:rPr>
      </w:pPr>
      <w:r w:rsidRPr="00E13CE5">
        <w:rPr>
          <w:rFonts w:eastAsia="Calibri"/>
          <w:sz w:val="22"/>
          <w:szCs w:val="22"/>
        </w:rPr>
        <w:lastRenderedPageBreak/>
        <w:t xml:space="preserve">(8) Tanári munkakörben foglalkoztatott </w:t>
      </w:r>
      <w:proofErr w:type="gramStart"/>
      <w:r w:rsidRPr="00E13CE5">
        <w:rPr>
          <w:rFonts w:eastAsia="Calibri"/>
          <w:sz w:val="22"/>
          <w:szCs w:val="22"/>
        </w:rPr>
        <w:t>kollégák</w:t>
      </w:r>
      <w:proofErr w:type="gramEnd"/>
      <w:r w:rsidRPr="00E13CE5">
        <w:rPr>
          <w:rFonts w:eastAsia="Calibri"/>
          <w:sz w:val="22"/>
          <w:szCs w:val="22"/>
        </w:rPr>
        <w:t xml:space="preserve"> esetében a tudományos/pályázati értékelési szempontok nem relevánsak. </w:t>
      </w:r>
    </w:p>
    <w:p w14:paraId="3D8CD344" w14:textId="77777777" w:rsidR="00FD0545" w:rsidRPr="00E13CE5" w:rsidRDefault="00FD0545" w:rsidP="00FD0545">
      <w:pPr>
        <w:jc w:val="both"/>
        <w:rPr>
          <w:rFonts w:eastAsia="Calibri"/>
          <w:sz w:val="22"/>
          <w:szCs w:val="22"/>
        </w:rPr>
      </w:pPr>
    </w:p>
    <w:p w14:paraId="5E91B031" w14:textId="77777777" w:rsidR="00FD0545" w:rsidRPr="00E13CE5" w:rsidRDefault="00FD0545" w:rsidP="00FD0545">
      <w:pPr>
        <w:jc w:val="both"/>
        <w:rPr>
          <w:rFonts w:eastAsia="Calibri"/>
          <w:sz w:val="22"/>
          <w:szCs w:val="22"/>
        </w:rPr>
      </w:pPr>
      <w:r w:rsidRPr="00E13CE5">
        <w:rPr>
          <w:rFonts w:eastAsia="Calibri"/>
          <w:sz w:val="22"/>
          <w:szCs w:val="22"/>
        </w:rPr>
        <w:t xml:space="preserve">(9) Amennyiben az értékelésben résztvevő munkatárs munkaköri beosztása az értékelési periódus alatt megváltozik, úgy a minősítésnél mindig a számára kedvezőbb </w:t>
      </w:r>
      <w:proofErr w:type="gramStart"/>
      <w:r w:rsidRPr="00E13CE5">
        <w:rPr>
          <w:rFonts w:eastAsia="Calibri"/>
          <w:sz w:val="22"/>
          <w:szCs w:val="22"/>
        </w:rPr>
        <w:t>kategóriát</w:t>
      </w:r>
      <w:proofErr w:type="gramEnd"/>
      <w:r w:rsidRPr="00E13CE5">
        <w:rPr>
          <w:rFonts w:eastAsia="Calibri"/>
          <w:sz w:val="22"/>
          <w:szCs w:val="22"/>
        </w:rPr>
        <w:t xml:space="preserve"> kell alkalmazni. </w:t>
      </w:r>
    </w:p>
    <w:p w14:paraId="16213580" w14:textId="77777777" w:rsidR="00FD0545" w:rsidRPr="00E13CE5" w:rsidRDefault="00FD0545" w:rsidP="00FD0545">
      <w:pPr>
        <w:contextualSpacing/>
        <w:jc w:val="both"/>
        <w:rPr>
          <w:rFonts w:eastAsia="Calibri"/>
          <w:b/>
          <w:sz w:val="22"/>
          <w:szCs w:val="22"/>
          <w:u w:val="single"/>
        </w:rPr>
      </w:pPr>
    </w:p>
    <w:p w14:paraId="130E1FFB" w14:textId="77777777" w:rsidR="00FD0545" w:rsidRPr="00E13CE5" w:rsidRDefault="00FD0545" w:rsidP="00FD0545">
      <w:pPr>
        <w:spacing w:before="120" w:after="120"/>
        <w:jc w:val="center"/>
        <w:rPr>
          <w:rFonts w:eastAsia="Calibri"/>
          <w:b/>
          <w:sz w:val="22"/>
          <w:szCs w:val="22"/>
        </w:rPr>
      </w:pPr>
      <w:r w:rsidRPr="00E13CE5">
        <w:rPr>
          <w:rFonts w:eastAsia="Calibri"/>
          <w:b/>
          <w:sz w:val="22"/>
          <w:szCs w:val="22"/>
        </w:rPr>
        <w:t>Az egyes teljesítmény-elemek számítási rendje</w:t>
      </w:r>
    </w:p>
    <w:p w14:paraId="1FEDA7AB" w14:textId="77777777" w:rsidR="00FD0545" w:rsidRPr="00E13CE5" w:rsidRDefault="00FD0545" w:rsidP="00FD0545">
      <w:pPr>
        <w:jc w:val="both"/>
        <w:rPr>
          <w:rFonts w:eastAsia="Calibri"/>
          <w:sz w:val="22"/>
          <w:szCs w:val="22"/>
        </w:rPr>
      </w:pPr>
    </w:p>
    <w:p w14:paraId="7B460988" w14:textId="77777777" w:rsidR="00FD0545" w:rsidRPr="00E13CE5" w:rsidRDefault="00FD0545" w:rsidP="00FD0545">
      <w:pPr>
        <w:jc w:val="both"/>
        <w:rPr>
          <w:rFonts w:eastAsia="Calibri"/>
          <w:sz w:val="22"/>
          <w:szCs w:val="22"/>
        </w:rPr>
      </w:pPr>
      <w:r w:rsidRPr="00E13CE5">
        <w:rPr>
          <w:rFonts w:eastAsia="Calibri"/>
          <w:b/>
          <w:sz w:val="22"/>
          <w:szCs w:val="22"/>
        </w:rPr>
        <w:t>4. §</w:t>
      </w:r>
      <w:r w:rsidRPr="00E13CE5">
        <w:rPr>
          <w:rFonts w:eastAsia="Calibri"/>
          <w:sz w:val="22"/>
          <w:szCs w:val="22"/>
        </w:rPr>
        <w:t xml:space="preserve"> (1) A Kar a közalkalmazott oktatói teljesítményének mérőszámait és azok beszámítási arányát az alábbiak szerint határozza meg:</w:t>
      </w:r>
    </w:p>
    <w:p w14:paraId="48E8B25F" w14:textId="77777777" w:rsidR="00FD0545" w:rsidRPr="00E13CE5" w:rsidRDefault="00FD0545" w:rsidP="00FD0545">
      <w:pPr>
        <w:widowControl w:val="0"/>
        <w:suppressAutoHyphens/>
        <w:rPr>
          <w:rFonts w:eastAsia="Calibri"/>
          <w:sz w:val="22"/>
          <w:szCs w:val="22"/>
        </w:rPr>
      </w:pPr>
      <w:r w:rsidRPr="00E13CE5">
        <w:rPr>
          <w:rFonts w:eastAsia="Calibri"/>
          <w:i/>
          <w:sz w:val="22"/>
          <w:szCs w:val="22"/>
        </w:rPr>
        <w:t>A kontaktóra</w:t>
      </w:r>
    </w:p>
    <w:p w14:paraId="220FCC0B" w14:textId="77777777" w:rsidR="00FD0545" w:rsidRPr="00E13CE5" w:rsidRDefault="00FD0545" w:rsidP="00FD0545">
      <w:pPr>
        <w:widowControl w:val="0"/>
        <w:numPr>
          <w:ilvl w:val="1"/>
          <w:numId w:val="0"/>
        </w:numPr>
        <w:tabs>
          <w:tab w:val="center" w:pos="5220"/>
          <w:tab w:val="right" w:pos="9360"/>
        </w:tabs>
        <w:suppressAutoHyphens/>
        <w:ind w:left="567" w:hanging="283"/>
        <w:jc w:val="both"/>
        <w:rPr>
          <w:i/>
          <w:sz w:val="22"/>
          <w:szCs w:val="22"/>
          <w:lang w:eastAsia="ar-SA"/>
        </w:rPr>
      </w:pPr>
      <w:r w:rsidRPr="00E13CE5">
        <w:rPr>
          <w:sz w:val="22"/>
          <w:szCs w:val="22"/>
          <w:lang w:eastAsia="ar-SA"/>
        </w:rPr>
        <w:t xml:space="preserve">- egy 45 perces óra egy pontnak számít. Az óra esetében nincs különbség a felsőfokú szakképzésben vagy felsőoktatási szakképzésben, az alapképzésben, a mesterképzésben, az egységes, osztatlan képzésben és a PhD </w:t>
      </w:r>
      <w:proofErr w:type="gramStart"/>
      <w:r w:rsidRPr="00E13CE5">
        <w:rPr>
          <w:sz w:val="22"/>
          <w:szCs w:val="22"/>
          <w:lang w:eastAsia="ar-SA"/>
        </w:rPr>
        <w:t>kurzusok</w:t>
      </w:r>
      <w:proofErr w:type="gramEnd"/>
      <w:r w:rsidRPr="00E13CE5">
        <w:rPr>
          <w:sz w:val="22"/>
          <w:szCs w:val="22"/>
          <w:lang w:eastAsia="ar-SA"/>
        </w:rPr>
        <w:t xml:space="preserve"> keretében tartott órák között. Idegen nyelven oktatott tantárgy esetén másfélszeres szorzótényezővel kell figyelembe venni a kontaktórákat.</w:t>
      </w:r>
    </w:p>
    <w:p w14:paraId="53137A31" w14:textId="77777777" w:rsidR="00FD0545" w:rsidRPr="00E13CE5" w:rsidRDefault="00FD0545" w:rsidP="00FD0545">
      <w:pPr>
        <w:widowControl w:val="0"/>
        <w:numPr>
          <w:ilvl w:val="1"/>
          <w:numId w:val="0"/>
        </w:numPr>
        <w:tabs>
          <w:tab w:val="center" w:pos="5220"/>
          <w:tab w:val="right" w:pos="9360"/>
        </w:tabs>
        <w:suppressAutoHyphens/>
        <w:ind w:left="567" w:hanging="283"/>
        <w:jc w:val="both"/>
        <w:rPr>
          <w:sz w:val="22"/>
          <w:szCs w:val="22"/>
          <w:lang w:eastAsia="ar-SA"/>
        </w:rPr>
      </w:pPr>
      <w:r w:rsidRPr="00E13CE5">
        <w:rPr>
          <w:sz w:val="22"/>
          <w:szCs w:val="22"/>
          <w:lang w:eastAsia="ar-SA"/>
        </w:rPr>
        <w:t xml:space="preserve">- szemináriumok esetében </w:t>
      </w:r>
      <w:proofErr w:type="spellStart"/>
      <w:r w:rsidRPr="00E13CE5">
        <w:rPr>
          <w:sz w:val="22"/>
          <w:szCs w:val="22"/>
          <w:lang w:eastAsia="ar-SA"/>
        </w:rPr>
        <w:t>Zh</w:t>
      </w:r>
      <w:proofErr w:type="spellEnd"/>
      <w:r w:rsidRPr="00E13CE5">
        <w:rPr>
          <w:sz w:val="22"/>
          <w:szCs w:val="22"/>
          <w:lang w:eastAsia="ar-SA"/>
        </w:rPr>
        <w:t>-k javítására, továbbá laboratóriumi gyakorlatok esetében jegyzőkönyvek javítására 0,5 pont/hallgató számolható el. Kollokvium esetében (akár szóbeli, akár írásbeli vizsgáról van szó) 0,5 pont/vizsgázott hallgató (a nem megjelent hallgató nem számítható) számolható el.</w:t>
      </w:r>
    </w:p>
    <w:p w14:paraId="2D438C7C" w14:textId="77777777" w:rsidR="00FD0545" w:rsidRPr="00E13CE5" w:rsidRDefault="00FD0545" w:rsidP="00FD0545">
      <w:pPr>
        <w:rPr>
          <w:rFonts w:eastAsia="Calibri"/>
          <w:sz w:val="22"/>
          <w:szCs w:val="22"/>
          <w:lang w:eastAsia="ar-SA"/>
        </w:rPr>
      </w:pPr>
    </w:p>
    <w:p w14:paraId="13712CFE" w14:textId="77777777" w:rsidR="00FD0545" w:rsidRPr="00E13CE5" w:rsidRDefault="00FD0545" w:rsidP="00FD0545">
      <w:pPr>
        <w:widowControl w:val="0"/>
        <w:suppressAutoHyphens/>
        <w:rPr>
          <w:rFonts w:eastAsia="Calibri"/>
          <w:sz w:val="22"/>
          <w:szCs w:val="22"/>
        </w:rPr>
      </w:pPr>
      <w:r w:rsidRPr="00E13CE5">
        <w:rPr>
          <w:rFonts w:eastAsia="Calibri"/>
          <w:sz w:val="22"/>
          <w:szCs w:val="22"/>
        </w:rPr>
        <w:t>(2) Diplomamunka, szakdolgozat vezetése</w:t>
      </w:r>
    </w:p>
    <w:p w14:paraId="77D7CBBC" w14:textId="77777777" w:rsidR="00FD0545" w:rsidRPr="00E13CE5" w:rsidRDefault="00FD0545" w:rsidP="00FD0545">
      <w:pPr>
        <w:ind w:firstLine="340"/>
        <w:jc w:val="both"/>
        <w:rPr>
          <w:rFonts w:eastAsia="Calibri"/>
          <w:sz w:val="22"/>
          <w:szCs w:val="22"/>
        </w:rPr>
      </w:pPr>
      <w:r w:rsidRPr="00E13CE5">
        <w:rPr>
          <w:rFonts w:eastAsia="Calibri"/>
          <w:sz w:val="22"/>
          <w:szCs w:val="22"/>
        </w:rPr>
        <w:t xml:space="preserve">A sikeresen megvédett és a </w:t>
      </w:r>
      <w:proofErr w:type="spellStart"/>
      <w:r w:rsidRPr="00E13CE5">
        <w:rPr>
          <w:rFonts w:eastAsia="Calibri"/>
          <w:sz w:val="22"/>
          <w:szCs w:val="22"/>
        </w:rPr>
        <w:t>Neptun</w:t>
      </w:r>
      <w:proofErr w:type="spellEnd"/>
      <w:r w:rsidRPr="00E13CE5">
        <w:rPr>
          <w:rFonts w:eastAsia="Calibri"/>
          <w:sz w:val="22"/>
          <w:szCs w:val="22"/>
        </w:rPr>
        <w:t xml:space="preserve"> tanulmányi rendszerben rögzített diplomamunka vehető figyelembe. </w:t>
      </w:r>
    </w:p>
    <w:p w14:paraId="2CAFE5BB" w14:textId="77777777" w:rsidR="00FD0545" w:rsidRPr="00E13CE5" w:rsidRDefault="00FD0545" w:rsidP="00F83E93">
      <w:pPr>
        <w:pStyle w:val="Listaszerbekezds"/>
        <w:widowControl w:val="0"/>
        <w:numPr>
          <w:ilvl w:val="0"/>
          <w:numId w:val="164"/>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proofErr w:type="spellStart"/>
      <w:r w:rsidRPr="00E13CE5">
        <w:rPr>
          <w:rFonts w:ascii="Times New Roman" w:eastAsia="Times New Roman" w:hAnsi="Times New Roman"/>
          <w:lang w:eastAsia="ar-SA"/>
        </w:rPr>
        <w:t>BSc</w:t>
      </w:r>
      <w:proofErr w:type="spellEnd"/>
      <w:r w:rsidRPr="00E13CE5">
        <w:rPr>
          <w:rFonts w:ascii="Times New Roman" w:eastAsia="Times New Roman" w:hAnsi="Times New Roman"/>
          <w:lang w:eastAsia="ar-SA"/>
        </w:rPr>
        <w:t xml:space="preserve"> képzés esetében hallgatónként 30 pont vehető figyelembe.</w:t>
      </w:r>
    </w:p>
    <w:p w14:paraId="730D0947" w14:textId="77777777" w:rsidR="00FD0545" w:rsidRPr="00E13CE5" w:rsidRDefault="00FD0545" w:rsidP="00F83E93">
      <w:pPr>
        <w:pStyle w:val="Listaszerbekezds"/>
        <w:widowControl w:val="0"/>
        <w:numPr>
          <w:ilvl w:val="0"/>
          <w:numId w:val="164"/>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 xml:space="preserve"> </w:t>
      </w:r>
      <w:proofErr w:type="spellStart"/>
      <w:r w:rsidRPr="00E13CE5">
        <w:rPr>
          <w:rFonts w:ascii="Times New Roman" w:eastAsia="Times New Roman" w:hAnsi="Times New Roman"/>
          <w:lang w:eastAsia="ar-SA"/>
        </w:rPr>
        <w:t>MSc</w:t>
      </w:r>
      <w:proofErr w:type="spellEnd"/>
      <w:r w:rsidRPr="00E13CE5">
        <w:rPr>
          <w:rFonts w:ascii="Times New Roman" w:eastAsia="Times New Roman" w:hAnsi="Times New Roman"/>
          <w:lang w:eastAsia="ar-SA"/>
        </w:rPr>
        <w:t xml:space="preserve"> képzésben védés esetén 30 pont számolható el hallgatónként. </w:t>
      </w:r>
    </w:p>
    <w:p w14:paraId="5629DA88" w14:textId="77777777" w:rsidR="00FD0545" w:rsidRPr="00E13CE5" w:rsidRDefault="00FD0545" w:rsidP="00F83E93">
      <w:pPr>
        <w:pStyle w:val="Listaszerbekezds"/>
        <w:widowControl w:val="0"/>
        <w:numPr>
          <w:ilvl w:val="0"/>
          <w:numId w:val="164"/>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 xml:space="preserve"> MA diplomamunka és oktatási portfoliók elkészítése: 15 pont hallgatónként.</w:t>
      </w:r>
    </w:p>
    <w:p w14:paraId="1EB1896C" w14:textId="77777777" w:rsidR="00FD0545" w:rsidRPr="00E13CE5" w:rsidRDefault="00FD0545" w:rsidP="00FD0545">
      <w:pPr>
        <w:pStyle w:val="Listaszerbekezds"/>
        <w:widowControl w:val="0"/>
        <w:tabs>
          <w:tab w:val="center" w:pos="5220"/>
          <w:tab w:val="right" w:pos="9360"/>
        </w:tabs>
        <w:suppressAutoHyphens/>
        <w:spacing w:after="0" w:line="240" w:lineRule="auto"/>
        <w:ind w:left="814"/>
        <w:jc w:val="both"/>
        <w:rPr>
          <w:rFonts w:ascii="Times New Roman" w:eastAsia="Times New Roman" w:hAnsi="Times New Roman"/>
          <w:lang w:eastAsia="ar-SA"/>
        </w:rPr>
      </w:pPr>
    </w:p>
    <w:p w14:paraId="1BF1AAEF" w14:textId="77777777" w:rsidR="00FD0545" w:rsidRPr="00E13CE5" w:rsidRDefault="00FD0545" w:rsidP="00FD0545">
      <w:pPr>
        <w:widowControl w:val="0"/>
        <w:suppressAutoHyphens/>
        <w:rPr>
          <w:rFonts w:eastAsia="Calibri"/>
          <w:sz w:val="22"/>
          <w:szCs w:val="22"/>
        </w:rPr>
      </w:pPr>
      <w:r w:rsidRPr="00E13CE5">
        <w:rPr>
          <w:rFonts w:eastAsia="Calibri"/>
          <w:sz w:val="22"/>
          <w:szCs w:val="22"/>
        </w:rPr>
        <w:t xml:space="preserve"> (3) Diplomamunka, szakdolgozat, záródolgozat bírálata </w:t>
      </w:r>
    </w:p>
    <w:p w14:paraId="21375D3B" w14:textId="77777777" w:rsidR="00FD0545" w:rsidRPr="00E13CE5" w:rsidRDefault="00FD0545" w:rsidP="00FD0545">
      <w:pPr>
        <w:ind w:left="374" w:hanging="187"/>
        <w:rPr>
          <w:rFonts w:eastAsia="Calibri"/>
          <w:sz w:val="22"/>
          <w:szCs w:val="22"/>
        </w:rPr>
      </w:pPr>
      <w:r w:rsidRPr="00E13CE5">
        <w:rPr>
          <w:rFonts w:eastAsia="Calibri"/>
          <w:sz w:val="22"/>
          <w:szCs w:val="22"/>
        </w:rPr>
        <w:t>Az egyes szakokon készült dolgozatok bírálatára elszámolható munkaidők:</w:t>
      </w:r>
    </w:p>
    <w:p w14:paraId="64006212" w14:textId="77777777" w:rsidR="00FD0545" w:rsidRPr="00E13CE5" w:rsidRDefault="00FD0545" w:rsidP="00F83E93">
      <w:pPr>
        <w:widowControl w:val="0"/>
        <w:numPr>
          <w:ilvl w:val="0"/>
          <w:numId w:val="165"/>
        </w:numPr>
        <w:tabs>
          <w:tab w:val="clear" w:pos="720"/>
          <w:tab w:val="num" w:pos="567"/>
        </w:tabs>
        <w:suppressAutoHyphens/>
        <w:ind w:left="567" w:hanging="283"/>
        <w:rPr>
          <w:rFonts w:eastAsia="Calibri"/>
          <w:sz w:val="22"/>
          <w:szCs w:val="22"/>
        </w:rPr>
      </w:pPr>
      <w:r w:rsidRPr="00E13CE5">
        <w:rPr>
          <w:rFonts w:eastAsia="Calibri"/>
          <w:sz w:val="22"/>
          <w:szCs w:val="22"/>
        </w:rPr>
        <w:t xml:space="preserve">záródolgozat (FOKSZ): 3 pont/hallgató,  </w:t>
      </w:r>
    </w:p>
    <w:p w14:paraId="7DBF2ADF" w14:textId="77777777" w:rsidR="00FD0545" w:rsidRPr="00E13CE5" w:rsidRDefault="00FD0545" w:rsidP="00F83E93">
      <w:pPr>
        <w:widowControl w:val="0"/>
        <w:numPr>
          <w:ilvl w:val="0"/>
          <w:numId w:val="165"/>
        </w:numPr>
        <w:tabs>
          <w:tab w:val="clear" w:pos="720"/>
          <w:tab w:val="num" w:pos="567"/>
        </w:tabs>
        <w:suppressAutoHyphens/>
        <w:ind w:left="567" w:hanging="283"/>
        <w:rPr>
          <w:rFonts w:eastAsia="Calibri"/>
          <w:sz w:val="22"/>
          <w:szCs w:val="22"/>
        </w:rPr>
      </w:pPr>
      <w:r w:rsidRPr="00E13CE5">
        <w:rPr>
          <w:rFonts w:eastAsia="Calibri"/>
          <w:sz w:val="22"/>
          <w:szCs w:val="22"/>
        </w:rPr>
        <w:t>szakdolgozat (</w:t>
      </w:r>
      <w:proofErr w:type="spellStart"/>
      <w:r w:rsidRPr="00E13CE5">
        <w:rPr>
          <w:rFonts w:eastAsia="Calibri"/>
          <w:sz w:val="22"/>
          <w:szCs w:val="22"/>
        </w:rPr>
        <w:t>BSc</w:t>
      </w:r>
      <w:proofErr w:type="spellEnd"/>
      <w:r w:rsidRPr="00E13CE5">
        <w:rPr>
          <w:rFonts w:eastAsia="Calibri"/>
          <w:sz w:val="22"/>
          <w:szCs w:val="22"/>
        </w:rPr>
        <w:t>): 4 pont/hallgató,</w:t>
      </w:r>
    </w:p>
    <w:p w14:paraId="29DCA127" w14:textId="77777777" w:rsidR="00FD0545" w:rsidRPr="00E13CE5" w:rsidRDefault="00FD0545" w:rsidP="00F83E93">
      <w:pPr>
        <w:widowControl w:val="0"/>
        <w:numPr>
          <w:ilvl w:val="0"/>
          <w:numId w:val="165"/>
        </w:numPr>
        <w:tabs>
          <w:tab w:val="clear" w:pos="720"/>
          <w:tab w:val="num" w:pos="567"/>
        </w:tabs>
        <w:suppressAutoHyphens/>
        <w:ind w:left="567" w:hanging="283"/>
        <w:rPr>
          <w:rFonts w:eastAsia="Calibri"/>
          <w:sz w:val="22"/>
          <w:szCs w:val="22"/>
        </w:rPr>
      </w:pPr>
      <w:r w:rsidRPr="00E13CE5">
        <w:rPr>
          <w:rFonts w:eastAsia="Calibri"/>
          <w:sz w:val="22"/>
          <w:szCs w:val="22"/>
        </w:rPr>
        <w:t>diplomamunka (</w:t>
      </w:r>
      <w:proofErr w:type="spellStart"/>
      <w:r w:rsidRPr="00E13CE5">
        <w:rPr>
          <w:rFonts w:eastAsia="Calibri"/>
          <w:sz w:val="22"/>
          <w:szCs w:val="22"/>
        </w:rPr>
        <w:t>MSc</w:t>
      </w:r>
      <w:proofErr w:type="spellEnd"/>
      <w:r w:rsidRPr="00E13CE5">
        <w:rPr>
          <w:rFonts w:eastAsia="Calibri"/>
          <w:sz w:val="22"/>
          <w:szCs w:val="22"/>
        </w:rPr>
        <w:t xml:space="preserve">): 5 pont/hallgató, </w:t>
      </w:r>
    </w:p>
    <w:p w14:paraId="101F1DA0" w14:textId="77777777" w:rsidR="00FD0545" w:rsidRPr="00E13CE5" w:rsidRDefault="00FD0545" w:rsidP="00F83E93">
      <w:pPr>
        <w:widowControl w:val="0"/>
        <w:numPr>
          <w:ilvl w:val="0"/>
          <w:numId w:val="165"/>
        </w:numPr>
        <w:tabs>
          <w:tab w:val="clear" w:pos="720"/>
          <w:tab w:val="num" w:pos="567"/>
        </w:tabs>
        <w:suppressAutoHyphens/>
        <w:ind w:left="567" w:hanging="283"/>
        <w:rPr>
          <w:rFonts w:eastAsia="Calibri"/>
          <w:sz w:val="22"/>
          <w:szCs w:val="22"/>
        </w:rPr>
      </w:pPr>
      <w:r w:rsidRPr="00E13CE5">
        <w:rPr>
          <w:rFonts w:eastAsia="Calibri"/>
          <w:sz w:val="22"/>
          <w:szCs w:val="22"/>
        </w:rPr>
        <w:t xml:space="preserve">MA szakdolgozat: 5 pont/hallgató, </w:t>
      </w:r>
    </w:p>
    <w:p w14:paraId="14C04F68" w14:textId="77777777" w:rsidR="00FD0545" w:rsidRPr="00E13CE5" w:rsidRDefault="00FD0545" w:rsidP="00F83E93">
      <w:pPr>
        <w:widowControl w:val="0"/>
        <w:numPr>
          <w:ilvl w:val="0"/>
          <w:numId w:val="165"/>
        </w:numPr>
        <w:tabs>
          <w:tab w:val="clear" w:pos="720"/>
          <w:tab w:val="num" w:pos="567"/>
        </w:tabs>
        <w:suppressAutoHyphens/>
        <w:ind w:left="567" w:hanging="283"/>
        <w:rPr>
          <w:rFonts w:eastAsia="Calibri"/>
          <w:sz w:val="22"/>
          <w:szCs w:val="22"/>
        </w:rPr>
      </w:pPr>
      <w:r w:rsidRPr="00E13CE5">
        <w:rPr>
          <w:rFonts w:eastAsia="Calibri"/>
          <w:sz w:val="22"/>
          <w:szCs w:val="22"/>
        </w:rPr>
        <w:t>MA portfólió: 4 pont/hallgató.</w:t>
      </w:r>
    </w:p>
    <w:p w14:paraId="30B2F8D0" w14:textId="77777777" w:rsidR="00FD0545" w:rsidRPr="00E13CE5" w:rsidRDefault="00FD0545" w:rsidP="00FD0545">
      <w:pPr>
        <w:widowControl w:val="0"/>
        <w:suppressAutoHyphens/>
        <w:ind w:left="720"/>
        <w:rPr>
          <w:rFonts w:eastAsia="Calibri"/>
          <w:sz w:val="22"/>
          <w:szCs w:val="22"/>
        </w:rPr>
      </w:pPr>
    </w:p>
    <w:p w14:paraId="5D000799" w14:textId="77777777" w:rsidR="00FD0545" w:rsidRPr="00E13CE5" w:rsidRDefault="00FD0545" w:rsidP="00FD0545">
      <w:pPr>
        <w:widowControl w:val="0"/>
        <w:suppressAutoHyphens/>
        <w:rPr>
          <w:rFonts w:eastAsia="Calibri"/>
          <w:sz w:val="22"/>
          <w:szCs w:val="22"/>
        </w:rPr>
      </w:pPr>
      <w:r w:rsidRPr="00E13CE5">
        <w:rPr>
          <w:rFonts w:eastAsia="Calibri"/>
          <w:sz w:val="22"/>
          <w:szCs w:val="22"/>
        </w:rPr>
        <w:t>(4) Tehetséggondozás</w:t>
      </w:r>
    </w:p>
    <w:p w14:paraId="65304FB9" w14:textId="77777777" w:rsidR="00FD0545" w:rsidRPr="00E13CE5" w:rsidRDefault="00FD0545" w:rsidP="00FD0545">
      <w:pPr>
        <w:ind w:left="340"/>
        <w:jc w:val="both"/>
        <w:rPr>
          <w:rFonts w:eastAsia="Calibri"/>
          <w:sz w:val="22"/>
          <w:szCs w:val="22"/>
        </w:rPr>
      </w:pPr>
      <w:r w:rsidRPr="00E13CE5">
        <w:rPr>
          <w:rFonts w:eastAsia="Calibri"/>
          <w:sz w:val="22"/>
          <w:szCs w:val="22"/>
        </w:rPr>
        <w:t xml:space="preserve">Az országos OTDK vagy OFKD </w:t>
      </w:r>
      <w:proofErr w:type="gramStart"/>
      <w:r w:rsidRPr="00E13CE5">
        <w:rPr>
          <w:rFonts w:eastAsia="Calibri"/>
          <w:sz w:val="22"/>
          <w:szCs w:val="22"/>
        </w:rPr>
        <w:t>konferencián</w:t>
      </w:r>
      <w:proofErr w:type="gramEnd"/>
      <w:r w:rsidRPr="00E13CE5">
        <w:rPr>
          <w:rFonts w:eastAsia="Calibri"/>
          <w:sz w:val="22"/>
          <w:szCs w:val="22"/>
        </w:rPr>
        <w:t xml:space="preserve"> beadott dolgozatok alapján a témavezetésért a konferencia évében 30 pont/hallgató számítható be.</w:t>
      </w:r>
    </w:p>
    <w:p w14:paraId="096F4F91" w14:textId="77777777" w:rsidR="00FD0545" w:rsidRPr="00E13CE5" w:rsidRDefault="00FD0545" w:rsidP="00FD0545">
      <w:pPr>
        <w:ind w:left="340"/>
        <w:jc w:val="both"/>
        <w:rPr>
          <w:rFonts w:eastAsia="Calibri"/>
          <w:sz w:val="22"/>
          <w:szCs w:val="22"/>
        </w:rPr>
      </w:pPr>
    </w:p>
    <w:p w14:paraId="0E4C1B9C" w14:textId="77777777" w:rsidR="00FD0545" w:rsidRPr="00E13CE5" w:rsidRDefault="00FD0545" w:rsidP="00FD0545">
      <w:pPr>
        <w:widowControl w:val="0"/>
        <w:suppressAutoHyphens/>
        <w:rPr>
          <w:rFonts w:eastAsia="Calibri"/>
          <w:sz w:val="22"/>
          <w:szCs w:val="22"/>
        </w:rPr>
      </w:pPr>
      <w:r w:rsidRPr="00E13CE5">
        <w:rPr>
          <w:rFonts w:eastAsia="Calibri"/>
          <w:sz w:val="22"/>
          <w:szCs w:val="22"/>
        </w:rPr>
        <w:t>(5) Záróvizsgák</w:t>
      </w:r>
    </w:p>
    <w:p w14:paraId="18CBF06A" w14:textId="77777777" w:rsidR="00FD0545" w:rsidRPr="00E13CE5" w:rsidRDefault="00FD0545" w:rsidP="00F83E93">
      <w:pPr>
        <w:widowControl w:val="0"/>
        <w:numPr>
          <w:ilvl w:val="0"/>
          <w:numId w:val="166"/>
        </w:numPr>
        <w:tabs>
          <w:tab w:val="clear" w:pos="1060"/>
          <w:tab w:val="num" w:pos="567"/>
        </w:tabs>
        <w:suppressAutoHyphens/>
        <w:ind w:left="567" w:hanging="283"/>
        <w:jc w:val="both"/>
        <w:rPr>
          <w:rFonts w:eastAsia="Calibri"/>
          <w:sz w:val="22"/>
          <w:szCs w:val="22"/>
        </w:rPr>
      </w:pPr>
      <w:r w:rsidRPr="00E13CE5">
        <w:rPr>
          <w:rFonts w:eastAsia="Calibri"/>
          <w:sz w:val="22"/>
          <w:szCs w:val="22"/>
        </w:rPr>
        <w:t xml:space="preserve">A záróvizsgákon, diplomavédéseken, továbbá az </w:t>
      </w:r>
      <w:proofErr w:type="spellStart"/>
      <w:r w:rsidRPr="00E13CE5">
        <w:rPr>
          <w:rFonts w:eastAsia="Calibri"/>
          <w:sz w:val="22"/>
          <w:szCs w:val="22"/>
        </w:rPr>
        <w:t>MSc</w:t>
      </w:r>
      <w:proofErr w:type="spellEnd"/>
      <w:r w:rsidRPr="00E13CE5">
        <w:rPr>
          <w:rFonts w:eastAsia="Calibri"/>
          <w:sz w:val="22"/>
          <w:szCs w:val="22"/>
        </w:rPr>
        <w:t>, MA szóbeli felvételin való részvételért bizottsági tagként és elnökként hallgatónként 0,5 pont,</w:t>
      </w:r>
    </w:p>
    <w:p w14:paraId="62D2C396" w14:textId="77777777" w:rsidR="00FD0545" w:rsidRPr="00E13CE5" w:rsidRDefault="00FD0545" w:rsidP="00F83E93">
      <w:pPr>
        <w:widowControl w:val="0"/>
        <w:numPr>
          <w:ilvl w:val="0"/>
          <w:numId w:val="166"/>
        </w:numPr>
        <w:tabs>
          <w:tab w:val="clear" w:pos="1060"/>
          <w:tab w:val="num" w:pos="567"/>
        </w:tabs>
        <w:suppressAutoHyphens/>
        <w:ind w:left="567" w:hanging="283"/>
        <w:rPr>
          <w:rFonts w:eastAsia="Calibri"/>
          <w:sz w:val="22"/>
          <w:szCs w:val="22"/>
        </w:rPr>
      </w:pPr>
      <w:r w:rsidRPr="00E13CE5">
        <w:rPr>
          <w:rFonts w:eastAsia="Calibri"/>
          <w:sz w:val="22"/>
          <w:szCs w:val="22"/>
        </w:rPr>
        <w:t>FOKSZ záróvizsga: 2 pont/hallgató,</w:t>
      </w:r>
    </w:p>
    <w:p w14:paraId="4AA62A5B" w14:textId="77777777" w:rsidR="00FD0545" w:rsidRPr="00E13CE5" w:rsidRDefault="00FD0545" w:rsidP="00F83E93">
      <w:pPr>
        <w:widowControl w:val="0"/>
        <w:numPr>
          <w:ilvl w:val="0"/>
          <w:numId w:val="166"/>
        </w:numPr>
        <w:tabs>
          <w:tab w:val="clear" w:pos="1060"/>
          <w:tab w:val="num" w:pos="567"/>
        </w:tabs>
        <w:suppressAutoHyphens/>
        <w:ind w:left="567" w:hanging="283"/>
        <w:rPr>
          <w:rFonts w:eastAsia="Calibri"/>
          <w:sz w:val="22"/>
          <w:szCs w:val="22"/>
        </w:rPr>
      </w:pPr>
      <w:r w:rsidRPr="00E13CE5">
        <w:rPr>
          <w:rFonts w:eastAsia="Calibri"/>
          <w:sz w:val="22"/>
          <w:szCs w:val="22"/>
        </w:rPr>
        <w:t>tanár szakos képzésben 1 pont/hallgató</w:t>
      </w:r>
    </w:p>
    <w:p w14:paraId="63B3CF3B" w14:textId="77777777" w:rsidR="00FD0545" w:rsidRPr="00E13CE5" w:rsidRDefault="00FD0545" w:rsidP="00FD0545">
      <w:pPr>
        <w:ind w:left="340"/>
        <w:rPr>
          <w:rFonts w:eastAsia="Calibri"/>
          <w:sz w:val="22"/>
          <w:szCs w:val="22"/>
        </w:rPr>
      </w:pPr>
      <w:proofErr w:type="gramStart"/>
      <w:r w:rsidRPr="00E13CE5">
        <w:rPr>
          <w:rFonts w:eastAsia="Calibri"/>
          <w:sz w:val="22"/>
          <w:szCs w:val="22"/>
        </w:rPr>
        <w:t>számolható</w:t>
      </w:r>
      <w:proofErr w:type="gramEnd"/>
      <w:r w:rsidRPr="00E13CE5">
        <w:rPr>
          <w:rFonts w:eastAsia="Calibri"/>
          <w:sz w:val="22"/>
          <w:szCs w:val="22"/>
        </w:rPr>
        <w:t xml:space="preserve"> el.</w:t>
      </w:r>
    </w:p>
    <w:p w14:paraId="0421F30A" w14:textId="77777777" w:rsidR="00FD0545" w:rsidRPr="00E13CE5" w:rsidRDefault="00FD0545" w:rsidP="00FD0545">
      <w:pPr>
        <w:ind w:left="340"/>
        <w:rPr>
          <w:rFonts w:eastAsia="Calibri"/>
          <w:sz w:val="22"/>
          <w:szCs w:val="22"/>
        </w:rPr>
      </w:pPr>
    </w:p>
    <w:p w14:paraId="257569A0" w14:textId="77777777" w:rsidR="00FD0545" w:rsidRPr="00E13CE5" w:rsidRDefault="00FD0545" w:rsidP="00FD0545">
      <w:pPr>
        <w:widowControl w:val="0"/>
        <w:suppressAutoHyphens/>
        <w:rPr>
          <w:rFonts w:eastAsia="Calibri"/>
          <w:sz w:val="22"/>
          <w:szCs w:val="22"/>
        </w:rPr>
      </w:pPr>
      <w:r w:rsidRPr="00E13CE5">
        <w:rPr>
          <w:rFonts w:eastAsia="Calibri"/>
          <w:sz w:val="22"/>
          <w:szCs w:val="22"/>
        </w:rPr>
        <w:t xml:space="preserve">(6) PhD témavezetés </w:t>
      </w:r>
    </w:p>
    <w:p w14:paraId="2461F24C" w14:textId="77777777" w:rsidR="00FD0545" w:rsidRPr="00E13CE5" w:rsidRDefault="00FD0545" w:rsidP="00FD0545">
      <w:pPr>
        <w:ind w:left="340"/>
        <w:jc w:val="both"/>
        <w:rPr>
          <w:rFonts w:eastAsia="Calibri"/>
          <w:sz w:val="22"/>
          <w:szCs w:val="22"/>
        </w:rPr>
      </w:pPr>
      <w:r w:rsidRPr="00E13CE5">
        <w:rPr>
          <w:rFonts w:eastAsia="Calibri"/>
          <w:sz w:val="22"/>
          <w:szCs w:val="22"/>
        </w:rPr>
        <w:t>PhD témavezetés nappali munkarend esetében, ha a hallgató a PTE TTK-n végzi tudományos kutatómunkáját 50 pont/tanév számolható el legfeljebb négy éven keresztül. Egyéb esetben 25 pont/tanév számolható el legfeljebb négy éven keresztül. Sikeres védés esetén mindkét esetben 50 pont/hallgató számolható el a védés évében. Társtémavezetés esetén a fenti pontszámok feleződnek.</w:t>
      </w:r>
    </w:p>
    <w:p w14:paraId="5C9918E9" w14:textId="77777777" w:rsidR="00FD0545" w:rsidRPr="00E13CE5" w:rsidRDefault="00FD0545" w:rsidP="00FD0545">
      <w:pPr>
        <w:ind w:left="340"/>
        <w:jc w:val="both"/>
        <w:rPr>
          <w:rFonts w:eastAsia="Calibri"/>
          <w:sz w:val="22"/>
          <w:szCs w:val="22"/>
        </w:rPr>
      </w:pPr>
    </w:p>
    <w:p w14:paraId="785D9189"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(7) Egyetemi idegen vagy magyar nyelvű oktatási segédanyag (tankönyv, nyomtatott jegyzet, elektronikus tananyag) készítése esetén 60 pont/év számolható el kizárólag a megjelenés évében.</w:t>
      </w:r>
    </w:p>
    <w:p w14:paraId="38A52E61" w14:textId="77777777" w:rsidR="00FD0545" w:rsidRPr="00E13CE5" w:rsidRDefault="00FD0545" w:rsidP="00FD0545">
      <w:pPr>
        <w:widowControl w:val="0"/>
        <w:suppressAutoHyphens/>
        <w:ind w:left="340"/>
        <w:jc w:val="both"/>
        <w:rPr>
          <w:rFonts w:eastAsia="Calibri"/>
          <w:sz w:val="22"/>
          <w:szCs w:val="22"/>
        </w:rPr>
      </w:pPr>
    </w:p>
    <w:p w14:paraId="33F11196"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(8) Szakmai gyakorlatok </w:t>
      </w:r>
      <w:proofErr w:type="gramStart"/>
      <w:r w:rsidRPr="00E13CE5">
        <w:rPr>
          <w:rFonts w:eastAsia="Calibri"/>
          <w:sz w:val="22"/>
          <w:szCs w:val="22"/>
        </w:rPr>
        <w:t>koordinálása</w:t>
      </w:r>
      <w:proofErr w:type="gramEnd"/>
      <w:r w:rsidRPr="00E13CE5">
        <w:rPr>
          <w:rFonts w:eastAsia="Calibri"/>
          <w:sz w:val="22"/>
          <w:szCs w:val="22"/>
        </w:rPr>
        <w:t>: A szakmai gyakorlatok koordinálásáért, beszámolók bírálatáért 30 pont/év számolható el az intézetigazgatók által megadott személyek részére.</w:t>
      </w:r>
    </w:p>
    <w:p w14:paraId="423C72DF" w14:textId="77777777" w:rsidR="00FD0545" w:rsidRPr="00E13CE5" w:rsidRDefault="00FD0545" w:rsidP="00FD0545">
      <w:pPr>
        <w:widowControl w:val="0"/>
        <w:suppressAutoHyphens/>
        <w:jc w:val="both"/>
        <w:rPr>
          <w:rFonts w:eastAsia="Calibri"/>
          <w:sz w:val="22"/>
          <w:szCs w:val="22"/>
        </w:rPr>
      </w:pPr>
    </w:p>
    <w:p w14:paraId="240FA483" w14:textId="77777777" w:rsidR="00FD0545" w:rsidRPr="00E13CE5" w:rsidRDefault="00FD0545" w:rsidP="00FD0545">
      <w:pPr>
        <w:widowControl w:val="0"/>
        <w:suppressAutoHyphens/>
        <w:contextualSpacing/>
        <w:jc w:val="both"/>
        <w:rPr>
          <w:rFonts w:eastAsia="Calibri"/>
          <w:sz w:val="22"/>
          <w:szCs w:val="22"/>
        </w:rPr>
      </w:pPr>
      <w:r w:rsidRPr="00E13CE5">
        <w:rPr>
          <w:rFonts w:eastAsia="Calibri"/>
          <w:sz w:val="22"/>
          <w:szCs w:val="22"/>
        </w:rPr>
        <w:t xml:space="preserve">(9) Az Oktatási TÉR pontokat az (1)–(8) bekezdésekben adható pontok összesége adja. A TÉR oktatási pontszámok közalkalmazott oktatási értékelési pontokká történő </w:t>
      </w:r>
      <w:proofErr w:type="gramStart"/>
      <w:r w:rsidRPr="00E13CE5">
        <w:rPr>
          <w:rFonts w:eastAsia="Calibri"/>
          <w:sz w:val="22"/>
          <w:szCs w:val="22"/>
        </w:rPr>
        <w:t>konverzióját</w:t>
      </w:r>
      <w:proofErr w:type="gramEnd"/>
      <w:r w:rsidRPr="00E13CE5">
        <w:rPr>
          <w:rFonts w:eastAsia="Calibri"/>
          <w:sz w:val="22"/>
          <w:szCs w:val="22"/>
        </w:rPr>
        <w:t xml:space="preserve"> a Szabályzat elválaszthatatlan részét képező 1. sz. melléklet tartalmazza.</w:t>
      </w:r>
    </w:p>
    <w:p w14:paraId="072704B8" w14:textId="77777777" w:rsidR="00FD0545" w:rsidRPr="00E13CE5" w:rsidRDefault="00FD0545" w:rsidP="00FD0545">
      <w:pPr>
        <w:ind w:left="340"/>
        <w:contextualSpacing/>
        <w:jc w:val="both"/>
        <w:rPr>
          <w:rFonts w:eastAsia="Calibri"/>
          <w:sz w:val="22"/>
          <w:szCs w:val="22"/>
        </w:rPr>
      </w:pPr>
    </w:p>
    <w:p w14:paraId="7EECB31F" w14:textId="77777777" w:rsidR="00FD0545" w:rsidRPr="00E13CE5" w:rsidRDefault="00FD0545" w:rsidP="00FD0545">
      <w:pPr>
        <w:contextualSpacing/>
        <w:jc w:val="both"/>
        <w:rPr>
          <w:rFonts w:eastAsia="Calibri"/>
          <w:sz w:val="22"/>
          <w:szCs w:val="22"/>
        </w:rPr>
      </w:pPr>
      <w:r w:rsidRPr="00E13CE5">
        <w:rPr>
          <w:rFonts w:eastAsia="Calibri"/>
          <w:b/>
          <w:sz w:val="22"/>
          <w:szCs w:val="22"/>
        </w:rPr>
        <w:t>5. §</w:t>
      </w:r>
      <w:r w:rsidRPr="00E13CE5">
        <w:rPr>
          <w:rFonts w:eastAsia="Calibri"/>
          <w:sz w:val="22"/>
          <w:szCs w:val="22"/>
        </w:rPr>
        <w:t xml:space="preserve"> (1) A Kar az </w:t>
      </w:r>
      <w:proofErr w:type="gramStart"/>
      <w:r w:rsidRPr="00E13CE5">
        <w:rPr>
          <w:rFonts w:eastAsia="Calibri"/>
          <w:sz w:val="22"/>
          <w:szCs w:val="22"/>
        </w:rPr>
        <w:t>adminisztrációs</w:t>
      </w:r>
      <w:proofErr w:type="gramEnd"/>
      <w:r w:rsidRPr="00E13CE5">
        <w:rPr>
          <w:rFonts w:eastAsia="Calibri"/>
          <w:sz w:val="22"/>
          <w:szCs w:val="22"/>
        </w:rPr>
        <w:t xml:space="preserve"> feladatvégzés teljesítményi mérőszámait és azok beszámítási arányát az alábbiak szerint határozza meg.</w:t>
      </w:r>
    </w:p>
    <w:p w14:paraId="59A0B9E0" w14:textId="77777777" w:rsidR="00FD0545" w:rsidRPr="00E13CE5" w:rsidRDefault="00FD0545" w:rsidP="00FD0545">
      <w:pPr>
        <w:widowControl w:val="0"/>
        <w:suppressAutoHyphens/>
        <w:contextualSpacing/>
        <w:rPr>
          <w:rFonts w:eastAsia="Calibri"/>
          <w:sz w:val="22"/>
          <w:szCs w:val="22"/>
        </w:rPr>
      </w:pPr>
      <w:r w:rsidRPr="00E13CE5">
        <w:rPr>
          <w:rFonts w:eastAsia="Calibri"/>
          <w:sz w:val="22"/>
          <w:szCs w:val="22"/>
        </w:rPr>
        <w:t xml:space="preserve">Választott tisztségek szerint: </w:t>
      </w:r>
    </w:p>
    <w:p w14:paraId="0607ABE8" w14:textId="77777777" w:rsidR="00FD0545" w:rsidRPr="00E13CE5" w:rsidRDefault="00FD0545" w:rsidP="00F83E93">
      <w:pPr>
        <w:pStyle w:val="Listaszerbekezds"/>
        <w:widowControl w:val="0"/>
        <w:numPr>
          <w:ilvl w:val="0"/>
          <w:numId w:val="167"/>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Intézetigazgató: 30 pont/év</w:t>
      </w:r>
    </w:p>
    <w:p w14:paraId="6F5A9B7A" w14:textId="77777777" w:rsidR="00FD0545" w:rsidRPr="00E13CE5" w:rsidRDefault="00FD0545" w:rsidP="00F83E93">
      <w:pPr>
        <w:pStyle w:val="Listaszerbekezds"/>
        <w:widowControl w:val="0"/>
        <w:numPr>
          <w:ilvl w:val="0"/>
          <w:numId w:val="167"/>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Intézetigazgató helyettes: 25 pont/év</w:t>
      </w:r>
    </w:p>
    <w:p w14:paraId="020B7A01" w14:textId="77777777" w:rsidR="00FD0545" w:rsidRPr="00E13CE5" w:rsidRDefault="00FD0545" w:rsidP="00F83E93">
      <w:pPr>
        <w:pStyle w:val="Listaszerbekezds"/>
        <w:widowControl w:val="0"/>
        <w:numPr>
          <w:ilvl w:val="0"/>
          <w:numId w:val="167"/>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Intézeti oktatási koordinátor: 25 pont/év</w:t>
      </w:r>
    </w:p>
    <w:p w14:paraId="0D543462" w14:textId="77777777" w:rsidR="00FD0545" w:rsidRPr="00E13CE5" w:rsidRDefault="00FD0545" w:rsidP="00F83E93">
      <w:pPr>
        <w:pStyle w:val="Listaszerbekezds"/>
        <w:widowControl w:val="0"/>
        <w:numPr>
          <w:ilvl w:val="0"/>
          <w:numId w:val="167"/>
        </w:numPr>
        <w:tabs>
          <w:tab w:val="num" w:pos="567"/>
          <w:tab w:val="center" w:pos="5220"/>
          <w:tab w:val="right" w:pos="9360"/>
        </w:tabs>
        <w:suppressAutoHyphens/>
        <w:spacing w:after="0" w:line="240" w:lineRule="auto"/>
        <w:ind w:left="567" w:hanging="283"/>
        <w:jc w:val="both"/>
        <w:rPr>
          <w:rFonts w:ascii="Times New Roman" w:eastAsia="Times New Roman" w:hAnsi="Times New Roman"/>
          <w:lang w:eastAsia="ar-SA"/>
        </w:rPr>
      </w:pPr>
      <w:r w:rsidRPr="00E13CE5">
        <w:rPr>
          <w:rFonts w:ascii="Times New Roman" w:eastAsia="Times New Roman" w:hAnsi="Times New Roman"/>
          <w:lang w:eastAsia="ar-SA"/>
        </w:rPr>
        <w:t>Tanszékvezető: 15 pont/év</w:t>
      </w:r>
    </w:p>
    <w:p w14:paraId="726A5A09" w14:textId="77777777" w:rsidR="00FD0545" w:rsidRPr="00E13CE5" w:rsidRDefault="00FD0545" w:rsidP="00FD0545">
      <w:pPr>
        <w:rPr>
          <w:rFonts w:eastAsia="Calibri"/>
          <w:sz w:val="22"/>
          <w:szCs w:val="22"/>
        </w:rPr>
      </w:pPr>
      <w:proofErr w:type="gramStart"/>
      <w:r w:rsidRPr="00E13CE5">
        <w:rPr>
          <w:rFonts w:eastAsia="Calibri"/>
          <w:sz w:val="22"/>
          <w:szCs w:val="22"/>
        </w:rPr>
        <w:t>számolható</w:t>
      </w:r>
      <w:proofErr w:type="gramEnd"/>
      <w:r w:rsidRPr="00E13CE5">
        <w:rPr>
          <w:rFonts w:eastAsia="Calibri"/>
          <w:sz w:val="22"/>
          <w:szCs w:val="22"/>
        </w:rPr>
        <w:t xml:space="preserve"> el.</w:t>
      </w:r>
    </w:p>
    <w:p w14:paraId="750CF235" w14:textId="77777777" w:rsidR="00FD0545" w:rsidRPr="00E13CE5" w:rsidRDefault="00FD0545" w:rsidP="00FD0545">
      <w:pPr>
        <w:rPr>
          <w:rFonts w:eastAsia="Calibri"/>
          <w:sz w:val="22"/>
          <w:szCs w:val="22"/>
        </w:rPr>
      </w:pPr>
    </w:p>
    <w:p w14:paraId="0CB4E25A" w14:textId="77777777" w:rsidR="00FD0545" w:rsidRPr="00E13CE5" w:rsidRDefault="00FD0545" w:rsidP="00FD0545">
      <w:pPr>
        <w:widowControl w:val="0"/>
        <w:suppressAutoHyphens/>
        <w:rPr>
          <w:rFonts w:eastAsia="Calibri"/>
          <w:sz w:val="22"/>
          <w:szCs w:val="22"/>
        </w:rPr>
      </w:pPr>
      <w:r w:rsidRPr="00E13CE5">
        <w:rPr>
          <w:rFonts w:eastAsia="Calibri"/>
          <w:sz w:val="22"/>
          <w:szCs w:val="22"/>
        </w:rPr>
        <w:t xml:space="preserve">(2) Szakfelelősi teendők </w:t>
      </w:r>
    </w:p>
    <w:p w14:paraId="125C5D5B" w14:textId="77777777" w:rsidR="00FD0545" w:rsidRPr="00E13CE5" w:rsidRDefault="00FD0545" w:rsidP="00F83E93">
      <w:pPr>
        <w:widowControl w:val="0"/>
        <w:numPr>
          <w:ilvl w:val="0"/>
          <w:numId w:val="168"/>
        </w:numPr>
        <w:tabs>
          <w:tab w:val="clear" w:pos="1068"/>
          <w:tab w:val="num" w:pos="567"/>
        </w:tabs>
        <w:suppressAutoHyphens/>
        <w:ind w:left="567" w:hanging="283"/>
        <w:jc w:val="both"/>
        <w:rPr>
          <w:rFonts w:eastAsia="Calibri"/>
          <w:sz w:val="22"/>
          <w:szCs w:val="22"/>
        </w:rPr>
      </w:pPr>
      <w:r w:rsidRPr="00E13CE5">
        <w:rPr>
          <w:rFonts w:eastAsia="Calibri"/>
          <w:sz w:val="22"/>
          <w:szCs w:val="22"/>
        </w:rPr>
        <w:t xml:space="preserve">Alap- és mesterszak esetén 60 pont/év (30 pont/év, </w:t>
      </w:r>
      <w:bookmarkStart w:id="383" w:name="OLE_LINK1"/>
      <w:bookmarkStart w:id="384" w:name="OLE_LINK2"/>
      <w:r w:rsidRPr="00E13CE5">
        <w:rPr>
          <w:rFonts w:eastAsia="Calibri"/>
          <w:sz w:val="22"/>
          <w:szCs w:val="22"/>
        </w:rPr>
        <w:t>ha a szakon a megszerezhető kreditek felét más intézet, illetve kar adja</w:t>
      </w:r>
      <w:bookmarkEnd w:id="383"/>
      <w:bookmarkEnd w:id="384"/>
      <w:r w:rsidRPr="00E13CE5">
        <w:rPr>
          <w:rFonts w:eastAsia="Calibri"/>
          <w:sz w:val="22"/>
          <w:szCs w:val="22"/>
        </w:rPr>
        <w:t xml:space="preserve">), </w:t>
      </w:r>
    </w:p>
    <w:p w14:paraId="7C762A8C" w14:textId="77777777" w:rsidR="00FD0545" w:rsidRPr="00E13CE5" w:rsidRDefault="00FD0545" w:rsidP="00F83E93">
      <w:pPr>
        <w:widowControl w:val="0"/>
        <w:numPr>
          <w:ilvl w:val="0"/>
          <w:numId w:val="168"/>
        </w:numPr>
        <w:tabs>
          <w:tab w:val="clear" w:pos="1068"/>
          <w:tab w:val="num" w:pos="567"/>
        </w:tabs>
        <w:suppressAutoHyphens/>
        <w:ind w:left="567" w:hanging="283"/>
        <w:rPr>
          <w:rFonts w:eastAsia="Calibri"/>
          <w:sz w:val="22"/>
          <w:szCs w:val="22"/>
        </w:rPr>
      </w:pPr>
      <w:r w:rsidRPr="00E13CE5">
        <w:rPr>
          <w:rFonts w:eastAsia="Calibri"/>
          <w:sz w:val="22"/>
          <w:szCs w:val="22"/>
        </w:rPr>
        <w:t xml:space="preserve">Osztatlan tanárképzési szak esetén 60 pont/év, </w:t>
      </w:r>
    </w:p>
    <w:p w14:paraId="5C4B296E" w14:textId="77777777" w:rsidR="00FD0545" w:rsidRPr="00E13CE5" w:rsidRDefault="00FD0545" w:rsidP="00FD0545">
      <w:pPr>
        <w:ind w:left="360"/>
        <w:rPr>
          <w:rFonts w:eastAsia="Calibri"/>
          <w:sz w:val="22"/>
          <w:szCs w:val="22"/>
        </w:rPr>
      </w:pPr>
      <w:proofErr w:type="gramStart"/>
      <w:r w:rsidRPr="00E13CE5">
        <w:rPr>
          <w:rFonts w:eastAsia="Calibri"/>
          <w:sz w:val="22"/>
          <w:szCs w:val="22"/>
        </w:rPr>
        <w:t>számolható</w:t>
      </w:r>
      <w:proofErr w:type="gramEnd"/>
      <w:r w:rsidRPr="00E13CE5">
        <w:rPr>
          <w:rFonts w:eastAsia="Calibri"/>
          <w:sz w:val="22"/>
          <w:szCs w:val="22"/>
        </w:rPr>
        <w:t xml:space="preserve"> el szakfelelősöknek.</w:t>
      </w:r>
    </w:p>
    <w:p w14:paraId="4A814271" w14:textId="77777777" w:rsidR="00FD0545" w:rsidRPr="00E13CE5" w:rsidRDefault="00FD0545" w:rsidP="00FD0545">
      <w:pPr>
        <w:ind w:left="360"/>
        <w:rPr>
          <w:rFonts w:eastAsia="Calibri"/>
          <w:sz w:val="22"/>
          <w:szCs w:val="22"/>
        </w:rPr>
      </w:pPr>
    </w:p>
    <w:p w14:paraId="5BDECEF4" w14:textId="77777777" w:rsidR="00FD0545" w:rsidRPr="00E13CE5" w:rsidRDefault="00FD0545" w:rsidP="00FD0545">
      <w:pPr>
        <w:widowControl w:val="0"/>
        <w:suppressAutoHyphens/>
        <w:rPr>
          <w:rFonts w:eastAsia="Calibri"/>
          <w:sz w:val="22"/>
          <w:szCs w:val="22"/>
        </w:rPr>
      </w:pPr>
      <w:r w:rsidRPr="00E13CE5">
        <w:rPr>
          <w:rFonts w:eastAsia="Calibri"/>
          <w:sz w:val="22"/>
          <w:szCs w:val="22"/>
        </w:rPr>
        <w:t xml:space="preserve">(3) Bizottsági tagság </w:t>
      </w:r>
    </w:p>
    <w:p w14:paraId="0DB641AF" w14:textId="77777777" w:rsidR="00FD0545" w:rsidRPr="00E13CE5" w:rsidRDefault="00FD0545" w:rsidP="00FD0545">
      <w:pPr>
        <w:widowControl w:val="0"/>
        <w:tabs>
          <w:tab w:val="right" w:pos="567"/>
        </w:tabs>
        <w:suppressAutoHyphens/>
        <w:ind w:left="142"/>
        <w:jc w:val="both"/>
        <w:rPr>
          <w:sz w:val="22"/>
          <w:szCs w:val="22"/>
          <w:lang w:eastAsia="ar-SA"/>
        </w:rPr>
      </w:pPr>
      <w:proofErr w:type="gramStart"/>
      <w:r>
        <w:rPr>
          <w:sz w:val="22"/>
          <w:szCs w:val="22"/>
          <w:lang w:eastAsia="ar-SA"/>
        </w:rPr>
        <w:t>a</w:t>
      </w:r>
      <w:proofErr w:type="gramEnd"/>
      <w:r>
        <w:rPr>
          <w:sz w:val="22"/>
          <w:szCs w:val="22"/>
          <w:lang w:eastAsia="ar-SA"/>
        </w:rPr>
        <w:t xml:space="preserve">) </w:t>
      </w:r>
      <w:r w:rsidRPr="00E13CE5">
        <w:rPr>
          <w:sz w:val="22"/>
          <w:szCs w:val="22"/>
          <w:lang w:eastAsia="ar-SA"/>
        </w:rPr>
        <w:t xml:space="preserve">Az alábbi, gyakran ülésező kari és egyetemi bizottságokban való részvételért 60 pont számolható el évente: </w:t>
      </w:r>
    </w:p>
    <w:p w14:paraId="24027E4A"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Kari Tanulmányi bizottság</w:t>
      </w:r>
    </w:p>
    <w:p w14:paraId="0EB39AB4"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Kari Oktatási és Kreditátviteli Bizottság</w:t>
      </w:r>
    </w:p>
    <w:p w14:paraId="1B429940"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Egyetemi Oktatási Bizottság</w:t>
      </w:r>
    </w:p>
    <w:p w14:paraId="64FDE605"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Tanárképző Központ Tanácsa</w:t>
      </w:r>
    </w:p>
    <w:p w14:paraId="7B6E2960"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Egyetemi Doktori Bizottság és Kari Doktori és Habilitációs Bizottság</w:t>
      </w:r>
    </w:p>
    <w:p w14:paraId="4C3646BA" w14:textId="77777777" w:rsidR="00FD0545" w:rsidRPr="00E13CE5" w:rsidRDefault="00FD0545" w:rsidP="00F83E93">
      <w:pPr>
        <w:widowControl w:val="0"/>
        <w:numPr>
          <w:ilvl w:val="0"/>
          <w:numId w:val="169"/>
        </w:numPr>
        <w:suppressAutoHyphens/>
        <w:ind w:left="567" w:hanging="283"/>
        <w:rPr>
          <w:rFonts w:eastAsia="Calibri"/>
          <w:sz w:val="22"/>
          <w:szCs w:val="22"/>
        </w:rPr>
      </w:pPr>
      <w:r w:rsidRPr="00E13CE5">
        <w:rPr>
          <w:rFonts w:eastAsia="Calibri"/>
          <w:sz w:val="22"/>
          <w:szCs w:val="22"/>
        </w:rPr>
        <w:t>Egyetemi Habilitációs Bizottság</w:t>
      </w:r>
    </w:p>
    <w:p w14:paraId="59443B57" w14:textId="77777777" w:rsidR="00FD0545" w:rsidRPr="00E13CE5" w:rsidRDefault="00FD0545" w:rsidP="00FD0545">
      <w:pPr>
        <w:widowControl w:val="0"/>
        <w:tabs>
          <w:tab w:val="center" w:pos="5220"/>
          <w:tab w:val="right" w:pos="9360"/>
        </w:tabs>
        <w:suppressAutoHyphens/>
        <w:ind w:left="142"/>
        <w:jc w:val="both"/>
        <w:rPr>
          <w:sz w:val="22"/>
          <w:szCs w:val="22"/>
          <w:lang w:eastAsia="ar-SA"/>
        </w:rPr>
      </w:pPr>
      <w:r>
        <w:rPr>
          <w:sz w:val="22"/>
          <w:szCs w:val="22"/>
          <w:lang w:eastAsia="ar-SA"/>
        </w:rPr>
        <w:t xml:space="preserve">b) </w:t>
      </w:r>
      <w:r>
        <w:rPr>
          <w:sz w:val="22"/>
          <w:szCs w:val="22"/>
          <w:lang w:eastAsia="ar-SA"/>
        </w:rPr>
        <w:tab/>
      </w:r>
      <w:r w:rsidRPr="00E13CE5">
        <w:rPr>
          <w:sz w:val="22"/>
          <w:szCs w:val="22"/>
          <w:lang w:eastAsia="ar-SA"/>
        </w:rPr>
        <w:t>Egyéb egyetemi és kari bizottságokban, Kari Tanácson való részvételért (a választott képviselők esetében) 30 pont számolható el évente.</w:t>
      </w:r>
    </w:p>
    <w:p w14:paraId="29A5566B" w14:textId="77777777" w:rsidR="00FD0545" w:rsidRPr="00E13CE5" w:rsidRDefault="00FD0545" w:rsidP="00FD0545">
      <w:pPr>
        <w:widowControl w:val="0"/>
        <w:suppressAutoHyphens/>
        <w:jc w:val="both"/>
        <w:rPr>
          <w:rFonts w:eastAsia="Calibri"/>
          <w:sz w:val="22"/>
          <w:szCs w:val="22"/>
          <w:lang w:eastAsia="ar-SA"/>
        </w:rPr>
      </w:pPr>
    </w:p>
    <w:p w14:paraId="46F10A3B" w14:textId="77777777" w:rsidR="00FD0545" w:rsidRPr="00E13CE5" w:rsidRDefault="00FD0545" w:rsidP="00FD0545">
      <w:pPr>
        <w:jc w:val="both"/>
        <w:rPr>
          <w:rFonts w:eastAsia="Calibri"/>
          <w:sz w:val="22"/>
          <w:szCs w:val="22"/>
        </w:rPr>
      </w:pPr>
      <w:r w:rsidRPr="00E13CE5">
        <w:rPr>
          <w:rFonts w:eastAsia="Calibri"/>
          <w:sz w:val="22"/>
          <w:szCs w:val="22"/>
        </w:rPr>
        <w:t xml:space="preserve">(4) A kari TDK felelős 30 pontot, a szakok TDK felelősei 15 pontot számolhatnak el évente. </w:t>
      </w:r>
    </w:p>
    <w:p w14:paraId="28225E97" w14:textId="77777777" w:rsidR="00FD0545" w:rsidRPr="00E13CE5" w:rsidRDefault="00FD0545" w:rsidP="00FD0545">
      <w:pPr>
        <w:widowControl w:val="0"/>
        <w:suppressAutoHyphens/>
        <w:jc w:val="both"/>
        <w:rPr>
          <w:rFonts w:eastAsia="Calibri"/>
          <w:sz w:val="22"/>
          <w:szCs w:val="22"/>
        </w:rPr>
      </w:pPr>
    </w:p>
    <w:p w14:paraId="49938293"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(5) Középiskolások, általános iskolások tehetséggondozása esetén 45 perces óra 1 pontot jelent. Egy évben </w:t>
      </w:r>
      <w:proofErr w:type="gramStart"/>
      <w:r w:rsidRPr="00E13CE5">
        <w:rPr>
          <w:rFonts w:eastAsia="Calibri"/>
          <w:sz w:val="22"/>
          <w:szCs w:val="22"/>
        </w:rPr>
        <w:t>maximálisan</w:t>
      </w:r>
      <w:proofErr w:type="gramEnd"/>
      <w:r w:rsidRPr="00E13CE5">
        <w:rPr>
          <w:rFonts w:eastAsia="Calibri"/>
          <w:sz w:val="22"/>
          <w:szCs w:val="22"/>
        </w:rPr>
        <w:t xml:space="preserve"> 15 pont számolható be.</w:t>
      </w:r>
    </w:p>
    <w:p w14:paraId="3B051253" w14:textId="77777777" w:rsidR="00FD0545" w:rsidRPr="00E13CE5" w:rsidRDefault="00FD0545" w:rsidP="00FD0545">
      <w:pPr>
        <w:widowControl w:val="0"/>
        <w:suppressAutoHyphens/>
        <w:jc w:val="both"/>
        <w:rPr>
          <w:rFonts w:eastAsia="Calibri"/>
          <w:sz w:val="22"/>
          <w:szCs w:val="22"/>
        </w:rPr>
      </w:pPr>
    </w:p>
    <w:p w14:paraId="4C9CDA96"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(6) Az egyéb figyelembe veendő rendszeres vagy nem rendszeres tevékenységeket (pl. honlapfelelős, akkreditációs anyagok elkészítése) az intézetigazgató, vagy a dékán igazolja. Ennek értéke nem haladhatja meg a 15 pont/év értéket.</w:t>
      </w:r>
    </w:p>
    <w:p w14:paraId="387A7D91" w14:textId="77777777" w:rsidR="00FD0545" w:rsidRPr="00E13CE5" w:rsidRDefault="00FD0545" w:rsidP="00FD0545">
      <w:pPr>
        <w:widowControl w:val="0"/>
        <w:suppressAutoHyphens/>
        <w:jc w:val="both"/>
        <w:rPr>
          <w:rFonts w:eastAsia="Calibri"/>
          <w:sz w:val="22"/>
          <w:szCs w:val="22"/>
        </w:rPr>
      </w:pPr>
    </w:p>
    <w:p w14:paraId="4E2FEBAE"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(7) Az </w:t>
      </w:r>
      <w:proofErr w:type="gramStart"/>
      <w:r w:rsidRPr="00E13CE5">
        <w:rPr>
          <w:rFonts w:eastAsia="Calibri"/>
          <w:sz w:val="22"/>
          <w:szCs w:val="22"/>
        </w:rPr>
        <w:t>adminisztrációs</w:t>
      </w:r>
      <w:proofErr w:type="gramEnd"/>
      <w:r w:rsidRPr="00E13CE5">
        <w:rPr>
          <w:rFonts w:eastAsia="Calibri"/>
          <w:sz w:val="22"/>
          <w:szCs w:val="22"/>
        </w:rPr>
        <w:t xml:space="preserve"> TÉR pontokat az 5.§ (1)–(6) bekezdésekben adható pontok összessége adja. A TÉR </w:t>
      </w:r>
      <w:proofErr w:type="gramStart"/>
      <w:r w:rsidRPr="00E13CE5">
        <w:rPr>
          <w:rFonts w:eastAsia="Calibri"/>
          <w:sz w:val="22"/>
          <w:szCs w:val="22"/>
        </w:rPr>
        <w:t>adminisztrációs</w:t>
      </w:r>
      <w:proofErr w:type="gramEnd"/>
      <w:r w:rsidRPr="00E13CE5">
        <w:rPr>
          <w:rFonts w:eastAsia="Calibri"/>
          <w:sz w:val="22"/>
          <w:szCs w:val="22"/>
        </w:rPr>
        <w:t xml:space="preserve"> pontszámok közalkalmazott adminisztrációs értékelési pontokká történő konverzióját a Szabályzat elválaszthatatlan részét képező 1. sz. melléklet tartalmazza.</w:t>
      </w:r>
    </w:p>
    <w:p w14:paraId="1F716168" w14:textId="77777777" w:rsidR="00FD0545" w:rsidRPr="00E13CE5" w:rsidRDefault="00FD0545" w:rsidP="00FD0545">
      <w:pPr>
        <w:jc w:val="both"/>
        <w:rPr>
          <w:rFonts w:eastAsia="Calibri"/>
          <w:sz w:val="22"/>
          <w:szCs w:val="22"/>
        </w:rPr>
      </w:pPr>
    </w:p>
    <w:p w14:paraId="5BB29B89" w14:textId="77777777" w:rsidR="00FD0545" w:rsidRPr="00E13CE5" w:rsidRDefault="00FD0545" w:rsidP="00FD0545">
      <w:pPr>
        <w:spacing w:before="120"/>
        <w:jc w:val="both"/>
        <w:rPr>
          <w:rFonts w:eastAsia="Calibri"/>
          <w:sz w:val="22"/>
          <w:szCs w:val="22"/>
        </w:rPr>
      </w:pPr>
      <w:r w:rsidRPr="00E13CE5">
        <w:rPr>
          <w:rFonts w:eastAsia="Calibri"/>
          <w:b/>
          <w:sz w:val="22"/>
          <w:szCs w:val="22"/>
        </w:rPr>
        <w:t>6. §</w:t>
      </w:r>
      <w:r w:rsidRPr="00E13CE5">
        <w:rPr>
          <w:rFonts w:eastAsia="Calibri"/>
          <w:sz w:val="22"/>
          <w:szCs w:val="22"/>
        </w:rPr>
        <w:t xml:space="preserve"> (1) A Kar a közalkalmazott kutatói teljesítményének mérőszámait és azok beszámítási arányát szakterületenként határozza meg. Ennek alapjául az MTA tudományos osztályai által, az MTA doktora (</w:t>
      </w:r>
      <w:proofErr w:type="spellStart"/>
      <w:r w:rsidRPr="00E13CE5">
        <w:rPr>
          <w:rFonts w:eastAsia="Calibri"/>
          <w:sz w:val="22"/>
          <w:szCs w:val="22"/>
        </w:rPr>
        <w:t>DSc</w:t>
      </w:r>
      <w:proofErr w:type="spellEnd"/>
      <w:r w:rsidRPr="00E13CE5">
        <w:rPr>
          <w:rFonts w:eastAsia="Calibri"/>
          <w:sz w:val="22"/>
          <w:szCs w:val="22"/>
        </w:rPr>
        <w:t xml:space="preserve">) cím eléréséhez szükséges mindenkori </w:t>
      </w:r>
      <w:proofErr w:type="gramStart"/>
      <w:r w:rsidRPr="00E13CE5">
        <w:rPr>
          <w:rFonts w:eastAsia="Calibri"/>
          <w:sz w:val="22"/>
          <w:szCs w:val="22"/>
        </w:rPr>
        <w:t>minimálisan</w:t>
      </w:r>
      <w:proofErr w:type="gramEnd"/>
      <w:r w:rsidRPr="00E13CE5">
        <w:rPr>
          <w:rFonts w:eastAsia="Calibri"/>
          <w:sz w:val="22"/>
          <w:szCs w:val="22"/>
        </w:rPr>
        <w:t xml:space="preserve"> teljesítendő követelmények szolgálnak alapul egységesen.</w:t>
      </w:r>
    </w:p>
    <w:p w14:paraId="6E05BEEB" w14:textId="77777777" w:rsidR="00FD0545" w:rsidRPr="00E13CE5" w:rsidRDefault="00FD0545" w:rsidP="00FD0545">
      <w:pPr>
        <w:spacing w:before="120"/>
        <w:jc w:val="both"/>
        <w:rPr>
          <w:rFonts w:eastAsia="Calibri"/>
          <w:sz w:val="22"/>
          <w:szCs w:val="22"/>
        </w:rPr>
      </w:pPr>
      <w:r w:rsidRPr="00E13CE5">
        <w:rPr>
          <w:rFonts w:eastAsia="Calibri"/>
          <w:sz w:val="22"/>
          <w:szCs w:val="22"/>
        </w:rPr>
        <w:t xml:space="preserve">(2) A kutatói teljesítmény hároméves </w:t>
      </w:r>
      <w:proofErr w:type="spellStart"/>
      <w:r w:rsidRPr="00E13CE5">
        <w:rPr>
          <w:rFonts w:eastAsia="Calibri"/>
          <w:sz w:val="22"/>
          <w:szCs w:val="22"/>
        </w:rPr>
        <w:t>csúszóátlag</w:t>
      </w:r>
      <w:proofErr w:type="spellEnd"/>
      <w:r w:rsidRPr="00E13CE5">
        <w:rPr>
          <w:rFonts w:eastAsia="Calibri"/>
          <w:sz w:val="22"/>
          <w:szCs w:val="22"/>
        </w:rPr>
        <w:t xml:space="preserve"> alapján kerül meghatározásra.</w:t>
      </w:r>
    </w:p>
    <w:p w14:paraId="6D7A29A4" w14:textId="77777777" w:rsidR="00FD0545" w:rsidRPr="00E13CE5" w:rsidRDefault="00FD0545" w:rsidP="00FD0545">
      <w:pPr>
        <w:widowControl w:val="0"/>
        <w:suppressAutoHyphens/>
        <w:jc w:val="both"/>
        <w:rPr>
          <w:rFonts w:eastAsia="Calibri"/>
          <w:sz w:val="22"/>
          <w:szCs w:val="22"/>
        </w:rPr>
      </w:pPr>
    </w:p>
    <w:p w14:paraId="029C648E"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lastRenderedPageBreak/>
        <w:t>(3) Az értékelésben résztvevő munkatárs csak akkor kaphat 3 pontot a tudományos teljesítményére, ha van legalább átlagban évi 1 db vezető szerzős, szakterületi tudományos közleménye (első-utolsó szerző, levelező szerző). Amennyiben ez nem teljesül 2 pontot kaphat csak.</w:t>
      </w:r>
    </w:p>
    <w:p w14:paraId="44CA4552" w14:textId="77777777" w:rsidR="00FD0545" w:rsidRPr="00E13CE5" w:rsidRDefault="00FD0545" w:rsidP="00FD0545">
      <w:pPr>
        <w:widowControl w:val="0"/>
        <w:suppressAutoHyphens/>
        <w:jc w:val="both"/>
        <w:rPr>
          <w:rFonts w:eastAsia="Calibri"/>
          <w:sz w:val="22"/>
          <w:szCs w:val="22"/>
        </w:rPr>
      </w:pPr>
    </w:p>
    <w:p w14:paraId="1ED23B4D"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(4) Az intézetek mérőszámait és azok beszámítási arányát a jelen Szabályzat elválaszthatatlan részét képező 1. sz. melléklete tartalmazza. </w:t>
      </w:r>
    </w:p>
    <w:p w14:paraId="0239C1A8" w14:textId="77777777" w:rsidR="00FD0545" w:rsidRPr="00E13CE5" w:rsidRDefault="00FD0545" w:rsidP="00FD0545">
      <w:pPr>
        <w:ind w:firstLine="708"/>
        <w:jc w:val="both"/>
        <w:rPr>
          <w:rFonts w:eastAsia="Calibri"/>
          <w:sz w:val="22"/>
          <w:szCs w:val="22"/>
        </w:rPr>
      </w:pPr>
    </w:p>
    <w:p w14:paraId="7CC704D9" w14:textId="77777777" w:rsidR="00FD0545" w:rsidRPr="00E13CE5" w:rsidRDefault="00FD0545" w:rsidP="00FD0545">
      <w:pPr>
        <w:jc w:val="both"/>
        <w:rPr>
          <w:rFonts w:eastAsia="Calibri"/>
          <w:sz w:val="22"/>
          <w:szCs w:val="22"/>
        </w:rPr>
      </w:pPr>
      <w:r w:rsidRPr="00E13CE5">
        <w:rPr>
          <w:rFonts w:eastAsia="Calibri"/>
          <w:b/>
          <w:sz w:val="22"/>
          <w:szCs w:val="22"/>
        </w:rPr>
        <w:t>7. §</w:t>
      </w:r>
      <w:r w:rsidRPr="00E13CE5">
        <w:rPr>
          <w:rFonts w:eastAsia="Calibri"/>
          <w:sz w:val="22"/>
          <w:szCs w:val="22"/>
        </w:rPr>
        <w:t xml:space="preserve"> (1) Az értékelésben résztvevő munkatársak pályázati és kutatás-fejlesztési (továbbiakban: K+F) tevékenységének mérését meghatározó alapelvek:</w:t>
      </w:r>
    </w:p>
    <w:p w14:paraId="7A11E939" w14:textId="77777777" w:rsidR="00FD0545" w:rsidRPr="00E13CE5" w:rsidRDefault="00FD0545" w:rsidP="00FD0545">
      <w:pPr>
        <w:widowControl w:val="0"/>
        <w:suppressAutoHyphens/>
        <w:jc w:val="both"/>
        <w:rPr>
          <w:rFonts w:eastAsia="Calibri"/>
          <w:sz w:val="22"/>
          <w:szCs w:val="22"/>
        </w:rPr>
      </w:pPr>
    </w:p>
    <w:p w14:paraId="1C2D324F"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(2) Pályázati </w:t>
      </w:r>
      <w:proofErr w:type="gramStart"/>
      <w:r w:rsidRPr="00E13CE5">
        <w:rPr>
          <w:rFonts w:eastAsia="Calibri"/>
          <w:sz w:val="22"/>
          <w:szCs w:val="22"/>
        </w:rPr>
        <w:t>aktivitás</w:t>
      </w:r>
      <w:proofErr w:type="gramEnd"/>
      <w:r w:rsidRPr="00E13CE5">
        <w:rPr>
          <w:rFonts w:eastAsia="Calibri"/>
          <w:sz w:val="22"/>
          <w:szCs w:val="22"/>
        </w:rPr>
        <w:t xml:space="preserve"> meghatározás.</w:t>
      </w:r>
    </w:p>
    <w:p w14:paraId="0CEFCB42"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Az „</w:t>
      </w:r>
      <w:proofErr w:type="spellStart"/>
      <w:r w:rsidRPr="00E13CE5">
        <w:rPr>
          <w:rFonts w:eastAsia="Calibri"/>
          <w:sz w:val="22"/>
          <w:szCs w:val="22"/>
        </w:rPr>
        <w:t>összegyetemi</w:t>
      </w:r>
      <w:proofErr w:type="spellEnd"/>
      <w:r w:rsidRPr="00E13CE5">
        <w:rPr>
          <w:rFonts w:eastAsia="Calibri"/>
          <w:sz w:val="22"/>
          <w:szCs w:val="22"/>
        </w:rPr>
        <w:t>” pályázatok (pl.: EFOP, GINOP, FIKP) nem támogatottak</w:t>
      </w:r>
    </w:p>
    <w:p w14:paraId="66554C2F"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Pályázatban való társkutatói részvétel 0,5-es szorzóval számolandó.</w:t>
      </w:r>
    </w:p>
    <w:p w14:paraId="7158A387"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 xml:space="preserve">Nemzetközi pályázatban </w:t>
      </w:r>
      <w:proofErr w:type="gramStart"/>
      <w:r w:rsidRPr="00E13CE5">
        <w:rPr>
          <w:rFonts w:eastAsia="Calibri"/>
          <w:sz w:val="22"/>
          <w:szCs w:val="22"/>
        </w:rPr>
        <w:t>résztvevő vezető</w:t>
      </w:r>
      <w:proofErr w:type="gramEnd"/>
      <w:r w:rsidRPr="00E13CE5">
        <w:rPr>
          <w:rFonts w:eastAsia="Calibri"/>
          <w:sz w:val="22"/>
          <w:szCs w:val="22"/>
        </w:rPr>
        <w:t xml:space="preserve"> kutató: 30 pont/év. A pont a pályázat teljes időtartama alatt (év) adandó.</w:t>
      </w:r>
    </w:p>
    <w:p w14:paraId="708666EE"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 xml:space="preserve">Hazai pályázatban </w:t>
      </w:r>
      <w:proofErr w:type="gramStart"/>
      <w:r w:rsidRPr="00E13CE5">
        <w:rPr>
          <w:rFonts w:eastAsia="Calibri"/>
          <w:sz w:val="22"/>
          <w:szCs w:val="22"/>
        </w:rPr>
        <w:t>résztvevő vezető</w:t>
      </w:r>
      <w:proofErr w:type="gramEnd"/>
      <w:r w:rsidRPr="00E13CE5">
        <w:rPr>
          <w:rFonts w:eastAsia="Calibri"/>
          <w:sz w:val="22"/>
          <w:szCs w:val="22"/>
        </w:rPr>
        <w:t xml:space="preserve"> kutató: 20 pont/év. A pont a pályázat teljes időtartama alatt (év) adandó.</w:t>
      </w:r>
    </w:p>
    <w:p w14:paraId="6F27A016"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Fiatal kutatók számára kiírt, nemzetközi és hazai, 6 hónap, vagy annál hosszabb időtartamú, nagy presztízsű pályázatok, ösztöndíjak esetében 15 pont/év adandó. A pont a pályázat teljes időtartama alatt (év) adandó.</w:t>
      </w:r>
    </w:p>
    <w:p w14:paraId="5E354DEC"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 xml:space="preserve">Fiatal kutatók számára kiírt, nemzetközi és hazai, 6 hónapnál rövidebb időtartamú, nagy presztízsű pályázatok, ösztöndíjak esetében 5 pont/év adandó. </w:t>
      </w:r>
    </w:p>
    <w:p w14:paraId="3DFB4029" w14:textId="77777777" w:rsidR="00FD0545" w:rsidRPr="00E13CE5" w:rsidRDefault="00FD0545" w:rsidP="00F83E93">
      <w:pPr>
        <w:widowControl w:val="0"/>
        <w:numPr>
          <w:ilvl w:val="1"/>
          <w:numId w:val="170"/>
        </w:numPr>
        <w:suppressAutoHyphens/>
        <w:ind w:left="567" w:hanging="283"/>
        <w:jc w:val="both"/>
        <w:rPr>
          <w:rFonts w:eastAsia="Calibri"/>
          <w:sz w:val="22"/>
          <w:szCs w:val="22"/>
        </w:rPr>
      </w:pPr>
      <w:r w:rsidRPr="00E13CE5">
        <w:rPr>
          <w:rFonts w:eastAsia="Calibri"/>
          <w:sz w:val="22"/>
          <w:szCs w:val="22"/>
        </w:rPr>
        <w:t xml:space="preserve">Beadott, de el nem nyert pályázatok esetében 1 pont/év adandó. A pont a pályázat beadásának évében számolandó. </w:t>
      </w:r>
    </w:p>
    <w:p w14:paraId="6AD92E2C" w14:textId="77777777" w:rsidR="00FD0545" w:rsidRPr="00E13CE5" w:rsidRDefault="00FD0545" w:rsidP="00FD0545">
      <w:pPr>
        <w:widowControl w:val="0"/>
        <w:suppressAutoHyphens/>
        <w:jc w:val="both"/>
        <w:rPr>
          <w:rFonts w:eastAsia="Calibri"/>
          <w:sz w:val="22"/>
          <w:szCs w:val="22"/>
        </w:rPr>
      </w:pPr>
    </w:p>
    <w:p w14:paraId="28CD408D"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(3) K+F tevékenység.</w:t>
      </w:r>
    </w:p>
    <w:p w14:paraId="653230B8" w14:textId="77777777" w:rsidR="00FD0545" w:rsidRPr="00E13CE5" w:rsidRDefault="00FD0545" w:rsidP="00F83E93">
      <w:pPr>
        <w:widowControl w:val="0"/>
        <w:numPr>
          <w:ilvl w:val="0"/>
          <w:numId w:val="171"/>
        </w:numPr>
        <w:suppressAutoHyphens/>
        <w:ind w:left="567" w:hanging="283"/>
        <w:jc w:val="both"/>
        <w:rPr>
          <w:rFonts w:eastAsia="Calibri"/>
          <w:sz w:val="22"/>
          <w:szCs w:val="22"/>
        </w:rPr>
      </w:pPr>
      <w:r w:rsidRPr="00E13CE5">
        <w:rPr>
          <w:rFonts w:eastAsia="Calibri"/>
          <w:sz w:val="22"/>
          <w:szCs w:val="22"/>
        </w:rPr>
        <w:t>Nemzetközi résztvevővel köttetett K+F tevékenység esetén a vezető kutatónak 30 pont/év adandó.</w:t>
      </w:r>
    </w:p>
    <w:p w14:paraId="5183F855" w14:textId="77777777" w:rsidR="00FD0545" w:rsidRPr="00E13CE5" w:rsidRDefault="00FD0545" w:rsidP="00F83E93">
      <w:pPr>
        <w:widowControl w:val="0"/>
        <w:numPr>
          <w:ilvl w:val="0"/>
          <w:numId w:val="171"/>
        </w:numPr>
        <w:suppressAutoHyphens/>
        <w:ind w:left="567" w:hanging="283"/>
        <w:jc w:val="both"/>
        <w:rPr>
          <w:rFonts w:eastAsia="Calibri"/>
          <w:sz w:val="22"/>
          <w:szCs w:val="22"/>
        </w:rPr>
      </w:pPr>
      <w:r w:rsidRPr="00E13CE5">
        <w:rPr>
          <w:rFonts w:eastAsia="Calibri"/>
          <w:sz w:val="22"/>
          <w:szCs w:val="22"/>
        </w:rPr>
        <w:t>Hazai résztvevővel köttetett K+F tevékenység esetén a vezető kutatónak 20 pont/év adandó.</w:t>
      </w:r>
    </w:p>
    <w:p w14:paraId="4EDAA786" w14:textId="77777777" w:rsidR="00FD0545" w:rsidRPr="00E13CE5" w:rsidRDefault="00FD0545" w:rsidP="00F83E93">
      <w:pPr>
        <w:widowControl w:val="0"/>
        <w:numPr>
          <w:ilvl w:val="0"/>
          <w:numId w:val="171"/>
        </w:numPr>
        <w:suppressAutoHyphens/>
        <w:ind w:left="567" w:hanging="283"/>
        <w:jc w:val="both"/>
        <w:rPr>
          <w:rFonts w:eastAsia="Calibri"/>
          <w:sz w:val="22"/>
          <w:szCs w:val="22"/>
        </w:rPr>
      </w:pPr>
      <w:r w:rsidRPr="00E13CE5">
        <w:rPr>
          <w:rFonts w:eastAsia="Calibri"/>
          <w:sz w:val="22"/>
          <w:szCs w:val="22"/>
        </w:rPr>
        <w:t xml:space="preserve">A Kari érintettség mellett a </w:t>
      </w:r>
      <w:proofErr w:type="spellStart"/>
      <w:r w:rsidRPr="00E13CE5">
        <w:rPr>
          <w:rFonts w:eastAsia="Calibri"/>
          <w:sz w:val="22"/>
          <w:szCs w:val="22"/>
        </w:rPr>
        <w:t>Szentágothai</w:t>
      </w:r>
      <w:proofErr w:type="spellEnd"/>
      <w:r w:rsidRPr="00E13CE5">
        <w:rPr>
          <w:rFonts w:eastAsia="Calibri"/>
          <w:sz w:val="22"/>
          <w:szCs w:val="22"/>
        </w:rPr>
        <w:t xml:space="preserve"> János Kutatóközpont kötelékében köttetett szerződések is értékelendők.</w:t>
      </w:r>
    </w:p>
    <w:p w14:paraId="3559A6EF" w14:textId="77777777" w:rsidR="00FD0545" w:rsidRPr="00E13CE5" w:rsidRDefault="00FD0545" w:rsidP="00FD0545">
      <w:pPr>
        <w:jc w:val="both"/>
        <w:rPr>
          <w:rFonts w:eastAsia="Calibri"/>
          <w:sz w:val="22"/>
          <w:szCs w:val="22"/>
        </w:rPr>
      </w:pPr>
    </w:p>
    <w:p w14:paraId="4B65DDD7" w14:textId="77777777" w:rsidR="00FD0545" w:rsidRPr="00E13CE5" w:rsidRDefault="00FD0545" w:rsidP="00FD0545">
      <w:pPr>
        <w:jc w:val="center"/>
        <w:rPr>
          <w:rFonts w:eastAsia="Calibri"/>
          <w:b/>
          <w:sz w:val="22"/>
          <w:szCs w:val="22"/>
        </w:rPr>
      </w:pPr>
      <w:r w:rsidRPr="00E13CE5">
        <w:rPr>
          <w:rFonts w:eastAsia="Calibri"/>
          <w:b/>
          <w:sz w:val="22"/>
          <w:szCs w:val="22"/>
        </w:rPr>
        <w:t xml:space="preserve">A TÉR pontok közalkalmazotti értékelést szolgáló pontokká történő </w:t>
      </w:r>
      <w:proofErr w:type="gramStart"/>
      <w:r w:rsidRPr="00E13CE5">
        <w:rPr>
          <w:rFonts w:eastAsia="Calibri"/>
          <w:b/>
          <w:sz w:val="22"/>
          <w:szCs w:val="22"/>
        </w:rPr>
        <w:t>konvertálásának</w:t>
      </w:r>
      <w:proofErr w:type="gramEnd"/>
      <w:r w:rsidRPr="00E13CE5">
        <w:rPr>
          <w:rFonts w:eastAsia="Calibri"/>
          <w:b/>
          <w:sz w:val="22"/>
          <w:szCs w:val="22"/>
        </w:rPr>
        <w:t xml:space="preserve"> menete</w:t>
      </w:r>
    </w:p>
    <w:p w14:paraId="1DFC51BB" w14:textId="77777777" w:rsidR="00FD0545" w:rsidRPr="00E13CE5" w:rsidRDefault="00FD0545" w:rsidP="00FD0545">
      <w:pPr>
        <w:jc w:val="both"/>
        <w:rPr>
          <w:rFonts w:eastAsia="Calibri"/>
          <w:b/>
          <w:sz w:val="22"/>
          <w:szCs w:val="22"/>
        </w:rPr>
      </w:pPr>
    </w:p>
    <w:p w14:paraId="73D8377D" w14:textId="77777777" w:rsidR="00FD0545" w:rsidRPr="00E13CE5" w:rsidRDefault="00FD0545" w:rsidP="00FD0545">
      <w:pPr>
        <w:jc w:val="both"/>
        <w:rPr>
          <w:rFonts w:eastAsia="Calibri"/>
          <w:sz w:val="22"/>
          <w:szCs w:val="22"/>
        </w:rPr>
      </w:pPr>
      <w:r w:rsidRPr="00E13CE5">
        <w:rPr>
          <w:rFonts w:eastAsia="Calibri"/>
          <w:b/>
          <w:sz w:val="22"/>
          <w:szCs w:val="22"/>
        </w:rPr>
        <w:t>8. §</w:t>
      </w:r>
      <w:r w:rsidRPr="00E13CE5">
        <w:rPr>
          <w:rFonts w:eastAsia="Calibri"/>
          <w:sz w:val="22"/>
          <w:szCs w:val="22"/>
        </w:rPr>
        <w:t xml:space="preserve"> (1) Az oktatói, </w:t>
      </w:r>
      <w:proofErr w:type="gramStart"/>
      <w:r w:rsidRPr="00E13CE5">
        <w:rPr>
          <w:rFonts w:eastAsia="Calibri"/>
          <w:sz w:val="22"/>
          <w:szCs w:val="22"/>
        </w:rPr>
        <w:t>adminisztrációs</w:t>
      </w:r>
      <w:proofErr w:type="gramEnd"/>
      <w:r w:rsidRPr="00E13CE5">
        <w:rPr>
          <w:rFonts w:eastAsia="Calibri"/>
          <w:sz w:val="22"/>
          <w:szCs w:val="22"/>
        </w:rPr>
        <w:t xml:space="preserve">, tudományos és pályázati TÉR pontokat oktatói, kutatói, tudományos és hallgatói értékelési pontokká kell konvertálni. Mivel a közalkalmazotti értékelés mind a négy téren négyfokozatú (3 = kiemelkedő, 2 = megfelelő, 1 = kevéssé megfelelő, 0 = nem megfelelő), a közalkalmazott oktatói, </w:t>
      </w:r>
      <w:proofErr w:type="gramStart"/>
      <w:r w:rsidRPr="00E13CE5">
        <w:rPr>
          <w:rFonts w:eastAsia="Calibri"/>
          <w:sz w:val="22"/>
          <w:szCs w:val="22"/>
        </w:rPr>
        <w:t>adminisztrációs</w:t>
      </w:r>
      <w:proofErr w:type="gramEnd"/>
      <w:r w:rsidRPr="00E13CE5">
        <w:rPr>
          <w:rFonts w:eastAsia="Calibri"/>
          <w:sz w:val="22"/>
          <w:szCs w:val="22"/>
        </w:rPr>
        <w:t>, tudományos és pályázatos TÉR pontjait egy az 1. sz. mellékletben meghatározott módon 0, 1, 2 vagy 3 értékelési ponttá alakulnak.</w:t>
      </w:r>
    </w:p>
    <w:p w14:paraId="48D5BE54" w14:textId="77777777" w:rsidR="00FD0545" w:rsidRPr="00E13CE5" w:rsidRDefault="00FD0545" w:rsidP="00FD0545">
      <w:pPr>
        <w:jc w:val="both"/>
        <w:rPr>
          <w:rFonts w:eastAsia="Calibri"/>
          <w:sz w:val="22"/>
          <w:szCs w:val="22"/>
        </w:rPr>
      </w:pPr>
    </w:p>
    <w:p w14:paraId="4AF38989"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(2) Az oktatói munka hallgatói véleményezése alapján (amennyiben a véleményezés során a hallgatói kitöltöttség legalább 25%-</w:t>
      </w:r>
      <w:proofErr w:type="spellStart"/>
      <w:r w:rsidRPr="00E13CE5">
        <w:rPr>
          <w:rFonts w:eastAsia="Calibri"/>
          <w:sz w:val="22"/>
          <w:szCs w:val="22"/>
        </w:rPr>
        <w:t>os</w:t>
      </w:r>
      <w:proofErr w:type="spellEnd"/>
      <w:r w:rsidRPr="00E13CE5">
        <w:rPr>
          <w:rFonts w:eastAsia="Calibri"/>
          <w:sz w:val="22"/>
          <w:szCs w:val="22"/>
        </w:rPr>
        <w:t>) az értékelendő oktatóra vonatkozóan az összes oktatott tárgy esetén kapott értékelés medián értékének hallgatói létszámarányosan súlyozott átlaga szolgál a hallgatói értékelési pont megállapításához. A négyfokozatú hallgatói értékelési pontszám 3, ha a fenti súlyozott oktatói átlag 4,00-nál nagyobb; 2 pont, ha ez az átlag 3,00–3,99 között van; 1 pont, ha ez az átlag 2,00–2,99 között van; és 0 pont, ha a létszámarányosan súlyozott átlaga 2,00 alatt van.</w:t>
      </w:r>
    </w:p>
    <w:p w14:paraId="7BF0319F" w14:textId="77777777" w:rsidR="00FD0545" w:rsidRPr="00E13CE5" w:rsidRDefault="00FD0545" w:rsidP="00FD0545">
      <w:pPr>
        <w:jc w:val="both"/>
        <w:rPr>
          <w:rFonts w:eastAsia="Calibri"/>
          <w:sz w:val="22"/>
          <w:szCs w:val="22"/>
        </w:rPr>
      </w:pPr>
    </w:p>
    <w:p w14:paraId="48AC8D55"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(3) Amennyiben egy értékelendő oktató, kutató esetén egyetlenegy oktatott tárgynál sem éri el az oktatói munka hallgatói véleményezés kitöltöttsége a 25%-</w:t>
      </w:r>
      <w:proofErr w:type="spellStart"/>
      <w:r w:rsidRPr="00E13CE5">
        <w:rPr>
          <w:rFonts w:eastAsia="Calibri"/>
          <w:sz w:val="22"/>
          <w:szCs w:val="22"/>
        </w:rPr>
        <w:t>os</w:t>
      </w:r>
      <w:proofErr w:type="spellEnd"/>
      <w:r w:rsidRPr="00E13CE5">
        <w:rPr>
          <w:rFonts w:eastAsia="Calibri"/>
          <w:sz w:val="22"/>
          <w:szCs w:val="22"/>
        </w:rPr>
        <w:t xml:space="preserve"> küszöböt, úgy a TTK HÖK Elnöksége az érintett intézet hallgatói képviselőjével együtt a Dékán jóváhagyásával kijelöl egy legalább öttagú hallgatói bizottságot. A bizottság a 395/2015 (XII.12) Kormányrendelet 4. § (1) i és (1) j bekezdései </w:t>
      </w:r>
      <w:proofErr w:type="gramStart"/>
      <w:r w:rsidRPr="00E13CE5">
        <w:rPr>
          <w:rFonts w:eastAsia="Calibri"/>
          <w:sz w:val="22"/>
          <w:szCs w:val="22"/>
        </w:rPr>
        <w:t>alapján</w:t>
      </w:r>
      <w:proofErr w:type="gramEnd"/>
      <w:r w:rsidRPr="00E13CE5">
        <w:rPr>
          <w:rFonts w:eastAsia="Calibri"/>
          <w:sz w:val="22"/>
          <w:szCs w:val="22"/>
        </w:rPr>
        <w:t xml:space="preserve"> egy négyfokozatú skálán értékeli az oktatót. A bizottság tagjainak olyan hallgatókból kell állnia (legalább 80%), akit az adott oktató valamilyen tárgyból oktatott. A bizottság Elnöke a TTK HÖK mindenkori elnöke, a bizottsági értékelésüket pedig a Kar Dékánjához kell írásban eljuttatni.  </w:t>
      </w:r>
    </w:p>
    <w:p w14:paraId="1EB6D75D" w14:textId="77777777" w:rsidR="00FD0545" w:rsidRPr="00E13CE5" w:rsidRDefault="00FD0545" w:rsidP="00FD0545">
      <w:pPr>
        <w:ind w:firstLine="284"/>
        <w:jc w:val="both"/>
        <w:rPr>
          <w:rFonts w:eastAsia="Calibri"/>
          <w:sz w:val="22"/>
          <w:szCs w:val="22"/>
        </w:rPr>
      </w:pPr>
    </w:p>
    <w:p w14:paraId="6770CA53" w14:textId="77777777" w:rsidR="00FD0545" w:rsidRPr="00E13CE5" w:rsidRDefault="00FD0545" w:rsidP="00FD0545">
      <w:pPr>
        <w:widowControl w:val="0"/>
        <w:suppressAutoHyphens/>
        <w:jc w:val="both"/>
        <w:rPr>
          <w:rFonts w:eastAsia="Calibri"/>
          <w:sz w:val="22"/>
          <w:szCs w:val="22"/>
        </w:rPr>
      </w:pPr>
      <w:r w:rsidRPr="00E13CE5">
        <w:rPr>
          <w:rFonts w:eastAsia="Calibri"/>
          <w:sz w:val="22"/>
          <w:szCs w:val="22"/>
        </w:rPr>
        <w:t xml:space="preserve">(4) A 395/2015 (XII.12) sz. Kormányrendelet 4. § (1) bekezdésének a–j pontjaira kapott pontszámokat </w:t>
      </w:r>
      <w:r w:rsidRPr="00E13CE5">
        <w:rPr>
          <w:rFonts w:eastAsia="Calibri"/>
          <w:sz w:val="22"/>
          <w:szCs w:val="22"/>
        </w:rPr>
        <w:lastRenderedPageBreak/>
        <w:t xml:space="preserve">az oktatói, </w:t>
      </w:r>
      <w:proofErr w:type="gramStart"/>
      <w:r w:rsidRPr="00E13CE5">
        <w:rPr>
          <w:rFonts w:eastAsia="Calibri"/>
          <w:sz w:val="22"/>
          <w:szCs w:val="22"/>
        </w:rPr>
        <w:t>adminisztrációs</w:t>
      </w:r>
      <w:proofErr w:type="gramEnd"/>
      <w:r w:rsidRPr="00E13CE5">
        <w:rPr>
          <w:rFonts w:eastAsia="Calibri"/>
          <w:sz w:val="22"/>
          <w:szCs w:val="22"/>
        </w:rPr>
        <w:t xml:space="preserve"> és tudományos értékelési pontokból származtatjuk az alábbi megoszlás szerint. Az (1) bekezdés </w:t>
      </w:r>
      <w:proofErr w:type="gramStart"/>
      <w:r w:rsidRPr="00E13CE5">
        <w:rPr>
          <w:rFonts w:eastAsia="Calibri"/>
          <w:sz w:val="22"/>
          <w:szCs w:val="22"/>
        </w:rPr>
        <w:t>a</w:t>
      </w:r>
      <w:proofErr w:type="gramEnd"/>
      <w:r w:rsidRPr="00E13CE5">
        <w:rPr>
          <w:rFonts w:eastAsia="Calibri"/>
          <w:sz w:val="22"/>
          <w:szCs w:val="22"/>
        </w:rPr>
        <w:t>, b és g pontjaira kapott pontszám értéke megegyezik az oktatási értékelési pontszámmal, az (1) bekezdés c, f és h pontjaira kapott pontszám értéke megegyezik a tudományos értékelési pontszámmal, az (1) bekezdés d pontjára kapott pontszám megegyezik az adminisztrációs értékelési ponttal, míg a (1) bekezdés i és j pontjaira kapott pontszám megegyezik a hallgatói értékelési pontszámmal. Az (1) bekezdés e pontjában szereplő pontszám értéknek az oktatói és kutatói értékelési pontszámok közül az átlag felfelé kerekítve adandó.</w:t>
      </w:r>
    </w:p>
    <w:p w14:paraId="6D0EAD30" w14:textId="77777777" w:rsidR="00FD0545" w:rsidRPr="00E13CE5" w:rsidRDefault="00FD0545" w:rsidP="00FD0545">
      <w:pPr>
        <w:widowControl w:val="0"/>
        <w:suppressAutoHyphens/>
        <w:jc w:val="both"/>
        <w:rPr>
          <w:rFonts w:eastAsia="Calibri"/>
          <w:sz w:val="22"/>
          <w:szCs w:val="22"/>
        </w:rPr>
      </w:pPr>
    </w:p>
    <w:p w14:paraId="6716FEE0" w14:textId="77777777" w:rsidR="00FD0545" w:rsidRPr="00E13CE5" w:rsidRDefault="00FD0545" w:rsidP="00FD0545">
      <w:pPr>
        <w:widowControl w:val="0"/>
        <w:suppressAutoHyphens/>
        <w:contextualSpacing/>
        <w:jc w:val="both"/>
        <w:rPr>
          <w:rFonts w:eastAsia="Calibri"/>
          <w:sz w:val="22"/>
          <w:szCs w:val="22"/>
        </w:rPr>
      </w:pPr>
      <w:r w:rsidRPr="00E13CE5">
        <w:rPr>
          <w:rFonts w:eastAsia="Calibri"/>
          <w:sz w:val="22"/>
          <w:szCs w:val="22"/>
        </w:rPr>
        <w:t>(5) A közalkalmazotti minősítés során, így a minősített oktató 30 pontot szerezhet. A megszerzett pontszámtól függetlenül a minősítés alkalmatlan, ha bármely értékelési pontra a minősített 0 pontot kap. Egyéb esetben, 26 pont, vagy a felett a közalkalmazotti minősítés kiválóan alkalmas, 21 és 25 pont között alkalmas, 16-20 pont között kevéssé alkalmas, 15 pont vagy alatta alkalmatlan.</w:t>
      </w:r>
    </w:p>
    <w:p w14:paraId="783CBBB3" w14:textId="77777777" w:rsidR="00FD0545" w:rsidRPr="00E13CE5" w:rsidRDefault="00FD0545" w:rsidP="00FD0545">
      <w:pPr>
        <w:widowControl w:val="0"/>
        <w:suppressAutoHyphens/>
        <w:contextualSpacing/>
        <w:jc w:val="both"/>
        <w:rPr>
          <w:rFonts w:eastAsia="Calibri"/>
          <w:sz w:val="22"/>
          <w:szCs w:val="22"/>
        </w:rPr>
      </w:pPr>
    </w:p>
    <w:p w14:paraId="4CF9CA8C" w14:textId="77777777" w:rsidR="00FD0545" w:rsidRPr="00E13CE5" w:rsidRDefault="00FD0545" w:rsidP="00FD0545">
      <w:pPr>
        <w:spacing w:before="120" w:after="120"/>
        <w:jc w:val="center"/>
        <w:rPr>
          <w:rFonts w:eastAsia="Calibri"/>
          <w:b/>
          <w:sz w:val="22"/>
          <w:szCs w:val="22"/>
        </w:rPr>
      </w:pPr>
      <w:r w:rsidRPr="00E13CE5">
        <w:rPr>
          <w:rFonts w:eastAsia="Calibri"/>
          <w:b/>
          <w:sz w:val="22"/>
          <w:szCs w:val="22"/>
        </w:rPr>
        <w:t>Záró és hatályba léptető rendelkezések</w:t>
      </w:r>
    </w:p>
    <w:p w14:paraId="25DC34E7" w14:textId="77777777" w:rsidR="00FD0545" w:rsidRPr="00E13CE5" w:rsidRDefault="00FD0545" w:rsidP="00FD0545">
      <w:pPr>
        <w:contextualSpacing/>
        <w:jc w:val="both"/>
        <w:rPr>
          <w:rFonts w:eastAsia="Calibri"/>
          <w:sz w:val="22"/>
          <w:szCs w:val="22"/>
        </w:rPr>
      </w:pPr>
    </w:p>
    <w:p w14:paraId="0BE645CE" w14:textId="77777777" w:rsidR="00FD0545" w:rsidRPr="00E13CE5" w:rsidRDefault="00FD0545" w:rsidP="00FD0545">
      <w:pPr>
        <w:contextualSpacing/>
        <w:jc w:val="both"/>
        <w:rPr>
          <w:rFonts w:eastAsia="Calibri"/>
          <w:sz w:val="22"/>
          <w:szCs w:val="22"/>
        </w:rPr>
      </w:pPr>
      <w:r w:rsidRPr="00E13CE5">
        <w:rPr>
          <w:rFonts w:eastAsia="Calibri"/>
          <w:b/>
          <w:sz w:val="22"/>
          <w:szCs w:val="22"/>
        </w:rPr>
        <w:t>9. §</w:t>
      </w:r>
      <w:r w:rsidRPr="00E13CE5">
        <w:rPr>
          <w:rFonts w:eastAsia="Calibri"/>
          <w:sz w:val="22"/>
          <w:szCs w:val="22"/>
        </w:rPr>
        <w:t xml:space="preserve"> (1) Az oktatói és adminisztratív teljesítményt a kar pontszámban méri.</w:t>
      </w:r>
    </w:p>
    <w:p w14:paraId="1C10B90B" w14:textId="77777777" w:rsidR="00FD0545" w:rsidRPr="00E13CE5" w:rsidRDefault="00FD0545" w:rsidP="00FD0545">
      <w:pPr>
        <w:contextualSpacing/>
        <w:jc w:val="both"/>
        <w:rPr>
          <w:rFonts w:eastAsia="Calibri"/>
          <w:sz w:val="22"/>
          <w:szCs w:val="22"/>
        </w:rPr>
      </w:pPr>
    </w:p>
    <w:p w14:paraId="4897A03B" w14:textId="77777777" w:rsidR="00FD0545" w:rsidRPr="00E13CE5" w:rsidRDefault="00FD0545" w:rsidP="00FD0545">
      <w:pPr>
        <w:contextualSpacing/>
        <w:jc w:val="both"/>
        <w:rPr>
          <w:rFonts w:eastAsia="Calibri"/>
          <w:sz w:val="22"/>
          <w:szCs w:val="22"/>
        </w:rPr>
      </w:pPr>
      <w:r w:rsidRPr="00E13CE5">
        <w:rPr>
          <w:rFonts w:eastAsia="Calibri"/>
          <w:sz w:val="22"/>
          <w:szCs w:val="22"/>
        </w:rPr>
        <w:t xml:space="preserve">(2) A kutatói teljesítményhez rendelt kutatási TÉR pont esetén a 100 pont azt hivatott jelölni, hogy az adott tudományterület kutatója a 20 év egyenletes kutatómunkával eléri az MTA adott tudományos osztálya által meghatározott </w:t>
      </w:r>
      <w:proofErr w:type="gramStart"/>
      <w:r w:rsidRPr="00E13CE5">
        <w:rPr>
          <w:rFonts w:eastAsia="Calibri"/>
          <w:sz w:val="22"/>
          <w:szCs w:val="22"/>
        </w:rPr>
        <w:t>minimális</w:t>
      </w:r>
      <w:proofErr w:type="gramEnd"/>
      <w:r w:rsidRPr="00E13CE5">
        <w:rPr>
          <w:rFonts w:eastAsia="Calibri"/>
          <w:sz w:val="22"/>
          <w:szCs w:val="22"/>
        </w:rPr>
        <w:t xml:space="preserve"> követelményeket az MTA doktora (</w:t>
      </w:r>
      <w:proofErr w:type="spellStart"/>
      <w:r w:rsidRPr="00E13CE5">
        <w:rPr>
          <w:rFonts w:eastAsia="Calibri"/>
          <w:sz w:val="22"/>
          <w:szCs w:val="22"/>
        </w:rPr>
        <w:t>DSc</w:t>
      </w:r>
      <w:proofErr w:type="spellEnd"/>
      <w:r w:rsidRPr="00E13CE5">
        <w:rPr>
          <w:rFonts w:eastAsia="Calibri"/>
          <w:sz w:val="22"/>
          <w:szCs w:val="22"/>
        </w:rPr>
        <w:t xml:space="preserve">) cím megszerzéséhez, amennyiben a hároméves csúszó periódusban mutatott egyenletes kutatói teljesítmény biztosított. </w:t>
      </w:r>
    </w:p>
    <w:p w14:paraId="7BEACAFA" w14:textId="77777777" w:rsidR="00FD0545" w:rsidRPr="00E13CE5" w:rsidRDefault="00FD0545" w:rsidP="00FD0545">
      <w:pPr>
        <w:contextualSpacing/>
        <w:jc w:val="both"/>
        <w:rPr>
          <w:rFonts w:eastAsia="Calibri"/>
          <w:sz w:val="22"/>
          <w:szCs w:val="22"/>
        </w:rPr>
      </w:pPr>
    </w:p>
    <w:p w14:paraId="7979C6F6" w14:textId="77777777" w:rsidR="00FD0545" w:rsidRPr="00E13CE5" w:rsidRDefault="00FD0545" w:rsidP="00FD0545">
      <w:pPr>
        <w:contextualSpacing/>
        <w:jc w:val="both"/>
        <w:rPr>
          <w:rFonts w:eastAsia="Calibri"/>
          <w:sz w:val="22"/>
          <w:szCs w:val="22"/>
        </w:rPr>
      </w:pPr>
      <w:r w:rsidRPr="00E13CE5">
        <w:rPr>
          <w:rFonts w:eastAsia="Calibri"/>
          <w:b/>
          <w:sz w:val="22"/>
          <w:szCs w:val="22"/>
        </w:rPr>
        <w:t>10. §</w:t>
      </w:r>
      <w:r w:rsidRPr="00E13CE5">
        <w:rPr>
          <w:rFonts w:eastAsia="Calibri"/>
          <w:sz w:val="22"/>
          <w:szCs w:val="22"/>
        </w:rPr>
        <w:t xml:space="preserve"> (1) A TÉR bizottság évente legalább egyszer összeül, hogy felülvizsgálja a tudományos teljesítmény mérésére szolgáló adatállományt, valamint az oktatási és </w:t>
      </w:r>
      <w:proofErr w:type="gramStart"/>
      <w:r w:rsidRPr="00E13CE5">
        <w:rPr>
          <w:rFonts w:eastAsia="Calibri"/>
          <w:sz w:val="22"/>
          <w:szCs w:val="22"/>
        </w:rPr>
        <w:t>adminisztrációs</w:t>
      </w:r>
      <w:proofErr w:type="gramEnd"/>
      <w:r w:rsidRPr="00E13CE5">
        <w:rPr>
          <w:rFonts w:eastAsia="Calibri"/>
          <w:sz w:val="22"/>
          <w:szCs w:val="22"/>
        </w:rPr>
        <w:t xml:space="preserve"> teljesítmény mérésére szolgáló óraszámokat.</w:t>
      </w:r>
    </w:p>
    <w:p w14:paraId="4FD2CC2B" w14:textId="77777777" w:rsidR="00FD0545" w:rsidRPr="00E13CE5" w:rsidRDefault="00FD0545" w:rsidP="00FD0545">
      <w:pPr>
        <w:contextualSpacing/>
        <w:jc w:val="both"/>
        <w:rPr>
          <w:rFonts w:eastAsia="Calibri"/>
          <w:sz w:val="22"/>
          <w:szCs w:val="22"/>
        </w:rPr>
      </w:pPr>
    </w:p>
    <w:p w14:paraId="64EF70C0" w14:textId="77777777" w:rsidR="00FD0545" w:rsidRPr="00E13CE5" w:rsidRDefault="00FD0545" w:rsidP="00FD0545">
      <w:pPr>
        <w:contextualSpacing/>
        <w:jc w:val="both"/>
        <w:rPr>
          <w:rFonts w:eastAsia="Calibri"/>
          <w:sz w:val="22"/>
          <w:szCs w:val="22"/>
        </w:rPr>
      </w:pPr>
      <w:r w:rsidRPr="00E13CE5">
        <w:rPr>
          <w:rFonts w:eastAsia="Calibri"/>
          <w:sz w:val="22"/>
          <w:szCs w:val="22"/>
        </w:rPr>
        <w:t>(2) A Kar 2019. június 7. napját követően oktató, kutató közalkalmazottnak a bértáblában meghatározott illetményen felüli juttatása esetén nem tekint el a közalkalmazott oktatási és kutatói teljesítményének figyelembe vételétől.</w:t>
      </w:r>
    </w:p>
    <w:p w14:paraId="50C55B80" w14:textId="77777777" w:rsidR="00FD0545" w:rsidRPr="00E13CE5" w:rsidRDefault="00FD0545" w:rsidP="00FD0545">
      <w:pPr>
        <w:contextualSpacing/>
        <w:jc w:val="both"/>
        <w:rPr>
          <w:rFonts w:eastAsia="Calibri"/>
          <w:sz w:val="22"/>
          <w:szCs w:val="22"/>
        </w:rPr>
      </w:pPr>
    </w:p>
    <w:p w14:paraId="3E5430F7" w14:textId="77777777" w:rsidR="00FD0545" w:rsidRPr="00E13CE5" w:rsidRDefault="00FD0545" w:rsidP="00FD0545">
      <w:pPr>
        <w:contextualSpacing/>
        <w:jc w:val="both"/>
        <w:rPr>
          <w:rFonts w:eastAsia="Calibri"/>
          <w:sz w:val="22"/>
          <w:szCs w:val="22"/>
        </w:rPr>
      </w:pPr>
      <w:r w:rsidRPr="00E13CE5">
        <w:rPr>
          <w:rFonts w:eastAsia="Calibri"/>
          <w:b/>
          <w:sz w:val="22"/>
          <w:szCs w:val="22"/>
        </w:rPr>
        <w:t>11. §</w:t>
      </w:r>
      <w:r w:rsidRPr="00E13CE5">
        <w:rPr>
          <w:rFonts w:eastAsia="Calibri"/>
          <w:sz w:val="22"/>
          <w:szCs w:val="22"/>
        </w:rPr>
        <w:t xml:space="preserve"> (1) Jelen szabályzat a Szenátus általi elfogadás napján lép hatályba, a szabályzatot első alkalommal a 2019/2020. tanév tekintetében kell alkalmazni a PTE Foglalkoztatási Követelményrendszerének 181. § (1) bekezdésében foglaltakra tekintettel. </w:t>
      </w:r>
    </w:p>
    <w:p w14:paraId="3EE74A0C" w14:textId="77777777" w:rsidR="00FD0545" w:rsidRPr="00E13CE5" w:rsidRDefault="00FD0545" w:rsidP="00FD0545">
      <w:pPr>
        <w:contextualSpacing/>
        <w:jc w:val="both"/>
        <w:rPr>
          <w:rFonts w:eastAsia="Calibri"/>
          <w:sz w:val="22"/>
          <w:szCs w:val="22"/>
        </w:rPr>
      </w:pPr>
    </w:p>
    <w:p w14:paraId="4A1091CA" w14:textId="77777777" w:rsidR="00FD0545" w:rsidRPr="00E13CE5" w:rsidRDefault="00FD0545" w:rsidP="00FD0545">
      <w:pPr>
        <w:contextualSpacing/>
        <w:jc w:val="both"/>
        <w:rPr>
          <w:rFonts w:eastAsia="Calibri"/>
          <w:sz w:val="22"/>
          <w:szCs w:val="22"/>
        </w:rPr>
      </w:pPr>
      <w:r w:rsidRPr="00E13CE5">
        <w:rPr>
          <w:rFonts w:eastAsia="Calibri"/>
          <w:sz w:val="22"/>
          <w:szCs w:val="22"/>
        </w:rPr>
        <w:t>(2) Jelen szabályzat módosítására vonatkozó kari javaslat, az Oktatási Bizottság hozzájárulásával lép hatályba. A hozzájárulás abban az esetben tagadható meg, ha a kari javaslat jogszabály vagy a foglalkoztatási követelményrendszer rendelkezésébe ütközik. A pontszámítási eljárás során használt űrlapokról a Kar dékáni utasításban rendelkezhet.</w:t>
      </w:r>
    </w:p>
    <w:p w14:paraId="78B5CDA4" w14:textId="77777777" w:rsidR="00FD0545" w:rsidRPr="00E13CE5" w:rsidRDefault="00FD0545" w:rsidP="00FD0545">
      <w:pPr>
        <w:contextualSpacing/>
        <w:jc w:val="both"/>
        <w:rPr>
          <w:rFonts w:eastAsia="Calibri"/>
          <w:sz w:val="22"/>
          <w:szCs w:val="22"/>
        </w:rPr>
      </w:pPr>
    </w:p>
    <w:p w14:paraId="719F15EB" w14:textId="77777777" w:rsidR="00FD0545" w:rsidRPr="00415690" w:rsidRDefault="00FD0545" w:rsidP="00FD0545">
      <w:pPr>
        <w:contextualSpacing/>
        <w:jc w:val="both"/>
        <w:rPr>
          <w:rFonts w:eastAsia="Calibri"/>
          <w:sz w:val="22"/>
          <w:szCs w:val="22"/>
        </w:rPr>
      </w:pPr>
      <w:r w:rsidRPr="00E13CE5">
        <w:rPr>
          <w:rFonts w:eastAsia="Calibri"/>
          <w:sz w:val="22"/>
          <w:szCs w:val="22"/>
        </w:rPr>
        <w:t>(3) A PTE Foglalkoztatási Követelményrendszerének 181. § (3) bekezdésére hivatkozással a Kar a személyi célú kiadásainak 5%-át fordítja a kiválóan alkalmas</w:t>
      </w:r>
      <w:r w:rsidRPr="00E13CE5">
        <w:rPr>
          <w:rFonts w:eastAsia="Calibri"/>
          <w:b/>
          <w:i/>
          <w:sz w:val="22"/>
          <w:szCs w:val="22"/>
        </w:rPr>
        <w:t xml:space="preserve"> </w:t>
      </w:r>
      <w:r w:rsidRPr="00E13CE5">
        <w:rPr>
          <w:rFonts w:eastAsia="Calibri"/>
          <w:sz w:val="22"/>
          <w:szCs w:val="22"/>
        </w:rPr>
        <w:t>minősítésű oktató vagy kutató közalkalmazottak díjazására. A díjazás részletes szabályaira a TÉR Bizottság tesz javaslatot, majd ezt követően a Kari Tanács hagyja jóvá.</w:t>
      </w:r>
    </w:p>
    <w:p w14:paraId="7F18D69F" w14:textId="77777777" w:rsidR="00FD0545" w:rsidRDefault="00FD0545" w:rsidP="00FD0545">
      <w:pPr>
        <w:jc w:val="center"/>
        <w:rPr>
          <w:b/>
          <w:sz w:val="22"/>
        </w:rPr>
      </w:pPr>
    </w:p>
    <w:p w14:paraId="76EE9482" w14:textId="77777777" w:rsidR="00FD0545" w:rsidRPr="00E7400F" w:rsidRDefault="00FD0545" w:rsidP="00FD0545">
      <w:pPr>
        <w:jc w:val="center"/>
        <w:rPr>
          <w:b/>
          <w:sz w:val="22"/>
        </w:rPr>
      </w:pPr>
      <w:r w:rsidRPr="00E7400F">
        <w:rPr>
          <w:b/>
          <w:sz w:val="22"/>
        </w:rPr>
        <w:t>1/10. számú melléklet (PTE TTK TÉR) 1. számú melléklete</w:t>
      </w:r>
    </w:p>
    <w:p w14:paraId="39C43E15" w14:textId="77777777" w:rsidR="00FD0545" w:rsidRPr="00BD15C8" w:rsidRDefault="00FD0545" w:rsidP="00FD0545">
      <w:pPr>
        <w:spacing w:line="200" w:lineRule="exact"/>
        <w:rPr>
          <w:sz w:val="22"/>
          <w:szCs w:val="22"/>
        </w:rPr>
      </w:pPr>
    </w:p>
    <w:p w14:paraId="388E7309" w14:textId="77777777" w:rsidR="00FD0545" w:rsidRPr="00A92180" w:rsidRDefault="00FD0545" w:rsidP="00FD0545">
      <w:pPr>
        <w:spacing w:line="0" w:lineRule="atLeast"/>
        <w:rPr>
          <w:rFonts w:eastAsia="Arial"/>
          <w:b/>
          <w:sz w:val="22"/>
          <w:szCs w:val="22"/>
        </w:rPr>
      </w:pPr>
      <w:r w:rsidRPr="00A92180">
        <w:rPr>
          <w:rFonts w:eastAsia="Arial"/>
          <w:b/>
          <w:sz w:val="22"/>
          <w:szCs w:val="22"/>
        </w:rPr>
        <w:t xml:space="preserve">Tudományos TÉR pontok </w:t>
      </w:r>
      <w:proofErr w:type="spellStart"/>
      <w:r w:rsidRPr="00A92180">
        <w:rPr>
          <w:rFonts w:eastAsia="Arial"/>
          <w:b/>
          <w:sz w:val="22"/>
          <w:szCs w:val="22"/>
        </w:rPr>
        <w:t>intézetenkénti</w:t>
      </w:r>
      <w:proofErr w:type="spellEnd"/>
      <w:r w:rsidRPr="00A92180">
        <w:rPr>
          <w:rFonts w:eastAsia="Arial"/>
          <w:b/>
          <w:sz w:val="22"/>
          <w:szCs w:val="22"/>
        </w:rPr>
        <w:t xml:space="preserve"> számítási rendje</w:t>
      </w:r>
    </w:p>
    <w:p w14:paraId="4BDFFE14" w14:textId="77777777" w:rsidR="00FD0545" w:rsidRPr="00BD15C8" w:rsidRDefault="00FD0545" w:rsidP="00FD0545">
      <w:pPr>
        <w:spacing w:line="296" w:lineRule="exact"/>
        <w:rPr>
          <w:sz w:val="22"/>
          <w:szCs w:val="22"/>
        </w:rPr>
      </w:pPr>
    </w:p>
    <w:p w14:paraId="6B232EFD" w14:textId="77777777" w:rsidR="00FD0545" w:rsidRDefault="00FD0545" w:rsidP="00FD0545">
      <w:pPr>
        <w:spacing w:line="0" w:lineRule="atLeast"/>
        <w:ind w:firstLine="284"/>
        <w:rPr>
          <w:rFonts w:eastAsia="Arial"/>
          <w:b/>
          <w:sz w:val="22"/>
          <w:szCs w:val="22"/>
        </w:rPr>
      </w:pPr>
      <w:r w:rsidRPr="00A92180">
        <w:rPr>
          <w:rFonts w:eastAsia="Arial"/>
          <w:b/>
          <w:sz w:val="22"/>
          <w:szCs w:val="22"/>
        </w:rPr>
        <w:t>Biológiai Intézet</w:t>
      </w:r>
    </w:p>
    <w:p w14:paraId="3FCE8510" w14:textId="77777777" w:rsidR="00FD0545" w:rsidRPr="00415690" w:rsidRDefault="00FD0545" w:rsidP="00FD0545">
      <w:pPr>
        <w:spacing w:line="0" w:lineRule="atLeast"/>
        <w:ind w:firstLine="284"/>
        <w:jc w:val="both"/>
        <w:rPr>
          <w:rFonts w:eastAsia="Arial"/>
          <w:b/>
          <w:sz w:val="22"/>
          <w:szCs w:val="22"/>
        </w:rPr>
      </w:pPr>
      <w:r w:rsidRPr="00BD15C8">
        <w:rPr>
          <w:rFonts w:eastAsia="Arial"/>
          <w:sz w:val="22"/>
          <w:szCs w:val="22"/>
        </w:rPr>
        <w:t>Az MTA Biológia Tudományok Osztálya által meghatározott szempont-rendszer alapján a kutatói teljesítmény megít</w:t>
      </w:r>
      <w:r>
        <w:rPr>
          <w:rFonts w:eastAsia="Arial"/>
          <w:sz w:val="22"/>
          <w:szCs w:val="22"/>
        </w:rPr>
        <w:t>élése 3 fő szempont szerint tör</w:t>
      </w:r>
      <w:r w:rsidRPr="00BD15C8">
        <w:rPr>
          <w:rFonts w:eastAsia="Arial"/>
          <w:sz w:val="22"/>
          <w:szCs w:val="22"/>
        </w:rPr>
        <w:t>ténik. Ehhez igazodik a TÉR pont kiszámítása is. A 3 terület a következő:</w:t>
      </w:r>
    </w:p>
    <w:p w14:paraId="70D3990A" w14:textId="77777777" w:rsidR="00FD0545" w:rsidRPr="00BD15C8" w:rsidRDefault="00FD0545" w:rsidP="00F83E93">
      <w:pPr>
        <w:numPr>
          <w:ilvl w:val="0"/>
          <w:numId w:val="173"/>
        </w:numPr>
        <w:tabs>
          <w:tab w:val="left" w:pos="426"/>
        </w:tabs>
        <w:spacing w:line="262" w:lineRule="auto"/>
        <w:ind w:left="142"/>
        <w:jc w:val="both"/>
        <w:rPr>
          <w:rFonts w:eastAsia="Arial"/>
          <w:sz w:val="22"/>
          <w:szCs w:val="22"/>
        </w:rPr>
      </w:pPr>
      <w:r w:rsidRPr="00BD15C8">
        <w:rPr>
          <w:rFonts w:eastAsia="Arial"/>
          <w:sz w:val="22"/>
          <w:szCs w:val="22"/>
        </w:rPr>
        <w:t>Cikkszám függetlenül annak tudományos mutatóitól. Minden egyes cikk, könyv vagy könyvfejezet az ado</w:t>
      </w:r>
      <w:r>
        <w:rPr>
          <w:rFonts w:eastAsia="Arial"/>
          <w:sz w:val="22"/>
          <w:szCs w:val="22"/>
        </w:rPr>
        <w:t>tt évben 2 pontot jelent. Abszt</w:t>
      </w:r>
      <w:r w:rsidRPr="00BD15C8">
        <w:rPr>
          <w:rFonts w:eastAsia="Arial"/>
          <w:sz w:val="22"/>
          <w:szCs w:val="22"/>
        </w:rPr>
        <w:t xml:space="preserve">raktok, </w:t>
      </w:r>
      <w:proofErr w:type="gramStart"/>
      <w:r w:rsidRPr="00BD15C8">
        <w:rPr>
          <w:rFonts w:eastAsia="Arial"/>
          <w:sz w:val="22"/>
          <w:szCs w:val="22"/>
        </w:rPr>
        <w:t>disszertációk</w:t>
      </w:r>
      <w:proofErr w:type="gramEnd"/>
      <w:r w:rsidRPr="00BD15C8">
        <w:rPr>
          <w:rFonts w:eastAsia="Arial"/>
          <w:sz w:val="22"/>
          <w:szCs w:val="22"/>
        </w:rPr>
        <w:t xml:space="preserve"> nem számítanak.</w:t>
      </w:r>
    </w:p>
    <w:p w14:paraId="00A319DC" w14:textId="77777777" w:rsidR="00FD0545" w:rsidRPr="00BD15C8" w:rsidRDefault="00FD0545" w:rsidP="00FD0545">
      <w:pPr>
        <w:tabs>
          <w:tab w:val="left" w:pos="426"/>
        </w:tabs>
        <w:spacing w:line="157" w:lineRule="exact"/>
        <w:ind w:left="142"/>
        <w:rPr>
          <w:rFonts w:eastAsia="Arial"/>
          <w:sz w:val="22"/>
          <w:szCs w:val="22"/>
        </w:rPr>
      </w:pPr>
    </w:p>
    <w:p w14:paraId="0C23BEE7" w14:textId="77777777" w:rsidR="00FD0545" w:rsidRPr="00BD15C8" w:rsidRDefault="00FD0545" w:rsidP="00F83E93">
      <w:pPr>
        <w:numPr>
          <w:ilvl w:val="0"/>
          <w:numId w:val="173"/>
        </w:numPr>
        <w:tabs>
          <w:tab w:val="left" w:pos="426"/>
        </w:tabs>
        <w:spacing w:line="265" w:lineRule="auto"/>
        <w:ind w:left="142"/>
        <w:jc w:val="both"/>
        <w:rPr>
          <w:rFonts w:eastAsia="Arial"/>
          <w:sz w:val="22"/>
          <w:szCs w:val="22"/>
        </w:rPr>
      </w:pP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w:t>
      </w:r>
      <w:proofErr w:type="gramEnd"/>
      <w:r w:rsidRPr="00BD15C8">
        <w:rPr>
          <w:rFonts w:eastAsia="Arial"/>
          <w:sz w:val="22"/>
          <w:szCs w:val="22"/>
        </w:rPr>
        <w:t xml:space="preserve">/ vagy Presztízsfaktor. 2 számítási mód lehetséges. Az egyik, hogy az adott évi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w:t>
      </w:r>
      <w:proofErr w:type="gramEnd"/>
      <w:r w:rsidRPr="00BD15C8">
        <w:rPr>
          <w:rFonts w:eastAsia="Arial"/>
          <w:sz w:val="22"/>
          <w:szCs w:val="22"/>
        </w:rPr>
        <w:t xml:space="preserve"> é</w:t>
      </w:r>
      <w:r>
        <w:rPr>
          <w:rFonts w:eastAsia="Arial"/>
          <w:sz w:val="22"/>
          <w:szCs w:val="22"/>
        </w:rPr>
        <w:t xml:space="preserve">rtékét tízzel (a </w:t>
      </w:r>
      <w:proofErr w:type="spellStart"/>
      <w:r>
        <w:rPr>
          <w:rFonts w:eastAsia="Arial"/>
          <w:sz w:val="22"/>
          <w:szCs w:val="22"/>
        </w:rPr>
        <w:t>szupraindividu</w:t>
      </w:r>
      <w:r w:rsidRPr="00BD15C8">
        <w:rPr>
          <w:rFonts w:eastAsia="Arial"/>
          <w:sz w:val="22"/>
          <w:szCs w:val="22"/>
        </w:rPr>
        <w:t>ális</w:t>
      </w:r>
      <w:proofErr w:type="spellEnd"/>
      <w:r w:rsidRPr="00BD15C8">
        <w:rPr>
          <w:rFonts w:eastAsia="Arial"/>
          <w:sz w:val="22"/>
          <w:szCs w:val="22"/>
        </w:rPr>
        <w:t xml:space="preserve"> területen) vagy hattal (</w:t>
      </w:r>
      <w:proofErr w:type="spellStart"/>
      <w:r w:rsidRPr="00BD15C8">
        <w:rPr>
          <w:rFonts w:eastAsia="Arial"/>
          <w:sz w:val="22"/>
          <w:szCs w:val="22"/>
        </w:rPr>
        <w:t>infraindividuális</w:t>
      </w:r>
      <w:proofErr w:type="spellEnd"/>
      <w:r w:rsidRPr="00BD15C8">
        <w:rPr>
          <w:rFonts w:eastAsia="Arial"/>
          <w:sz w:val="22"/>
          <w:szCs w:val="22"/>
        </w:rPr>
        <w:t xml:space="preserve"> területen) szorozva kapjuk erre a teljesítményre vonatkozó részpontot, a másik lehetőségként, D1 cikkenként 50 pont, Q1 cikkenként 30 pont, Q2 cikkenként 20 pont, Q3 cikkenként 10 pont, Q4 cikkenként 5 pont adható. Első, utolsó és levelező szerzős publikáció esetben mind az IF értékek, mind pedig a </w:t>
      </w:r>
      <w:proofErr w:type="spellStart"/>
      <w:r w:rsidRPr="00BD15C8">
        <w:rPr>
          <w:rFonts w:eastAsia="Arial"/>
          <w:sz w:val="22"/>
          <w:szCs w:val="22"/>
        </w:rPr>
        <w:t>prezstízsfaktorok</w:t>
      </w:r>
      <w:proofErr w:type="spellEnd"/>
      <w:r w:rsidRPr="00BD15C8">
        <w:rPr>
          <w:rFonts w:eastAsia="Arial"/>
          <w:sz w:val="22"/>
          <w:szCs w:val="22"/>
        </w:rPr>
        <w:t xml:space="preserve"> értékei 1,5-szeres szorzót kapnak. A 2 </w:t>
      </w:r>
      <w:r>
        <w:rPr>
          <w:rFonts w:eastAsia="Arial"/>
          <w:sz w:val="22"/>
          <w:szCs w:val="22"/>
        </w:rPr>
        <w:t>különböző szá</w:t>
      </w:r>
      <w:r w:rsidRPr="00BD15C8">
        <w:rPr>
          <w:rFonts w:eastAsia="Arial"/>
          <w:sz w:val="22"/>
          <w:szCs w:val="22"/>
        </w:rPr>
        <w:t>mítási mód közül a kutatóra nézve előnyösebb beszámítása valósul meg az elkövetkezendő négy évben.</w:t>
      </w:r>
    </w:p>
    <w:p w14:paraId="525F5D50" w14:textId="77777777" w:rsidR="00FD0545" w:rsidRPr="00BD15C8" w:rsidRDefault="00FD0545" w:rsidP="00FD0545">
      <w:pPr>
        <w:tabs>
          <w:tab w:val="left" w:pos="426"/>
        </w:tabs>
        <w:spacing w:line="163" w:lineRule="exact"/>
        <w:ind w:left="142"/>
        <w:rPr>
          <w:rFonts w:eastAsia="Arial"/>
          <w:sz w:val="22"/>
          <w:szCs w:val="22"/>
        </w:rPr>
      </w:pPr>
    </w:p>
    <w:p w14:paraId="2F8BB0A6" w14:textId="77777777" w:rsidR="00FD0545" w:rsidRPr="00BD15C8" w:rsidRDefault="00FD0545" w:rsidP="00F83E93">
      <w:pPr>
        <w:numPr>
          <w:ilvl w:val="0"/>
          <w:numId w:val="173"/>
        </w:numPr>
        <w:tabs>
          <w:tab w:val="left" w:pos="426"/>
        </w:tabs>
        <w:spacing w:line="258" w:lineRule="auto"/>
        <w:ind w:left="142"/>
        <w:jc w:val="both"/>
        <w:rPr>
          <w:rFonts w:eastAsia="Arial"/>
          <w:sz w:val="22"/>
          <w:szCs w:val="22"/>
        </w:rPr>
      </w:pPr>
      <w:r w:rsidRPr="00BD15C8">
        <w:rPr>
          <w:rFonts w:eastAsia="Arial"/>
          <w:sz w:val="22"/>
          <w:szCs w:val="22"/>
        </w:rPr>
        <w:t>Hivatkozások száma: A vizsgálathoz k</w:t>
      </w:r>
      <w:r>
        <w:rPr>
          <w:rFonts w:eastAsia="Arial"/>
          <w:sz w:val="22"/>
          <w:szCs w:val="22"/>
        </w:rPr>
        <w:t>épest az elmúlt 5 évben írt cik</w:t>
      </w:r>
      <w:r w:rsidRPr="00BD15C8">
        <w:rPr>
          <w:rFonts w:eastAsia="Arial"/>
          <w:sz w:val="22"/>
          <w:szCs w:val="22"/>
        </w:rPr>
        <w:t>kekre kapott hivatkozások száma 0,5-del szorzandó, az annál korábbi cikkekre történő hivatkozások száma 0,2-del szorzandó. A fenti értékek összege adja hivatkozási pontok számát.</w:t>
      </w:r>
    </w:p>
    <w:p w14:paraId="1D04A5BA" w14:textId="77777777" w:rsidR="00FD0545" w:rsidRPr="00BD15C8" w:rsidRDefault="00FD0545" w:rsidP="00FD0545">
      <w:pPr>
        <w:spacing w:line="154" w:lineRule="exact"/>
        <w:rPr>
          <w:sz w:val="22"/>
          <w:szCs w:val="22"/>
        </w:rPr>
      </w:pPr>
    </w:p>
    <w:p w14:paraId="565686BE" w14:textId="77777777" w:rsidR="00FD0545" w:rsidRPr="00BD15C8" w:rsidRDefault="00FD0545" w:rsidP="00FD0545">
      <w:pPr>
        <w:spacing w:line="272" w:lineRule="auto"/>
        <w:ind w:firstLine="351"/>
        <w:jc w:val="both"/>
        <w:rPr>
          <w:rFonts w:eastAsia="Arial"/>
          <w:sz w:val="22"/>
          <w:szCs w:val="22"/>
        </w:rPr>
      </w:pPr>
      <w:r w:rsidRPr="00BD15C8">
        <w:rPr>
          <w:rFonts w:eastAsia="Arial"/>
          <w:sz w:val="22"/>
          <w:szCs w:val="22"/>
        </w:rPr>
        <w:t>A tudományos TÉR pont a cikkszámra</w:t>
      </w:r>
      <w:r>
        <w:rPr>
          <w:rFonts w:eastAsia="Arial"/>
          <w:sz w:val="22"/>
          <w:szCs w:val="22"/>
        </w:rPr>
        <w:t xml:space="preserve">, az </w:t>
      </w:r>
      <w:proofErr w:type="spellStart"/>
      <w:r>
        <w:rPr>
          <w:rFonts w:eastAsia="Arial"/>
          <w:sz w:val="22"/>
          <w:szCs w:val="22"/>
        </w:rPr>
        <w:t>Impakt</w:t>
      </w:r>
      <w:proofErr w:type="spellEnd"/>
      <w:r>
        <w:rPr>
          <w:rFonts w:eastAsia="Arial"/>
          <w:sz w:val="22"/>
          <w:szCs w:val="22"/>
        </w:rPr>
        <w:t xml:space="preserve"> </w:t>
      </w:r>
      <w:proofErr w:type="gramStart"/>
      <w:r>
        <w:rPr>
          <w:rFonts w:eastAsia="Arial"/>
          <w:sz w:val="22"/>
          <w:szCs w:val="22"/>
        </w:rPr>
        <w:t>faktorra</w:t>
      </w:r>
      <w:proofErr w:type="gramEnd"/>
      <w:r>
        <w:rPr>
          <w:rFonts w:eastAsia="Arial"/>
          <w:sz w:val="22"/>
          <w:szCs w:val="22"/>
        </w:rPr>
        <w:t xml:space="preserve"> (vagy presz</w:t>
      </w:r>
      <w:r w:rsidRPr="00BD15C8">
        <w:rPr>
          <w:rFonts w:eastAsia="Arial"/>
          <w:sz w:val="22"/>
          <w:szCs w:val="22"/>
        </w:rPr>
        <w:t>tízsfaktorra) és a hivatkozásokra kapott pontszámból tevődik össze.</w:t>
      </w:r>
    </w:p>
    <w:p w14:paraId="507C0D60" w14:textId="77777777" w:rsidR="00FD0545" w:rsidRPr="00BD15C8" w:rsidRDefault="00FD0545" w:rsidP="00FD0545">
      <w:pPr>
        <w:spacing w:line="240" w:lineRule="exact"/>
        <w:rPr>
          <w:sz w:val="22"/>
          <w:szCs w:val="22"/>
        </w:rPr>
      </w:pPr>
    </w:p>
    <w:p w14:paraId="4219FA5C" w14:textId="77777777" w:rsidR="00FD0545" w:rsidRDefault="00FD0545" w:rsidP="00FD0545">
      <w:pPr>
        <w:spacing w:line="0" w:lineRule="atLeast"/>
        <w:ind w:firstLine="284"/>
        <w:rPr>
          <w:rFonts w:eastAsia="Arial"/>
          <w:b/>
          <w:sz w:val="22"/>
          <w:szCs w:val="22"/>
        </w:rPr>
      </w:pPr>
      <w:r w:rsidRPr="00A92180">
        <w:rPr>
          <w:rFonts w:eastAsia="Arial"/>
          <w:b/>
          <w:sz w:val="22"/>
          <w:szCs w:val="22"/>
        </w:rPr>
        <w:t>Fizikai Intézet</w:t>
      </w:r>
    </w:p>
    <w:p w14:paraId="79A67722" w14:textId="77777777" w:rsidR="00FD0545" w:rsidRPr="00415690" w:rsidRDefault="00FD0545" w:rsidP="00FD0545">
      <w:pPr>
        <w:spacing w:line="0" w:lineRule="atLeast"/>
        <w:ind w:firstLine="284"/>
        <w:rPr>
          <w:rFonts w:eastAsia="Arial"/>
          <w:b/>
          <w:sz w:val="22"/>
          <w:szCs w:val="22"/>
        </w:rPr>
      </w:pPr>
      <w:r w:rsidRPr="00BD15C8">
        <w:rPr>
          <w:rFonts w:eastAsia="Arial"/>
          <w:sz w:val="22"/>
          <w:szCs w:val="22"/>
        </w:rPr>
        <w:t>Az alább felsorolt tudományos munká</w:t>
      </w:r>
      <w:r>
        <w:rPr>
          <w:rFonts w:eastAsia="Arial"/>
          <w:sz w:val="22"/>
          <w:szCs w:val="22"/>
        </w:rPr>
        <w:t xml:space="preserve">kért a következő pontszámok </w:t>
      </w:r>
      <w:proofErr w:type="spellStart"/>
      <w:r>
        <w:rPr>
          <w:rFonts w:eastAsia="Arial"/>
          <w:sz w:val="22"/>
          <w:szCs w:val="22"/>
        </w:rPr>
        <w:t>sze</w:t>
      </w:r>
      <w:r w:rsidRPr="00BD15C8">
        <w:rPr>
          <w:rFonts w:eastAsia="Arial"/>
          <w:sz w:val="22"/>
          <w:szCs w:val="22"/>
        </w:rPr>
        <w:t>rezhetőek</w:t>
      </w:r>
      <w:proofErr w:type="spellEnd"/>
      <w:r w:rsidRPr="00BD15C8">
        <w:rPr>
          <w:rFonts w:eastAsia="Arial"/>
          <w:sz w:val="22"/>
          <w:szCs w:val="22"/>
        </w:rPr>
        <w:t>:</w:t>
      </w:r>
    </w:p>
    <w:p w14:paraId="023539C8"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Idegen nyelvű könyvért darabonként: 5 pont (Összesen: x</w:t>
      </w:r>
      <w:r w:rsidRPr="00BD15C8">
        <w:rPr>
          <w:rFonts w:eastAsia="Arial"/>
          <w:sz w:val="22"/>
          <w:szCs w:val="22"/>
          <w:vertAlign w:val="subscript"/>
        </w:rPr>
        <w:t>1</w:t>
      </w:r>
      <w:r w:rsidRPr="00BD15C8">
        <w:rPr>
          <w:rFonts w:eastAsia="Arial"/>
          <w:sz w:val="22"/>
          <w:szCs w:val="22"/>
        </w:rPr>
        <w:t>)</w:t>
      </w:r>
    </w:p>
    <w:p w14:paraId="4EF66CD2" w14:textId="77777777" w:rsidR="00FD0545" w:rsidRDefault="00FD0545" w:rsidP="00F83E93">
      <w:pPr>
        <w:numPr>
          <w:ilvl w:val="0"/>
          <w:numId w:val="174"/>
        </w:numPr>
        <w:spacing w:line="264" w:lineRule="auto"/>
        <w:rPr>
          <w:rFonts w:eastAsia="Arial"/>
          <w:sz w:val="22"/>
          <w:szCs w:val="22"/>
        </w:rPr>
      </w:pPr>
      <w:r w:rsidRPr="00A92180">
        <w:rPr>
          <w:rFonts w:eastAsia="Arial"/>
          <w:sz w:val="22"/>
          <w:szCs w:val="22"/>
        </w:rPr>
        <w:t>Magyar nyelvű könyvért darabonként: 2 pont (Összesen: x</w:t>
      </w:r>
      <w:r w:rsidRPr="00A92180">
        <w:rPr>
          <w:rFonts w:eastAsia="Arial"/>
          <w:sz w:val="22"/>
          <w:szCs w:val="22"/>
          <w:vertAlign w:val="subscript"/>
        </w:rPr>
        <w:t>2</w:t>
      </w:r>
      <w:r w:rsidRPr="00A92180">
        <w:rPr>
          <w:rFonts w:eastAsia="Arial"/>
          <w:sz w:val="22"/>
          <w:szCs w:val="22"/>
        </w:rPr>
        <w:t>)</w:t>
      </w:r>
      <w:r w:rsidRPr="00922EB6">
        <w:rPr>
          <w:rFonts w:eastAsia="Arial"/>
          <w:sz w:val="22"/>
          <w:szCs w:val="22"/>
        </w:rPr>
        <w:t xml:space="preserve"> </w:t>
      </w:r>
    </w:p>
    <w:p w14:paraId="5EB992D9"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Idegen nyelvű könyvrészletért darabonként: 2 pont (Összesen: x</w:t>
      </w:r>
      <w:r w:rsidRPr="00BD15C8">
        <w:rPr>
          <w:rFonts w:eastAsia="Arial"/>
          <w:sz w:val="22"/>
          <w:szCs w:val="22"/>
          <w:vertAlign w:val="subscript"/>
        </w:rPr>
        <w:t>3</w:t>
      </w:r>
      <w:r w:rsidRPr="00BD15C8">
        <w:rPr>
          <w:rFonts w:eastAsia="Arial"/>
          <w:sz w:val="22"/>
          <w:szCs w:val="22"/>
        </w:rPr>
        <w:t>)</w:t>
      </w:r>
    </w:p>
    <w:p w14:paraId="10438885"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Magyar nyelvű könyvért darabonként: 1 pont (Összesen: x</w:t>
      </w:r>
      <w:r w:rsidRPr="00BD15C8">
        <w:rPr>
          <w:rFonts w:eastAsia="Arial"/>
          <w:sz w:val="22"/>
          <w:szCs w:val="22"/>
          <w:vertAlign w:val="subscript"/>
        </w:rPr>
        <w:t>4</w:t>
      </w:r>
      <w:r w:rsidRPr="00BD15C8">
        <w:rPr>
          <w:rFonts w:eastAsia="Arial"/>
          <w:sz w:val="22"/>
          <w:szCs w:val="22"/>
        </w:rPr>
        <w:t>)</w:t>
      </w:r>
    </w:p>
    <w:p w14:paraId="09D90932"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Benyújtott vagy bejegyzett szabadalmanként: 2 pont (Összesen: x</w:t>
      </w:r>
      <w:r w:rsidRPr="00BD15C8">
        <w:rPr>
          <w:rFonts w:eastAsia="Arial"/>
          <w:sz w:val="22"/>
          <w:szCs w:val="22"/>
          <w:vertAlign w:val="subscript"/>
        </w:rPr>
        <w:t>5</w:t>
      </w:r>
      <w:r w:rsidRPr="00BD15C8">
        <w:rPr>
          <w:rFonts w:eastAsia="Arial"/>
          <w:sz w:val="22"/>
          <w:szCs w:val="22"/>
        </w:rPr>
        <w:t>)</w:t>
      </w:r>
    </w:p>
    <w:p w14:paraId="66428373"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D1-es cikkenként: 4 pont (Összesen: x</w:t>
      </w:r>
      <w:r w:rsidRPr="00BD15C8">
        <w:rPr>
          <w:rFonts w:eastAsia="Arial"/>
          <w:sz w:val="22"/>
          <w:szCs w:val="22"/>
          <w:vertAlign w:val="subscript"/>
        </w:rPr>
        <w:t>6</w:t>
      </w:r>
      <w:r w:rsidRPr="00BD15C8">
        <w:rPr>
          <w:rFonts w:eastAsia="Arial"/>
          <w:sz w:val="22"/>
          <w:szCs w:val="22"/>
        </w:rPr>
        <w:t>)</w:t>
      </w:r>
    </w:p>
    <w:p w14:paraId="20B9CD23"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Nem D1-es, de Q1-es cikkenként: 3 pont (Összesen: x</w:t>
      </w:r>
      <w:r w:rsidRPr="00BD15C8">
        <w:rPr>
          <w:rFonts w:eastAsia="Arial"/>
          <w:sz w:val="22"/>
          <w:szCs w:val="22"/>
          <w:vertAlign w:val="subscript"/>
        </w:rPr>
        <w:t>7</w:t>
      </w:r>
      <w:r w:rsidRPr="00BD15C8">
        <w:rPr>
          <w:rFonts w:eastAsia="Arial"/>
          <w:sz w:val="22"/>
          <w:szCs w:val="22"/>
        </w:rPr>
        <w:t>)</w:t>
      </w:r>
    </w:p>
    <w:p w14:paraId="12FF82F2"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Egyéb referált folyóiratcikkért: 2 pont (Összesen: x</w:t>
      </w:r>
      <w:r w:rsidRPr="00BD15C8">
        <w:rPr>
          <w:rFonts w:eastAsia="Arial"/>
          <w:sz w:val="22"/>
          <w:szCs w:val="22"/>
          <w:vertAlign w:val="subscript"/>
        </w:rPr>
        <w:t>8</w:t>
      </w:r>
      <w:r w:rsidRPr="00BD15C8">
        <w:rPr>
          <w:rFonts w:eastAsia="Arial"/>
          <w:sz w:val="22"/>
          <w:szCs w:val="22"/>
        </w:rPr>
        <w:t>)</w:t>
      </w:r>
    </w:p>
    <w:p w14:paraId="6F4F3F79"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Egyéb nem referált folyóiratcikkért: 1 pont (Összesen: x</w:t>
      </w:r>
      <w:r w:rsidRPr="00BD15C8">
        <w:rPr>
          <w:rFonts w:eastAsia="Arial"/>
          <w:sz w:val="22"/>
          <w:szCs w:val="22"/>
          <w:vertAlign w:val="subscript"/>
        </w:rPr>
        <w:t>9</w:t>
      </w:r>
      <w:r w:rsidRPr="00BD15C8">
        <w:rPr>
          <w:rFonts w:eastAsia="Arial"/>
          <w:sz w:val="22"/>
          <w:szCs w:val="22"/>
        </w:rPr>
        <w:t>)</w:t>
      </w:r>
    </w:p>
    <w:p w14:paraId="4E4302B0" w14:textId="77777777" w:rsidR="00FD0545" w:rsidRDefault="00FD0545" w:rsidP="00F83E93">
      <w:pPr>
        <w:numPr>
          <w:ilvl w:val="0"/>
          <w:numId w:val="174"/>
        </w:numPr>
        <w:spacing w:line="264" w:lineRule="auto"/>
        <w:rPr>
          <w:rFonts w:eastAsia="Arial"/>
          <w:sz w:val="22"/>
          <w:szCs w:val="22"/>
        </w:rPr>
      </w:pPr>
      <w:r w:rsidRPr="00BD15C8">
        <w:rPr>
          <w:rFonts w:eastAsia="Arial"/>
          <w:sz w:val="22"/>
          <w:szCs w:val="22"/>
        </w:rPr>
        <w:t>Független hivatkozások darabonként: 0,2 pont (Összesen: x</w:t>
      </w:r>
      <w:r w:rsidRPr="00BD15C8">
        <w:rPr>
          <w:rFonts w:eastAsia="Arial"/>
          <w:sz w:val="22"/>
          <w:szCs w:val="22"/>
          <w:vertAlign w:val="subscript"/>
        </w:rPr>
        <w:t>10</w:t>
      </w:r>
      <w:r w:rsidRPr="00BD15C8">
        <w:rPr>
          <w:rFonts w:eastAsia="Arial"/>
          <w:sz w:val="22"/>
          <w:szCs w:val="22"/>
        </w:rPr>
        <w:t>)</w:t>
      </w:r>
    </w:p>
    <w:p w14:paraId="7BCAEBFB" w14:textId="77777777" w:rsidR="00FD0545" w:rsidRPr="00BD15C8" w:rsidRDefault="00FD0545" w:rsidP="00FD0545">
      <w:pPr>
        <w:spacing w:line="0" w:lineRule="atLeast"/>
        <w:rPr>
          <w:rFonts w:eastAsia="Arial"/>
          <w:sz w:val="22"/>
          <w:szCs w:val="22"/>
        </w:rPr>
      </w:pPr>
      <w:proofErr w:type="gramStart"/>
      <w:r w:rsidRPr="00BD15C8">
        <w:rPr>
          <w:rFonts w:eastAsia="Arial"/>
          <w:sz w:val="22"/>
          <w:szCs w:val="22"/>
        </w:rPr>
        <w:t>ahol</w:t>
      </w:r>
      <w:proofErr w:type="gramEnd"/>
      <w:r w:rsidRPr="00BD15C8">
        <w:rPr>
          <w:rFonts w:eastAsia="Arial"/>
          <w:sz w:val="22"/>
          <w:szCs w:val="22"/>
        </w:rPr>
        <w:t xml:space="preserve"> x</w:t>
      </w:r>
      <w:r w:rsidRPr="00BD15C8">
        <w:rPr>
          <w:rFonts w:eastAsia="Arial"/>
          <w:sz w:val="22"/>
          <w:szCs w:val="22"/>
          <w:vertAlign w:val="subscript"/>
        </w:rPr>
        <w:t>i</w:t>
      </w:r>
      <w:r w:rsidRPr="00BD15C8">
        <w:rPr>
          <w:rFonts w:eastAsia="Arial"/>
          <w:sz w:val="22"/>
          <w:szCs w:val="22"/>
        </w:rPr>
        <w:t xml:space="preserve"> (i = 1</w:t>
      </w:r>
      <w:r>
        <w:rPr>
          <w:rFonts w:eastAsia="Arial"/>
          <w:sz w:val="22"/>
          <w:szCs w:val="22"/>
        </w:rPr>
        <w:t xml:space="preserve">, ..., </w:t>
      </w:r>
      <w:r w:rsidRPr="00BD15C8">
        <w:rPr>
          <w:rFonts w:eastAsia="Arial"/>
          <w:sz w:val="22"/>
          <w:szCs w:val="22"/>
        </w:rPr>
        <w:t>10) az adott hároméves periódusra vonatkozó érték.</w:t>
      </w:r>
    </w:p>
    <w:p w14:paraId="32CBF86A" w14:textId="77777777" w:rsidR="00FD0545" w:rsidRDefault="00FD0545" w:rsidP="00FD0545">
      <w:pPr>
        <w:spacing w:line="0" w:lineRule="atLeast"/>
        <w:ind w:firstLine="284"/>
        <w:rPr>
          <w:rFonts w:eastAsia="Arial"/>
          <w:sz w:val="22"/>
          <w:szCs w:val="22"/>
        </w:rPr>
      </w:pPr>
      <w:r w:rsidRPr="00BD15C8">
        <w:rPr>
          <w:rFonts w:eastAsia="Arial"/>
          <w:sz w:val="22"/>
          <w:szCs w:val="22"/>
        </w:rPr>
        <w:t>A beosztástól függő TÉR pontot az alábbi képlet alapján kapjuk:</w:t>
      </w:r>
    </w:p>
    <w:p w14:paraId="5605DAA4" w14:textId="77777777" w:rsidR="00FD0545" w:rsidRDefault="00FD0545" w:rsidP="00FD0545">
      <w:pPr>
        <w:spacing w:line="0" w:lineRule="atLeast"/>
        <w:ind w:firstLine="284"/>
        <w:jc w:val="center"/>
        <w:rPr>
          <w:rFonts w:eastAsia="Arial"/>
          <w:sz w:val="22"/>
          <w:szCs w:val="22"/>
        </w:rPr>
      </w:pPr>
      <w:r w:rsidRPr="00CA5E30">
        <w:rPr>
          <w:noProof/>
        </w:rPr>
        <w:drawing>
          <wp:inline distT="0" distB="0" distL="0" distR="0" wp14:anchorId="03A7E916" wp14:editId="5BA5B015">
            <wp:extent cx="1337945" cy="42354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945" cy="423545"/>
                    </a:xfrm>
                    <a:prstGeom prst="rect">
                      <a:avLst/>
                    </a:prstGeom>
                    <a:noFill/>
                    <a:ln>
                      <a:noFill/>
                    </a:ln>
                  </pic:spPr>
                </pic:pic>
              </a:graphicData>
            </a:graphic>
          </wp:inline>
        </w:drawing>
      </w:r>
    </w:p>
    <w:p w14:paraId="39A1A124" w14:textId="77777777" w:rsidR="00FD0545" w:rsidRDefault="00FD0545" w:rsidP="00FD0545">
      <w:pPr>
        <w:spacing w:line="289" w:lineRule="auto"/>
        <w:jc w:val="both"/>
        <w:rPr>
          <w:rFonts w:eastAsia="Arial"/>
          <w:sz w:val="22"/>
          <w:szCs w:val="22"/>
        </w:rPr>
      </w:pPr>
      <w:proofErr w:type="gramStart"/>
      <w:r w:rsidRPr="00BD15C8">
        <w:rPr>
          <w:rFonts w:eastAsia="Arial"/>
          <w:sz w:val="22"/>
          <w:szCs w:val="22"/>
        </w:rPr>
        <w:t>ahol</w:t>
      </w:r>
      <w:proofErr w:type="gramEnd"/>
      <w:r w:rsidRPr="00BD15C8">
        <w:rPr>
          <w:rFonts w:eastAsia="Arial"/>
          <w:sz w:val="22"/>
          <w:szCs w:val="22"/>
        </w:rPr>
        <w:t xml:space="preserve"> y értéke a beosztás függően a következőképpen alakul hároméves </w:t>
      </w:r>
      <w:proofErr w:type="spellStart"/>
      <w:r w:rsidRPr="00BD15C8">
        <w:rPr>
          <w:rFonts w:eastAsia="Arial"/>
          <w:sz w:val="22"/>
          <w:szCs w:val="22"/>
        </w:rPr>
        <w:t>csúszóperiódus</w:t>
      </w:r>
      <w:proofErr w:type="spellEnd"/>
      <w:r w:rsidRPr="00BD15C8">
        <w:rPr>
          <w:rFonts w:eastAsia="Arial"/>
          <w:sz w:val="22"/>
          <w:szCs w:val="22"/>
        </w:rPr>
        <w:t xml:space="preserve"> esetén: egyetemi tanár, tudományos tanácsadó esetén 24; egyetemi docens, tudományos főmunkatárs esetén 20; adjunktus, tudományos munkatárs esetén 12; tanársegéd, tudományos segédmunkatárs esetén 7.</w:t>
      </w:r>
    </w:p>
    <w:p w14:paraId="08AFBA92" w14:textId="77777777" w:rsidR="00FD0545" w:rsidRPr="00BD15C8" w:rsidRDefault="00FD0545" w:rsidP="00FD0545">
      <w:pPr>
        <w:spacing w:line="289" w:lineRule="auto"/>
        <w:jc w:val="both"/>
        <w:rPr>
          <w:rFonts w:eastAsia="Arial"/>
          <w:sz w:val="22"/>
          <w:szCs w:val="22"/>
        </w:rPr>
      </w:pPr>
    </w:p>
    <w:p w14:paraId="58953A5F" w14:textId="77777777" w:rsidR="00827537" w:rsidRPr="00E878FB" w:rsidRDefault="00827537" w:rsidP="00FD0545">
      <w:pPr>
        <w:spacing w:line="0" w:lineRule="atLeast"/>
        <w:ind w:firstLine="284"/>
        <w:jc w:val="both"/>
        <w:rPr>
          <w:b/>
          <w:bCs/>
          <w:sz w:val="22"/>
        </w:rPr>
      </w:pPr>
      <w:r w:rsidRPr="00E878FB">
        <w:rPr>
          <w:b/>
          <w:bCs/>
          <w:sz w:val="22"/>
        </w:rPr>
        <w:t>Földrajzi és Földtudományi Intézet</w:t>
      </w:r>
    </w:p>
    <w:p w14:paraId="6FED255A" w14:textId="77777777" w:rsidR="00FD0545" w:rsidRPr="00415690" w:rsidRDefault="00FD0545" w:rsidP="00FD0545">
      <w:pPr>
        <w:spacing w:line="0" w:lineRule="atLeast"/>
        <w:ind w:firstLine="284"/>
        <w:jc w:val="both"/>
        <w:rPr>
          <w:rFonts w:eastAsia="Arial"/>
          <w:b/>
          <w:sz w:val="22"/>
          <w:szCs w:val="22"/>
        </w:rPr>
      </w:pPr>
      <w:r w:rsidRPr="00BD15C8">
        <w:rPr>
          <w:rFonts w:eastAsia="Arial"/>
          <w:sz w:val="22"/>
          <w:szCs w:val="22"/>
        </w:rPr>
        <w:t>Az MTA Földtudományok Osztálya me</w:t>
      </w:r>
      <w:r>
        <w:rPr>
          <w:rFonts w:eastAsia="Arial"/>
          <w:sz w:val="22"/>
          <w:szCs w:val="22"/>
        </w:rPr>
        <w:t xml:space="preserve">ghatározza azokat a </w:t>
      </w:r>
      <w:proofErr w:type="spellStart"/>
      <w:r>
        <w:rPr>
          <w:rFonts w:eastAsia="Arial"/>
          <w:sz w:val="22"/>
          <w:szCs w:val="22"/>
        </w:rPr>
        <w:t>DSc</w:t>
      </w:r>
      <w:proofErr w:type="spellEnd"/>
      <w:r>
        <w:rPr>
          <w:rFonts w:eastAsia="Arial"/>
          <w:sz w:val="22"/>
          <w:szCs w:val="22"/>
        </w:rPr>
        <w:t xml:space="preserve"> cím meg</w:t>
      </w:r>
      <w:r w:rsidRPr="00BD15C8">
        <w:rPr>
          <w:rFonts w:eastAsia="Arial"/>
          <w:sz w:val="22"/>
          <w:szCs w:val="22"/>
        </w:rPr>
        <w:t>szerzéséhez szükséges követelményeket szakterületenként, amelyek teljesítési minimumként fogalmazódnak meg.</w:t>
      </w:r>
      <w:r>
        <w:rPr>
          <w:rStyle w:val="Lbjegyzet-hivatkozs"/>
          <w:rFonts w:eastAsia="Arial"/>
          <w:sz w:val="22"/>
          <w:szCs w:val="22"/>
        </w:rPr>
        <w:footnoteReference w:id="489"/>
      </w:r>
      <w:r w:rsidRPr="00BD15C8">
        <w:rPr>
          <w:rFonts w:eastAsia="Arial"/>
          <w:sz w:val="22"/>
          <w:szCs w:val="22"/>
        </w:rPr>
        <w:t xml:space="preserve"> Ezek a követelmények kiterjednek az összes publikáció számára (x</w:t>
      </w:r>
      <w:r w:rsidRPr="00BD15C8">
        <w:rPr>
          <w:rFonts w:eastAsia="Arial"/>
          <w:sz w:val="22"/>
          <w:szCs w:val="22"/>
          <w:vertAlign w:val="subscript"/>
        </w:rPr>
        <w:t>1</w:t>
      </w:r>
      <w:r w:rsidRPr="00BD15C8">
        <w:rPr>
          <w:rFonts w:eastAsia="Arial"/>
          <w:sz w:val="22"/>
          <w:szCs w:val="22"/>
        </w:rPr>
        <w:t>), az elsőszerzős közlemények számára (x</w:t>
      </w:r>
      <w:r w:rsidRPr="00BD15C8">
        <w:rPr>
          <w:rFonts w:eastAsia="Arial"/>
          <w:sz w:val="22"/>
          <w:szCs w:val="22"/>
          <w:vertAlign w:val="subscript"/>
        </w:rPr>
        <w:t>2</w:t>
      </w:r>
      <w:r w:rsidRPr="00BD15C8">
        <w:rPr>
          <w:rFonts w:eastAsia="Arial"/>
          <w:sz w:val="22"/>
          <w:szCs w:val="22"/>
        </w:rPr>
        <w:t xml:space="preserve">), a </w:t>
      </w:r>
      <w:proofErr w:type="spellStart"/>
      <w:r w:rsidRPr="00BD15C8">
        <w:rPr>
          <w:rFonts w:eastAsia="Arial"/>
          <w:sz w:val="22"/>
          <w:szCs w:val="22"/>
        </w:rPr>
        <w:t>Scopus</w:t>
      </w:r>
      <w:proofErr w:type="spellEnd"/>
      <w:r w:rsidRPr="00BD15C8">
        <w:rPr>
          <w:rFonts w:eastAsia="Arial"/>
          <w:sz w:val="22"/>
          <w:szCs w:val="22"/>
        </w:rPr>
        <w:t>/SCI adatbázisokban megjelenő publikációk számára (x</w:t>
      </w:r>
      <w:r w:rsidRPr="00BD15C8">
        <w:rPr>
          <w:rFonts w:eastAsia="Arial"/>
          <w:sz w:val="22"/>
          <w:szCs w:val="22"/>
          <w:vertAlign w:val="subscript"/>
        </w:rPr>
        <w:t>3</w:t>
      </w:r>
      <w:r>
        <w:rPr>
          <w:rFonts w:eastAsia="Arial"/>
          <w:sz w:val="22"/>
          <w:szCs w:val="22"/>
        </w:rPr>
        <w:t>) és az összeg</w:t>
      </w:r>
      <w:r w:rsidRPr="00BD15C8">
        <w:rPr>
          <w:rFonts w:eastAsia="Arial"/>
          <w:sz w:val="22"/>
          <w:szCs w:val="22"/>
        </w:rPr>
        <w:t xml:space="preserve">zett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w:t>
      </w:r>
      <w:proofErr w:type="gramEnd"/>
      <w:r w:rsidRPr="00BD15C8">
        <w:rPr>
          <w:rFonts w:eastAsia="Arial"/>
          <w:sz w:val="22"/>
          <w:szCs w:val="22"/>
        </w:rPr>
        <w:t xml:space="preserve"> értékére (x</w:t>
      </w:r>
      <w:r w:rsidRPr="00BD15C8">
        <w:rPr>
          <w:rFonts w:eastAsia="Arial"/>
          <w:sz w:val="22"/>
          <w:szCs w:val="22"/>
          <w:vertAlign w:val="subscript"/>
        </w:rPr>
        <w:t>4</w:t>
      </w:r>
      <w:r w:rsidRPr="00BD15C8">
        <w:rPr>
          <w:rFonts w:eastAsia="Arial"/>
          <w:sz w:val="22"/>
          <w:szCs w:val="22"/>
        </w:rPr>
        <w:t xml:space="preserve">) minden egyes </w:t>
      </w:r>
      <w:proofErr w:type="spellStart"/>
      <w:r w:rsidRPr="00BD15C8">
        <w:rPr>
          <w:rFonts w:eastAsia="Arial"/>
          <w:sz w:val="22"/>
          <w:szCs w:val="22"/>
        </w:rPr>
        <w:t>alterületen</w:t>
      </w:r>
      <w:proofErr w:type="spellEnd"/>
      <w:r w:rsidRPr="00BD15C8">
        <w:rPr>
          <w:rFonts w:eastAsia="Arial"/>
          <w:sz w:val="22"/>
          <w:szCs w:val="22"/>
        </w:rPr>
        <w:t xml:space="preserve">. Amennyiben </w:t>
      </w:r>
      <w:proofErr w:type="spellStart"/>
      <w:r w:rsidRPr="00BD15C8">
        <w:rPr>
          <w:rFonts w:eastAsia="Arial"/>
          <w:sz w:val="22"/>
          <w:szCs w:val="22"/>
        </w:rPr>
        <w:t>x</w:t>
      </w:r>
      <w:r w:rsidRPr="00BD15C8">
        <w:rPr>
          <w:rFonts w:eastAsia="Arial"/>
          <w:sz w:val="22"/>
          <w:szCs w:val="22"/>
          <w:vertAlign w:val="subscript"/>
        </w:rPr>
        <w:t>j</w:t>
      </w:r>
      <w:proofErr w:type="spellEnd"/>
      <w:r w:rsidRPr="00BD15C8">
        <w:rPr>
          <w:rFonts w:eastAsia="Arial"/>
          <w:sz w:val="22"/>
          <w:szCs w:val="22"/>
        </w:rPr>
        <w:t xml:space="preserve"> jelenti a követelmény minimumot (j értéke lehet 1, 2, 3 vagy 4), úgy az adott részpontok alapján a tudományos TÉR pont az alábbi képlet alapján számítható:</w:t>
      </w:r>
    </w:p>
    <w:p w14:paraId="77BEDB8A" w14:textId="77777777" w:rsidR="00FD0545" w:rsidRDefault="00FD0545" w:rsidP="00FD0545">
      <w:pPr>
        <w:spacing w:line="224" w:lineRule="auto"/>
        <w:jc w:val="both"/>
        <w:rPr>
          <w:rFonts w:eastAsia="Arial"/>
          <w:sz w:val="22"/>
          <w:szCs w:val="22"/>
        </w:rPr>
      </w:pPr>
    </w:p>
    <w:p w14:paraId="6FF9220F" w14:textId="77777777" w:rsidR="00FD0545" w:rsidRDefault="00FD0545" w:rsidP="00FD0545">
      <w:pPr>
        <w:spacing w:line="224" w:lineRule="auto"/>
        <w:ind w:firstLine="284"/>
        <w:jc w:val="center"/>
        <w:rPr>
          <w:rFonts w:eastAsia="Arial"/>
          <w:sz w:val="22"/>
          <w:szCs w:val="22"/>
        </w:rPr>
      </w:pPr>
      <w:r>
        <w:rPr>
          <w:rFonts w:eastAsia="Arial"/>
          <w:noProof/>
          <w:sz w:val="22"/>
          <w:szCs w:val="22"/>
        </w:rPr>
        <w:lastRenderedPageBreak/>
        <w:drawing>
          <wp:inline distT="0" distB="0" distL="0" distR="0" wp14:anchorId="7E60ED37" wp14:editId="67796425">
            <wp:extent cx="3345180" cy="747395"/>
            <wp:effectExtent l="0" t="0" r="7620" b="0"/>
            <wp:docPr id="9" name="Kép 9" descr="képl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éple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180" cy="747395"/>
                    </a:xfrm>
                    <a:prstGeom prst="rect">
                      <a:avLst/>
                    </a:prstGeom>
                    <a:noFill/>
                    <a:ln>
                      <a:noFill/>
                    </a:ln>
                  </pic:spPr>
                </pic:pic>
              </a:graphicData>
            </a:graphic>
          </wp:inline>
        </w:drawing>
      </w:r>
    </w:p>
    <w:p w14:paraId="439C8D10" w14:textId="77777777" w:rsidR="00FD0545" w:rsidRDefault="00FD0545" w:rsidP="00FD0545">
      <w:pPr>
        <w:spacing w:line="224" w:lineRule="auto"/>
        <w:ind w:firstLine="284"/>
        <w:jc w:val="both"/>
        <w:rPr>
          <w:rFonts w:eastAsia="Arial"/>
          <w:sz w:val="22"/>
          <w:szCs w:val="22"/>
        </w:rPr>
      </w:pPr>
    </w:p>
    <w:p w14:paraId="67DC8324" w14:textId="77777777" w:rsidR="00FD0545" w:rsidRPr="007336B9" w:rsidRDefault="00FD0545" w:rsidP="00FD0545">
      <w:pPr>
        <w:spacing w:line="224" w:lineRule="auto"/>
        <w:ind w:firstLine="284"/>
        <w:jc w:val="both"/>
        <w:rPr>
          <w:rFonts w:eastAsia="Arial"/>
          <w:sz w:val="22"/>
          <w:szCs w:val="22"/>
        </w:rPr>
      </w:pPr>
      <w:r w:rsidRPr="00BD15C8">
        <w:rPr>
          <w:rFonts w:eastAsia="Arial"/>
          <w:sz w:val="22"/>
          <w:szCs w:val="22"/>
        </w:rPr>
        <w:t xml:space="preserve">ahol </w:t>
      </w:r>
      <w:proofErr w:type="spellStart"/>
      <w:r w:rsidRPr="00BD15C8">
        <w:rPr>
          <w:rFonts w:eastAsia="Arial"/>
          <w:sz w:val="22"/>
          <w:szCs w:val="22"/>
        </w:rPr>
        <w:t>x</w:t>
      </w:r>
      <w:r>
        <w:rPr>
          <w:rFonts w:eastAsia="Arial"/>
          <w:sz w:val="22"/>
          <w:szCs w:val="22"/>
          <w:vertAlign w:val="subscript"/>
        </w:rPr>
        <w:t>j,</w:t>
      </w:r>
      <w:r w:rsidRPr="00BD15C8">
        <w:rPr>
          <w:rFonts w:eastAsia="Arial"/>
          <w:sz w:val="22"/>
          <w:szCs w:val="22"/>
          <w:vertAlign w:val="subscript"/>
        </w:rPr>
        <w:t>o</w:t>
      </w:r>
      <w:proofErr w:type="spellEnd"/>
      <w:r w:rsidRPr="00BD15C8">
        <w:rPr>
          <w:rFonts w:eastAsia="Arial"/>
          <w:sz w:val="22"/>
          <w:szCs w:val="22"/>
        </w:rPr>
        <w:t xml:space="preserve"> az oktató </w:t>
      </w:r>
      <w:proofErr w:type="gramStart"/>
      <w:r w:rsidRPr="00BD15C8">
        <w:rPr>
          <w:rFonts w:eastAsia="Arial"/>
          <w:sz w:val="22"/>
          <w:szCs w:val="22"/>
        </w:rPr>
        <w:t>produktuma</w:t>
      </w:r>
      <w:proofErr w:type="gramEnd"/>
      <w:r w:rsidRPr="00BD15C8">
        <w:rPr>
          <w:rFonts w:eastAsia="Arial"/>
          <w:sz w:val="22"/>
          <w:szCs w:val="22"/>
        </w:rPr>
        <w:t xml:space="preserve"> a háromé</w:t>
      </w:r>
      <w:r>
        <w:rPr>
          <w:rFonts w:eastAsia="Arial"/>
          <w:sz w:val="22"/>
          <w:szCs w:val="22"/>
        </w:rPr>
        <w:t xml:space="preserve">ves </w:t>
      </w:r>
      <w:proofErr w:type="spellStart"/>
      <w:r>
        <w:rPr>
          <w:rFonts w:eastAsia="Arial"/>
          <w:sz w:val="22"/>
          <w:szCs w:val="22"/>
        </w:rPr>
        <w:t>csúszóperiódusban</w:t>
      </w:r>
      <w:proofErr w:type="spellEnd"/>
      <w:r>
        <w:rPr>
          <w:rFonts w:eastAsia="Arial"/>
          <w:sz w:val="22"/>
          <w:szCs w:val="22"/>
        </w:rPr>
        <w:t>, valamint ∑</w:t>
      </w:r>
      <w:r w:rsidRPr="008C75EA">
        <w:rPr>
          <w:rFonts w:eastAsia="Arial"/>
          <w:sz w:val="22"/>
          <w:szCs w:val="22"/>
          <w:vertAlign w:val="superscript"/>
        </w:rPr>
        <w:t>4</w:t>
      </w:r>
      <w:r w:rsidRPr="00BD15C8">
        <w:rPr>
          <w:rFonts w:eastAsia="Arial"/>
          <w:sz w:val="22"/>
          <w:szCs w:val="22"/>
          <w:vertAlign w:val="subscript"/>
        </w:rPr>
        <w:t>j=</w:t>
      </w:r>
      <w:r w:rsidRPr="0002797B">
        <w:rPr>
          <w:rFonts w:eastAsia="Arial"/>
          <w:sz w:val="22"/>
          <w:szCs w:val="22"/>
          <w:vertAlign w:val="subscript"/>
        </w:rPr>
        <w:t>1</w:t>
      </w:r>
      <w:r w:rsidRPr="00BD15C8">
        <w:rPr>
          <w:rFonts w:eastAsia="Arial"/>
          <w:sz w:val="22"/>
          <w:szCs w:val="22"/>
        </w:rPr>
        <w:t xml:space="preserve"> </w:t>
      </w:r>
      <w:proofErr w:type="spellStart"/>
      <w:r w:rsidRPr="00BD15C8">
        <w:rPr>
          <w:rFonts w:eastAsia="Arial"/>
          <w:sz w:val="22"/>
          <w:szCs w:val="22"/>
        </w:rPr>
        <w:t>w</w:t>
      </w:r>
      <w:r w:rsidRPr="00BD15C8">
        <w:rPr>
          <w:rFonts w:eastAsia="Arial"/>
          <w:sz w:val="22"/>
          <w:szCs w:val="22"/>
          <w:vertAlign w:val="subscript"/>
        </w:rPr>
        <w:t>j</w:t>
      </w:r>
      <w:proofErr w:type="spellEnd"/>
      <w:r w:rsidRPr="00BD15C8">
        <w:rPr>
          <w:rFonts w:eastAsia="Arial"/>
          <w:sz w:val="22"/>
          <w:szCs w:val="22"/>
        </w:rPr>
        <w:t xml:space="preserve"> = 1 egyenlőség fennáll. A </w:t>
      </w:r>
      <w:r w:rsidR="00827537" w:rsidRPr="00827537">
        <w:rPr>
          <w:bCs/>
          <w:sz w:val="22"/>
        </w:rPr>
        <w:t>Földrajzi és Földtudományi Intézet</w:t>
      </w:r>
      <w:r w:rsidR="00827537" w:rsidRPr="00827537">
        <w:rPr>
          <w:b/>
          <w:bCs/>
          <w:sz w:val="22"/>
        </w:rPr>
        <w:t xml:space="preserve"> </w:t>
      </w:r>
      <w:r>
        <w:rPr>
          <w:rFonts w:eastAsia="Arial"/>
          <w:sz w:val="22"/>
          <w:szCs w:val="22"/>
        </w:rPr>
        <w:t xml:space="preserve">döntésének értelmében </w:t>
      </w:r>
      <w:r w:rsidRPr="00BD15C8">
        <w:rPr>
          <w:rFonts w:eastAsia="Arial"/>
          <w:sz w:val="22"/>
          <w:szCs w:val="22"/>
        </w:rPr>
        <w:t>w</w:t>
      </w:r>
      <w:r w:rsidRPr="00BD15C8">
        <w:rPr>
          <w:rFonts w:eastAsia="Arial"/>
          <w:sz w:val="22"/>
          <w:szCs w:val="22"/>
          <w:vertAlign w:val="subscript"/>
        </w:rPr>
        <w:t>1</w:t>
      </w:r>
      <w:r w:rsidRPr="00BD15C8">
        <w:rPr>
          <w:rFonts w:eastAsia="Arial"/>
          <w:sz w:val="22"/>
          <w:szCs w:val="22"/>
        </w:rPr>
        <w:t xml:space="preserve"> = w</w:t>
      </w:r>
      <w:r w:rsidRPr="00BD15C8">
        <w:rPr>
          <w:rFonts w:eastAsia="Arial"/>
          <w:sz w:val="22"/>
          <w:szCs w:val="22"/>
          <w:vertAlign w:val="subscript"/>
        </w:rPr>
        <w:t>2</w:t>
      </w:r>
      <w:r w:rsidRPr="00BD15C8">
        <w:rPr>
          <w:rFonts w:eastAsia="Arial"/>
          <w:sz w:val="22"/>
          <w:szCs w:val="22"/>
        </w:rPr>
        <w:t xml:space="preserve"> = w</w:t>
      </w:r>
      <w:r w:rsidRPr="00BD15C8">
        <w:rPr>
          <w:rFonts w:eastAsia="Arial"/>
          <w:sz w:val="22"/>
          <w:szCs w:val="22"/>
          <w:vertAlign w:val="subscript"/>
        </w:rPr>
        <w:t>3</w:t>
      </w:r>
      <w:r w:rsidRPr="00BD15C8">
        <w:rPr>
          <w:rFonts w:eastAsia="Arial"/>
          <w:sz w:val="22"/>
          <w:szCs w:val="22"/>
        </w:rPr>
        <w:t xml:space="preserve"> = w</w:t>
      </w:r>
      <w:r w:rsidRPr="00BD15C8">
        <w:rPr>
          <w:rFonts w:eastAsia="Arial"/>
          <w:sz w:val="22"/>
          <w:szCs w:val="22"/>
          <w:vertAlign w:val="subscript"/>
        </w:rPr>
        <w:t>4</w:t>
      </w:r>
      <w:r w:rsidRPr="00BD15C8">
        <w:rPr>
          <w:rFonts w:eastAsia="Arial"/>
          <w:sz w:val="22"/>
          <w:szCs w:val="22"/>
        </w:rPr>
        <w:t xml:space="preserve"> </w:t>
      </w:r>
      <w:r w:rsidRPr="007336B9">
        <w:rPr>
          <w:rFonts w:eastAsia="Arial"/>
          <w:sz w:val="22"/>
          <w:szCs w:val="22"/>
        </w:rPr>
        <w:t xml:space="preserve">= </w:t>
      </w:r>
      <w:r w:rsidRPr="007336B9">
        <w:rPr>
          <w:rFonts w:eastAsia="Arial"/>
          <w:sz w:val="18"/>
          <w:szCs w:val="22"/>
        </w:rPr>
        <w:t>1/4</w:t>
      </w:r>
    </w:p>
    <w:p w14:paraId="119FDE3D" w14:textId="77777777" w:rsidR="00FD0545" w:rsidRPr="007336B9" w:rsidRDefault="00FD0545" w:rsidP="00FD0545">
      <w:pPr>
        <w:spacing w:line="232" w:lineRule="exact"/>
        <w:rPr>
          <w:sz w:val="22"/>
          <w:szCs w:val="22"/>
        </w:rPr>
      </w:pPr>
    </w:p>
    <w:p w14:paraId="3D1D7BB0" w14:textId="77777777" w:rsidR="00FD0545" w:rsidRDefault="00FD0545" w:rsidP="00FD0545">
      <w:pPr>
        <w:spacing w:line="0" w:lineRule="atLeast"/>
        <w:ind w:left="284"/>
        <w:rPr>
          <w:rFonts w:eastAsia="Arial"/>
          <w:b/>
          <w:sz w:val="22"/>
          <w:szCs w:val="22"/>
        </w:rPr>
      </w:pPr>
      <w:r w:rsidRPr="0002797B">
        <w:rPr>
          <w:rFonts w:eastAsia="Arial"/>
          <w:b/>
          <w:sz w:val="22"/>
          <w:szCs w:val="22"/>
        </w:rPr>
        <w:t>Kémiai Intézet</w:t>
      </w:r>
    </w:p>
    <w:p w14:paraId="2F1EEB40" w14:textId="77777777" w:rsidR="00FD0545" w:rsidRPr="00415690" w:rsidRDefault="00FD0545" w:rsidP="00FD0545">
      <w:pPr>
        <w:spacing w:line="0" w:lineRule="atLeast"/>
        <w:ind w:firstLine="284"/>
        <w:jc w:val="both"/>
        <w:rPr>
          <w:rFonts w:eastAsia="Arial"/>
          <w:b/>
          <w:sz w:val="22"/>
          <w:szCs w:val="22"/>
        </w:rPr>
      </w:pPr>
      <w:r w:rsidRPr="00BD15C8">
        <w:rPr>
          <w:rFonts w:eastAsia="Arial"/>
          <w:sz w:val="22"/>
          <w:szCs w:val="22"/>
        </w:rPr>
        <w:t>Az MTA Kémiai Tudományok Osztálya meghatároz</w:t>
      </w:r>
      <w:r>
        <w:rPr>
          <w:rFonts w:eastAsia="Arial"/>
          <w:sz w:val="22"/>
          <w:szCs w:val="22"/>
        </w:rPr>
        <w:t>za azokat a követel</w:t>
      </w:r>
      <w:r w:rsidRPr="00BD15C8">
        <w:rPr>
          <w:rFonts w:eastAsia="Arial"/>
          <w:sz w:val="22"/>
          <w:szCs w:val="22"/>
        </w:rPr>
        <w:t>ményeket szakterületenként, amelyek tel</w:t>
      </w:r>
      <w:r>
        <w:rPr>
          <w:rFonts w:eastAsia="Arial"/>
          <w:sz w:val="22"/>
          <w:szCs w:val="22"/>
        </w:rPr>
        <w:t>jesítési minimumként fogalmazód</w:t>
      </w:r>
      <w:r w:rsidRPr="00BD15C8">
        <w:rPr>
          <w:rFonts w:eastAsia="Arial"/>
          <w:sz w:val="22"/>
          <w:szCs w:val="22"/>
        </w:rPr>
        <w:t xml:space="preserve">nak meg. Ezek a követelmények kiterjednek az összegzett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w:t>
      </w:r>
      <w:proofErr w:type="gramEnd"/>
      <w:r w:rsidRPr="00BD15C8">
        <w:rPr>
          <w:rFonts w:eastAsia="Arial"/>
          <w:sz w:val="22"/>
          <w:szCs w:val="22"/>
        </w:rPr>
        <w:t xml:space="preserve"> értékére (x</w:t>
      </w:r>
      <w:r w:rsidRPr="00BD15C8">
        <w:rPr>
          <w:rFonts w:eastAsia="Arial"/>
          <w:sz w:val="22"/>
          <w:szCs w:val="22"/>
          <w:vertAlign w:val="subscript"/>
        </w:rPr>
        <w:t>1</w:t>
      </w:r>
      <w:r w:rsidRPr="00BD15C8">
        <w:rPr>
          <w:rFonts w:eastAsia="Arial"/>
          <w:sz w:val="22"/>
          <w:szCs w:val="22"/>
        </w:rPr>
        <w:t>), a független hivatkozások számára (x</w:t>
      </w:r>
      <w:r w:rsidRPr="00BD15C8">
        <w:rPr>
          <w:rFonts w:eastAsia="Arial"/>
          <w:sz w:val="22"/>
          <w:szCs w:val="22"/>
          <w:vertAlign w:val="subscript"/>
        </w:rPr>
        <w:t>2</w:t>
      </w:r>
      <w:r>
        <w:rPr>
          <w:rFonts w:eastAsia="Arial"/>
          <w:sz w:val="22"/>
          <w:szCs w:val="22"/>
        </w:rPr>
        <w:t>) és a tudományos pub</w:t>
      </w:r>
      <w:r w:rsidRPr="00BD15C8">
        <w:rPr>
          <w:rFonts w:eastAsia="Arial"/>
          <w:sz w:val="22"/>
          <w:szCs w:val="22"/>
        </w:rPr>
        <w:t>likációk számára (x</w:t>
      </w:r>
      <w:r w:rsidRPr="00BD15C8">
        <w:rPr>
          <w:rFonts w:eastAsia="Arial"/>
          <w:sz w:val="22"/>
          <w:szCs w:val="22"/>
          <w:vertAlign w:val="subscript"/>
        </w:rPr>
        <w:t>3</w:t>
      </w:r>
      <w:r w:rsidRPr="00BD15C8">
        <w:rPr>
          <w:rFonts w:eastAsia="Arial"/>
          <w:sz w:val="22"/>
          <w:szCs w:val="22"/>
        </w:rPr>
        <w:t xml:space="preserve">) minden egyes </w:t>
      </w:r>
      <w:proofErr w:type="spellStart"/>
      <w:r w:rsidRPr="00BD15C8">
        <w:rPr>
          <w:rFonts w:eastAsia="Arial"/>
          <w:sz w:val="22"/>
          <w:szCs w:val="22"/>
        </w:rPr>
        <w:t>alterületen</w:t>
      </w:r>
      <w:proofErr w:type="spellEnd"/>
      <w:r w:rsidRPr="00BD15C8">
        <w:rPr>
          <w:rFonts w:eastAsia="Arial"/>
          <w:sz w:val="22"/>
          <w:szCs w:val="22"/>
        </w:rPr>
        <w:t xml:space="preserve">. Amennyiben </w:t>
      </w:r>
      <w:proofErr w:type="spellStart"/>
      <w:r w:rsidRPr="00BD15C8">
        <w:rPr>
          <w:rFonts w:eastAsia="Arial"/>
          <w:sz w:val="22"/>
          <w:szCs w:val="22"/>
        </w:rPr>
        <w:t>x</w:t>
      </w:r>
      <w:r w:rsidRPr="00BD15C8">
        <w:rPr>
          <w:rFonts w:eastAsia="Arial"/>
          <w:sz w:val="22"/>
          <w:szCs w:val="22"/>
          <w:vertAlign w:val="subscript"/>
        </w:rPr>
        <w:t>j</w:t>
      </w:r>
      <w:proofErr w:type="spellEnd"/>
      <w:r w:rsidRPr="00BD15C8">
        <w:rPr>
          <w:rFonts w:eastAsia="Arial"/>
          <w:sz w:val="22"/>
          <w:szCs w:val="22"/>
        </w:rPr>
        <w:t xml:space="preserve"> jelenti a követelmény minimumot (j értéke lehet 1, </w:t>
      </w:r>
      <w:r>
        <w:rPr>
          <w:rFonts w:eastAsia="Arial"/>
          <w:sz w:val="22"/>
          <w:szCs w:val="22"/>
        </w:rPr>
        <w:t>2 vagy 3), úgy az adott részpon</w:t>
      </w:r>
      <w:r w:rsidRPr="00BD15C8">
        <w:rPr>
          <w:rFonts w:eastAsia="Arial"/>
          <w:sz w:val="22"/>
          <w:szCs w:val="22"/>
        </w:rPr>
        <w:t>tok alapján a tudományos TÉR pont alábbi képlet alapján számíthatók:</w:t>
      </w:r>
    </w:p>
    <w:p w14:paraId="5033C7B2" w14:textId="77777777" w:rsidR="00FD0545" w:rsidRPr="00BD15C8" w:rsidRDefault="00FD0545" w:rsidP="00FD0545">
      <w:pPr>
        <w:spacing w:line="241" w:lineRule="auto"/>
        <w:ind w:firstLine="284"/>
        <w:jc w:val="center"/>
        <w:rPr>
          <w:rFonts w:eastAsia="Arial"/>
          <w:sz w:val="22"/>
          <w:szCs w:val="22"/>
        </w:rPr>
      </w:pPr>
      <w:r w:rsidRPr="00CA5E30">
        <w:rPr>
          <w:noProof/>
        </w:rPr>
        <w:drawing>
          <wp:inline distT="0" distB="0" distL="0" distR="0" wp14:anchorId="3703C160" wp14:editId="261E42DD">
            <wp:extent cx="1717040" cy="412750"/>
            <wp:effectExtent l="0" t="0" r="0" b="635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040" cy="412750"/>
                    </a:xfrm>
                    <a:prstGeom prst="rect">
                      <a:avLst/>
                    </a:prstGeom>
                    <a:noFill/>
                    <a:ln>
                      <a:noFill/>
                    </a:ln>
                  </pic:spPr>
                </pic:pic>
              </a:graphicData>
            </a:graphic>
          </wp:inline>
        </w:drawing>
      </w:r>
    </w:p>
    <w:p w14:paraId="6D80E282" w14:textId="77777777" w:rsidR="00FD0545" w:rsidRPr="007336B9" w:rsidRDefault="00FD0545" w:rsidP="00FD0545">
      <w:pPr>
        <w:spacing w:line="206" w:lineRule="auto"/>
        <w:ind w:firstLine="284"/>
        <w:jc w:val="both"/>
        <w:rPr>
          <w:rFonts w:eastAsia="Arial"/>
          <w:sz w:val="22"/>
          <w:szCs w:val="22"/>
        </w:rPr>
      </w:pPr>
      <w:r w:rsidRPr="00BD15C8">
        <w:rPr>
          <w:rFonts w:eastAsia="Arial"/>
          <w:sz w:val="22"/>
          <w:szCs w:val="22"/>
        </w:rPr>
        <w:t xml:space="preserve">ahol </w:t>
      </w:r>
      <w:proofErr w:type="spellStart"/>
      <w:r w:rsidRPr="00BD15C8">
        <w:rPr>
          <w:rFonts w:eastAsia="Arial"/>
          <w:sz w:val="22"/>
          <w:szCs w:val="22"/>
        </w:rPr>
        <w:t>x</w:t>
      </w:r>
      <w:r>
        <w:rPr>
          <w:rFonts w:eastAsia="Arial"/>
          <w:sz w:val="22"/>
          <w:szCs w:val="22"/>
          <w:vertAlign w:val="subscript"/>
        </w:rPr>
        <w:t>j,</w:t>
      </w:r>
      <w:r w:rsidRPr="00BD15C8">
        <w:rPr>
          <w:rFonts w:eastAsia="Arial"/>
          <w:sz w:val="22"/>
          <w:szCs w:val="22"/>
          <w:vertAlign w:val="subscript"/>
        </w:rPr>
        <w:t>o</w:t>
      </w:r>
      <w:proofErr w:type="spellEnd"/>
      <w:r w:rsidRPr="00BD15C8">
        <w:rPr>
          <w:rFonts w:eastAsia="Arial"/>
          <w:sz w:val="22"/>
          <w:szCs w:val="22"/>
        </w:rPr>
        <w:t xml:space="preserve"> az oktató </w:t>
      </w:r>
      <w:proofErr w:type="gramStart"/>
      <w:r w:rsidRPr="00BD15C8">
        <w:rPr>
          <w:rFonts w:eastAsia="Arial"/>
          <w:sz w:val="22"/>
          <w:szCs w:val="22"/>
        </w:rPr>
        <w:t>produktuma</w:t>
      </w:r>
      <w:proofErr w:type="gramEnd"/>
      <w:r w:rsidRPr="00BD15C8">
        <w:rPr>
          <w:rFonts w:eastAsia="Arial"/>
          <w:sz w:val="22"/>
          <w:szCs w:val="22"/>
        </w:rPr>
        <w:t xml:space="preserve"> a hároméves </w:t>
      </w:r>
      <w:proofErr w:type="spellStart"/>
      <w:r w:rsidRPr="00BD15C8">
        <w:rPr>
          <w:rFonts w:eastAsia="Arial"/>
          <w:sz w:val="22"/>
          <w:szCs w:val="22"/>
        </w:rPr>
        <w:t>csúszóperiódusban</w:t>
      </w:r>
      <w:proofErr w:type="spellEnd"/>
      <w:r w:rsidRPr="00BD15C8">
        <w:rPr>
          <w:rFonts w:eastAsia="Arial"/>
          <w:sz w:val="22"/>
          <w:szCs w:val="22"/>
        </w:rPr>
        <w:t xml:space="preserve"> minden egyes mutató esetén, valamint </w:t>
      </w:r>
      <w:r>
        <w:rPr>
          <w:rFonts w:eastAsia="Arial"/>
          <w:sz w:val="22"/>
          <w:szCs w:val="22"/>
        </w:rPr>
        <w:t>∑</w:t>
      </w:r>
      <w:r>
        <w:rPr>
          <w:rFonts w:eastAsia="Arial"/>
          <w:sz w:val="22"/>
          <w:szCs w:val="22"/>
          <w:vertAlign w:val="superscript"/>
        </w:rPr>
        <w:t>3</w:t>
      </w:r>
      <w:r w:rsidRPr="00BD15C8">
        <w:rPr>
          <w:rFonts w:eastAsia="Arial"/>
          <w:sz w:val="22"/>
          <w:szCs w:val="22"/>
          <w:vertAlign w:val="subscript"/>
        </w:rPr>
        <w:t>j=1</w:t>
      </w:r>
      <w:r w:rsidRPr="00BD15C8">
        <w:rPr>
          <w:rFonts w:eastAsia="Arial"/>
          <w:sz w:val="22"/>
          <w:szCs w:val="22"/>
        </w:rPr>
        <w:t xml:space="preserve"> </w:t>
      </w:r>
      <w:proofErr w:type="spellStart"/>
      <w:r w:rsidRPr="00BD15C8">
        <w:rPr>
          <w:rFonts w:eastAsia="Arial"/>
          <w:sz w:val="22"/>
          <w:szCs w:val="22"/>
        </w:rPr>
        <w:t>w</w:t>
      </w:r>
      <w:r w:rsidRPr="00BD15C8">
        <w:rPr>
          <w:rFonts w:eastAsia="Arial"/>
          <w:sz w:val="22"/>
          <w:szCs w:val="22"/>
          <w:vertAlign w:val="subscript"/>
        </w:rPr>
        <w:t>j</w:t>
      </w:r>
      <w:proofErr w:type="spellEnd"/>
      <w:r w:rsidRPr="00BD15C8">
        <w:rPr>
          <w:rFonts w:eastAsia="Arial"/>
          <w:sz w:val="22"/>
          <w:szCs w:val="22"/>
        </w:rPr>
        <w:t xml:space="preserve"> = 1 egyenlőség fennáll. A Kémiai Intézet döntésének értelmében w</w:t>
      </w:r>
      <w:r w:rsidRPr="00BD15C8">
        <w:rPr>
          <w:rFonts w:eastAsia="Arial"/>
          <w:sz w:val="22"/>
          <w:szCs w:val="22"/>
          <w:vertAlign w:val="subscript"/>
        </w:rPr>
        <w:t>1</w:t>
      </w:r>
      <w:r w:rsidRPr="00BD15C8">
        <w:rPr>
          <w:rFonts w:eastAsia="Arial"/>
          <w:sz w:val="22"/>
          <w:szCs w:val="22"/>
        </w:rPr>
        <w:t xml:space="preserve"> = w</w:t>
      </w:r>
      <w:r w:rsidRPr="00BD15C8">
        <w:rPr>
          <w:rFonts w:eastAsia="Arial"/>
          <w:sz w:val="22"/>
          <w:szCs w:val="22"/>
          <w:vertAlign w:val="subscript"/>
        </w:rPr>
        <w:t>2</w:t>
      </w:r>
      <w:r w:rsidRPr="00BD15C8">
        <w:rPr>
          <w:rFonts w:eastAsia="Arial"/>
          <w:sz w:val="22"/>
          <w:szCs w:val="22"/>
        </w:rPr>
        <w:t xml:space="preserve"> = w</w:t>
      </w:r>
      <w:r w:rsidRPr="00BD15C8">
        <w:rPr>
          <w:rFonts w:eastAsia="Arial"/>
          <w:sz w:val="22"/>
          <w:szCs w:val="22"/>
          <w:vertAlign w:val="subscript"/>
        </w:rPr>
        <w:t>3</w:t>
      </w:r>
      <w:r w:rsidRPr="00BD15C8">
        <w:rPr>
          <w:rFonts w:eastAsia="Arial"/>
          <w:sz w:val="22"/>
          <w:szCs w:val="22"/>
        </w:rPr>
        <w:t xml:space="preserve"> </w:t>
      </w:r>
      <w:r w:rsidRPr="007336B9">
        <w:rPr>
          <w:rFonts w:eastAsia="Arial"/>
          <w:sz w:val="22"/>
          <w:szCs w:val="22"/>
        </w:rPr>
        <w:t xml:space="preserve">= </w:t>
      </w:r>
      <w:r>
        <w:rPr>
          <w:rFonts w:eastAsia="Arial"/>
          <w:szCs w:val="22"/>
        </w:rPr>
        <w:t>⅓</w:t>
      </w:r>
    </w:p>
    <w:p w14:paraId="047E962F" w14:textId="77777777" w:rsidR="00FD0545" w:rsidRPr="00BD15C8" w:rsidRDefault="00FD0545" w:rsidP="00FD0545">
      <w:pPr>
        <w:spacing w:line="131" w:lineRule="exact"/>
        <w:rPr>
          <w:sz w:val="22"/>
          <w:szCs w:val="22"/>
        </w:rPr>
      </w:pPr>
    </w:p>
    <w:p w14:paraId="07542D6B" w14:textId="77777777" w:rsidR="00FD0545" w:rsidRDefault="00FD0545" w:rsidP="00FD0545">
      <w:pPr>
        <w:spacing w:line="0" w:lineRule="atLeast"/>
        <w:ind w:left="284"/>
        <w:rPr>
          <w:rFonts w:eastAsia="Arial"/>
          <w:b/>
          <w:sz w:val="22"/>
          <w:szCs w:val="22"/>
        </w:rPr>
      </w:pPr>
    </w:p>
    <w:p w14:paraId="435F1905" w14:textId="77777777" w:rsidR="00FD0545" w:rsidRDefault="00FD0545" w:rsidP="00FD0545">
      <w:pPr>
        <w:spacing w:line="0" w:lineRule="atLeast"/>
        <w:ind w:left="284"/>
        <w:rPr>
          <w:rFonts w:eastAsia="Arial"/>
          <w:b/>
          <w:sz w:val="22"/>
          <w:szCs w:val="22"/>
        </w:rPr>
      </w:pPr>
      <w:r w:rsidRPr="0002797B">
        <w:rPr>
          <w:rFonts w:eastAsia="Arial"/>
          <w:b/>
          <w:sz w:val="22"/>
          <w:szCs w:val="22"/>
        </w:rPr>
        <w:t>Matematikai és Informatikai Intézet</w:t>
      </w:r>
    </w:p>
    <w:p w14:paraId="324FA2AB" w14:textId="77777777" w:rsidR="00FD0545" w:rsidRDefault="00FD0545" w:rsidP="00FD0545">
      <w:pPr>
        <w:spacing w:line="0" w:lineRule="atLeast"/>
        <w:ind w:firstLine="284"/>
        <w:jc w:val="both"/>
        <w:rPr>
          <w:rFonts w:eastAsia="Arial"/>
          <w:sz w:val="22"/>
          <w:szCs w:val="22"/>
        </w:rPr>
      </w:pPr>
      <w:r w:rsidRPr="00BD15C8">
        <w:rPr>
          <w:rFonts w:eastAsia="Arial"/>
          <w:sz w:val="22"/>
          <w:szCs w:val="22"/>
        </w:rPr>
        <w:t>Jelen szabályozás azokra az oktatókra/kutatókra vonatkozik, akik arról nyilatkoznak, hogy az MTA III. Matematikai Tudományok Osztályához vagy az MTA VI. Műszaki Tudományok Osztályához kívánják akadémiai doktori dolgozatukat benyújtani. Akik más tudományterületet jelölnek meg, azokra a TTK más intézete által az adott tudományterületre kidolgozott szabály-rendszer vonatkozik.</w:t>
      </w:r>
    </w:p>
    <w:p w14:paraId="34204965" w14:textId="77777777" w:rsidR="00FD0545" w:rsidRDefault="00FD0545" w:rsidP="00FD0545">
      <w:pPr>
        <w:spacing w:line="262" w:lineRule="auto"/>
        <w:ind w:firstLine="351"/>
        <w:jc w:val="both"/>
        <w:rPr>
          <w:rFonts w:eastAsia="Arial"/>
          <w:sz w:val="22"/>
          <w:szCs w:val="22"/>
        </w:rPr>
      </w:pPr>
    </w:p>
    <w:p w14:paraId="55AC8846" w14:textId="77777777" w:rsidR="00FD0545" w:rsidRDefault="00FD0545" w:rsidP="00FD0545">
      <w:pPr>
        <w:spacing w:line="262" w:lineRule="auto"/>
        <w:ind w:firstLine="351"/>
        <w:jc w:val="both"/>
        <w:rPr>
          <w:rFonts w:eastAsia="Arial"/>
          <w:i/>
          <w:sz w:val="22"/>
          <w:szCs w:val="22"/>
        </w:rPr>
      </w:pPr>
      <w:r w:rsidRPr="0002797B">
        <w:rPr>
          <w:rFonts w:eastAsia="Arial"/>
          <w:i/>
          <w:sz w:val="22"/>
          <w:szCs w:val="22"/>
        </w:rPr>
        <w:t>A tudományos munka elbírálásának szempontjai az MTA III. Osztálya szerint:</w:t>
      </w:r>
    </w:p>
    <w:p w14:paraId="56F4C470" w14:textId="77777777" w:rsidR="00FD0545" w:rsidRPr="00BD15C8" w:rsidRDefault="00FD0545" w:rsidP="00F83E93">
      <w:pPr>
        <w:numPr>
          <w:ilvl w:val="0"/>
          <w:numId w:val="175"/>
        </w:numPr>
        <w:spacing w:line="256" w:lineRule="auto"/>
        <w:jc w:val="both"/>
        <w:rPr>
          <w:rFonts w:eastAsia="Arial"/>
          <w:sz w:val="22"/>
          <w:szCs w:val="22"/>
        </w:rPr>
      </w:pP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faktorral</w:t>
      </w:r>
      <w:proofErr w:type="gramEnd"/>
      <w:r w:rsidRPr="00BD15C8">
        <w:rPr>
          <w:rFonts w:eastAsia="Arial"/>
          <w:sz w:val="22"/>
          <w:szCs w:val="22"/>
        </w:rPr>
        <w:t>, vagy SSCI-</w:t>
      </w:r>
      <w:proofErr w:type="spellStart"/>
      <w:r w:rsidRPr="00BD15C8">
        <w:rPr>
          <w:rFonts w:eastAsia="Arial"/>
          <w:sz w:val="22"/>
          <w:szCs w:val="22"/>
        </w:rPr>
        <w:t>vel</w:t>
      </w:r>
      <w:proofErr w:type="spellEnd"/>
      <w:r w:rsidRPr="00BD15C8">
        <w:rPr>
          <w:rFonts w:eastAsia="Arial"/>
          <w:sz w:val="22"/>
          <w:szCs w:val="22"/>
        </w:rPr>
        <w:t xml:space="preserve"> rendelkező folyóiratok, vagy Q2, Q3 minősítéssel rendelkező folyóiratok esetéb</w:t>
      </w:r>
      <w:r>
        <w:rPr>
          <w:rFonts w:eastAsia="Arial"/>
          <w:sz w:val="22"/>
          <w:szCs w:val="22"/>
        </w:rPr>
        <w:t>en darabonként: 2 pont. Amennyi</w:t>
      </w:r>
      <w:r w:rsidRPr="00BD15C8">
        <w:rPr>
          <w:rFonts w:eastAsia="Arial"/>
          <w:sz w:val="22"/>
          <w:szCs w:val="22"/>
        </w:rPr>
        <w:t>ben a közlés a szakterület átlagát meghaladó IF-el (IF 0,2) rendelkező folyóiratban történt vagy Q1-es minősítésű, akkor darabonként 3 pont jár.</w:t>
      </w:r>
    </w:p>
    <w:p w14:paraId="0720E2D2" w14:textId="77777777" w:rsidR="00FD0545" w:rsidRPr="00BD15C8" w:rsidRDefault="00FD0545" w:rsidP="00F83E93">
      <w:pPr>
        <w:numPr>
          <w:ilvl w:val="0"/>
          <w:numId w:val="175"/>
        </w:numPr>
        <w:spacing w:line="262" w:lineRule="auto"/>
        <w:jc w:val="both"/>
        <w:rPr>
          <w:rFonts w:eastAsia="Arial"/>
          <w:sz w:val="22"/>
          <w:szCs w:val="22"/>
        </w:rPr>
      </w:pPr>
      <w:r w:rsidRPr="00BD15C8">
        <w:rPr>
          <w:rFonts w:eastAsia="Arial"/>
          <w:sz w:val="22"/>
          <w:szCs w:val="22"/>
        </w:rPr>
        <w:t xml:space="preserve">Referált,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faktorral</w:t>
      </w:r>
      <w:proofErr w:type="gramEnd"/>
      <w:r w:rsidRPr="00BD15C8">
        <w:rPr>
          <w:rFonts w:eastAsia="Arial"/>
          <w:sz w:val="22"/>
          <w:szCs w:val="22"/>
        </w:rPr>
        <w:t xml:space="preserve"> nem rendelkező folyóirat esetén, vagy Q4-es minősítésű újság, folyóirat, konferenciakiadvány (minimum 4 oldal) esetén darabonként 1,5 pont jár.</w:t>
      </w:r>
    </w:p>
    <w:p w14:paraId="13AA3582" w14:textId="77777777" w:rsidR="00FD0545" w:rsidRPr="00BD15C8" w:rsidRDefault="00FD0545" w:rsidP="00F83E93">
      <w:pPr>
        <w:numPr>
          <w:ilvl w:val="0"/>
          <w:numId w:val="175"/>
        </w:numPr>
        <w:spacing w:line="272" w:lineRule="auto"/>
        <w:jc w:val="both"/>
        <w:rPr>
          <w:rFonts w:eastAsia="Arial"/>
          <w:sz w:val="22"/>
          <w:szCs w:val="22"/>
        </w:rPr>
      </w:pPr>
      <w:r w:rsidRPr="00BD15C8">
        <w:rPr>
          <w:rFonts w:eastAsia="Arial"/>
          <w:sz w:val="22"/>
          <w:szCs w:val="22"/>
        </w:rPr>
        <w:t>Idegen nyelvű könyv esetén darabonként 5 pont, idegen nyelvű könyv-fejezet esetén darabonként 2 pont.</w:t>
      </w:r>
    </w:p>
    <w:p w14:paraId="03D37DF1" w14:textId="77777777" w:rsidR="00FD0545" w:rsidRPr="00BD15C8" w:rsidRDefault="00FD0545" w:rsidP="00F83E93">
      <w:pPr>
        <w:numPr>
          <w:ilvl w:val="0"/>
          <w:numId w:val="175"/>
        </w:numPr>
        <w:spacing w:line="272" w:lineRule="auto"/>
        <w:jc w:val="both"/>
        <w:rPr>
          <w:rFonts w:eastAsia="Arial"/>
          <w:sz w:val="22"/>
          <w:szCs w:val="22"/>
        </w:rPr>
      </w:pPr>
      <w:r w:rsidRPr="00BD15C8">
        <w:rPr>
          <w:rFonts w:eastAsia="Arial"/>
          <w:sz w:val="22"/>
          <w:szCs w:val="22"/>
        </w:rPr>
        <w:t xml:space="preserve">A hároméves </w:t>
      </w:r>
      <w:proofErr w:type="spellStart"/>
      <w:r w:rsidRPr="00BD15C8">
        <w:rPr>
          <w:rFonts w:eastAsia="Arial"/>
          <w:sz w:val="22"/>
          <w:szCs w:val="22"/>
        </w:rPr>
        <w:t>csúszóperiódusban</w:t>
      </w:r>
      <w:proofErr w:type="spellEnd"/>
      <w:r w:rsidRPr="00BD15C8">
        <w:rPr>
          <w:rFonts w:eastAsia="Arial"/>
          <w:sz w:val="22"/>
          <w:szCs w:val="22"/>
        </w:rPr>
        <w:t xml:space="preserve"> megjelent független hivatkozások után hivatkozásonként 0,3 pont számolható el.</w:t>
      </w:r>
    </w:p>
    <w:p w14:paraId="6393457D" w14:textId="77777777" w:rsidR="00FD0545" w:rsidRPr="00BD15C8" w:rsidRDefault="00FD0545" w:rsidP="00FD0545">
      <w:pPr>
        <w:spacing w:line="277" w:lineRule="auto"/>
        <w:ind w:firstLine="351"/>
        <w:jc w:val="both"/>
        <w:rPr>
          <w:rFonts w:eastAsia="Arial"/>
          <w:sz w:val="22"/>
          <w:szCs w:val="22"/>
        </w:rPr>
      </w:pPr>
      <w:r w:rsidRPr="00BD15C8">
        <w:rPr>
          <w:rFonts w:eastAsia="Arial"/>
          <w:sz w:val="22"/>
          <w:szCs w:val="22"/>
        </w:rPr>
        <w:t xml:space="preserve">Minden, a tudományos teljesítményt jellemző, paraméter esetén csak a hároméves </w:t>
      </w:r>
      <w:proofErr w:type="spellStart"/>
      <w:r w:rsidRPr="00BD15C8">
        <w:rPr>
          <w:rFonts w:eastAsia="Arial"/>
          <w:sz w:val="22"/>
          <w:szCs w:val="22"/>
        </w:rPr>
        <w:t>csúszóperiódusban</w:t>
      </w:r>
      <w:proofErr w:type="spellEnd"/>
      <w:r w:rsidRPr="00BD15C8">
        <w:rPr>
          <w:rFonts w:eastAsia="Arial"/>
          <w:sz w:val="22"/>
          <w:szCs w:val="22"/>
        </w:rPr>
        <w:t xml:space="preserve"> elért eredmé</w:t>
      </w:r>
      <w:r>
        <w:rPr>
          <w:rFonts w:eastAsia="Arial"/>
          <w:sz w:val="22"/>
          <w:szCs w:val="22"/>
        </w:rPr>
        <w:t>ny vehető figyelembe. Hivatkozá</w:t>
      </w:r>
      <w:r w:rsidRPr="00BD15C8">
        <w:rPr>
          <w:rFonts w:eastAsia="Arial"/>
          <w:sz w:val="22"/>
          <w:szCs w:val="22"/>
        </w:rPr>
        <w:t xml:space="preserve">sokkal </w:t>
      </w:r>
      <w:proofErr w:type="gramStart"/>
      <w:r w:rsidRPr="00BD15C8">
        <w:rPr>
          <w:rFonts w:eastAsia="Arial"/>
          <w:sz w:val="22"/>
          <w:szCs w:val="22"/>
        </w:rPr>
        <w:t>maximálisan</w:t>
      </w:r>
      <w:proofErr w:type="gramEnd"/>
      <w:r w:rsidRPr="00BD15C8">
        <w:rPr>
          <w:rFonts w:eastAsia="Arial"/>
          <w:sz w:val="22"/>
          <w:szCs w:val="22"/>
        </w:rPr>
        <w:t xml:space="preserve"> 70 TÉR pont szerezhető a beosztástól függetlenül.</w:t>
      </w:r>
    </w:p>
    <w:p w14:paraId="23DDBC6E" w14:textId="77777777" w:rsidR="00FD0545" w:rsidRPr="00BD15C8" w:rsidRDefault="00FD0545" w:rsidP="00FD0545">
      <w:pPr>
        <w:spacing w:line="3" w:lineRule="exact"/>
        <w:rPr>
          <w:sz w:val="22"/>
          <w:szCs w:val="22"/>
        </w:rPr>
      </w:pPr>
    </w:p>
    <w:p w14:paraId="0C9290A5" w14:textId="77777777" w:rsidR="00FD0545" w:rsidRDefault="00FD0545" w:rsidP="00FD0545">
      <w:pPr>
        <w:spacing w:line="253" w:lineRule="auto"/>
        <w:ind w:firstLine="351"/>
        <w:jc w:val="both"/>
        <w:rPr>
          <w:rFonts w:eastAsia="Arial"/>
          <w:sz w:val="22"/>
          <w:szCs w:val="22"/>
        </w:rPr>
      </w:pPr>
      <w:r w:rsidRPr="00BD15C8">
        <w:rPr>
          <w:rFonts w:eastAsia="Arial"/>
          <w:sz w:val="22"/>
          <w:szCs w:val="22"/>
        </w:rPr>
        <w:t>Tudományos tevékenység alapján elére</w:t>
      </w:r>
      <w:r>
        <w:rPr>
          <w:rFonts w:eastAsia="Arial"/>
          <w:sz w:val="22"/>
          <w:szCs w:val="22"/>
        </w:rPr>
        <w:t>ndő pontszám tanársegédek és tu</w:t>
      </w:r>
      <w:r w:rsidRPr="00BD15C8">
        <w:rPr>
          <w:rFonts w:eastAsia="Arial"/>
          <w:sz w:val="22"/>
          <w:szCs w:val="22"/>
        </w:rPr>
        <w:t>dományos segédmunkatársak esetén 3 pont/3 év, adjunktusok és tudományos munkatársak esetében 5 pont/3 év tudományos főmunkatársak és docensek esetében 7 pont/3 év, egyetemi tanárok és tudományos tanácsadók esetében pedig 9 pont/3 év. Ezekhez a pontszámokhoz rendelünk egységesen 100 tudományos TÉR pontot. A beosztástól függő TÉR pontot az alábbi képlet alapján kapjuk:</w:t>
      </w:r>
    </w:p>
    <w:p w14:paraId="6DC3C4C2" w14:textId="77777777" w:rsidR="00FD0545" w:rsidRDefault="00FD0545" w:rsidP="00FD0545">
      <w:pPr>
        <w:spacing w:line="253" w:lineRule="auto"/>
        <w:ind w:firstLine="351"/>
        <w:jc w:val="center"/>
        <w:rPr>
          <w:rFonts w:eastAsia="Arial"/>
          <w:sz w:val="22"/>
          <w:szCs w:val="22"/>
        </w:rPr>
      </w:pPr>
      <w:r w:rsidRPr="00CA5E30">
        <w:rPr>
          <w:noProof/>
        </w:rPr>
        <w:drawing>
          <wp:inline distT="0" distB="0" distL="0" distR="0" wp14:anchorId="71F7DA98" wp14:editId="4C89EFE8">
            <wp:extent cx="1014730" cy="3683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730" cy="368300"/>
                    </a:xfrm>
                    <a:prstGeom prst="rect">
                      <a:avLst/>
                    </a:prstGeom>
                    <a:noFill/>
                    <a:ln>
                      <a:noFill/>
                    </a:ln>
                  </pic:spPr>
                </pic:pic>
              </a:graphicData>
            </a:graphic>
          </wp:inline>
        </w:drawing>
      </w:r>
    </w:p>
    <w:p w14:paraId="0A6036DF" w14:textId="77777777" w:rsidR="00FD0545" w:rsidRPr="00BD15C8" w:rsidRDefault="00FD0545" w:rsidP="00FD0545">
      <w:pPr>
        <w:spacing w:line="232" w:lineRule="auto"/>
        <w:ind w:firstLine="351"/>
        <w:rPr>
          <w:rFonts w:eastAsia="Arial"/>
          <w:sz w:val="22"/>
          <w:szCs w:val="22"/>
        </w:rPr>
      </w:pPr>
      <w:proofErr w:type="gramStart"/>
      <w:r w:rsidRPr="00BD15C8">
        <w:rPr>
          <w:rFonts w:eastAsia="Arial"/>
          <w:sz w:val="22"/>
          <w:szCs w:val="22"/>
        </w:rPr>
        <w:t>ahol</w:t>
      </w:r>
      <w:proofErr w:type="gramEnd"/>
      <w:r w:rsidRPr="00BD15C8">
        <w:rPr>
          <w:rFonts w:eastAsia="Arial"/>
          <w:sz w:val="22"/>
          <w:szCs w:val="22"/>
        </w:rPr>
        <w:t xml:space="preserve"> </w:t>
      </w:r>
      <w:proofErr w:type="spellStart"/>
      <w:r w:rsidRPr="00BD15C8">
        <w:rPr>
          <w:rFonts w:eastAsia="Arial"/>
          <w:sz w:val="22"/>
          <w:szCs w:val="22"/>
        </w:rPr>
        <w:t>x</w:t>
      </w:r>
      <w:r w:rsidRPr="00BD15C8">
        <w:rPr>
          <w:rFonts w:eastAsia="Arial"/>
          <w:sz w:val="22"/>
          <w:szCs w:val="22"/>
          <w:vertAlign w:val="subscript"/>
        </w:rPr>
        <w:t>o</w:t>
      </w:r>
      <w:proofErr w:type="spellEnd"/>
      <w:r w:rsidRPr="00BD15C8">
        <w:rPr>
          <w:rFonts w:eastAsia="Arial"/>
          <w:sz w:val="22"/>
          <w:szCs w:val="22"/>
        </w:rPr>
        <w:t xml:space="preserve"> a három év alatt megszerzett pont, y pedig a beosztás függő alapérték, amely lehet 3, 5, 7 vagy 9.</w:t>
      </w:r>
    </w:p>
    <w:p w14:paraId="2825CE2C" w14:textId="77777777" w:rsidR="00FD0545" w:rsidRPr="00BD15C8" w:rsidRDefault="00FD0545" w:rsidP="00FD0545">
      <w:pPr>
        <w:spacing w:line="2" w:lineRule="exact"/>
        <w:rPr>
          <w:sz w:val="22"/>
          <w:szCs w:val="22"/>
        </w:rPr>
      </w:pPr>
    </w:p>
    <w:p w14:paraId="4D633A90" w14:textId="77777777" w:rsidR="00FD0545" w:rsidRDefault="00FD0545" w:rsidP="00FD0545">
      <w:pPr>
        <w:spacing w:line="262" w:lineRule="auto"/>
        <w:ind w:firstLine="351"/>
        <w:rPr>
          <w:rFonts w:eastAsia="Arial"/>
          <w:i/>
          <w:sz w:val="22"/>
          <w:szCs w:val="22"/>
        </w:rPr>
      </w:pPr>
    </w:p>
    <w:p w14:paraId="72CA7236" w14:textId="77777777" w:rsidR="00FD0545" w:rsidRDefault="00FD0545" w:rsidP="00FD0545">
      <w:pPr>
        <w:spacing w:line="262" w:lineRule="auto"/>
        <w:ind w:firstLine="351"/>
        <w:rPr>
          <w:rFonts w:eastAsia="Arial"/>
          <w:i/>
          <w:sz w:val="22"/>
          <w:szCs w:val="22"/>
        </w:rPr>
      </w:pPr>
    </w:p>
    <w:p w14:paraId="5B8C81E5" w14:textId="77777777" w:rsidR="00FD0545" w:rsidRDefault="00FD0545" w:rsidP="00FD0545">
      <w:pPr>
        <w:spacing w:line="262" w:lineRule="auto"/>
        <w:ind w:firstLine="351"/>
        <w:rPr>
          <w:rFonts w:eastAsia="Arial"/>
          <w:i/>
          <w:sz w:val="22"/>
          <w:szCs w:val="22"/>
        </w:rPr>
      </w:pPr>
    </w:p>
    <w:p w14:paraId="386006D5" w14:textId="77777777" w:rsidR="00FD0545" w:rsidRPr="006D5056" w:rsidRDefault="00FD0545" w:rsidP="00FD0545">
      <w:pPr>
        <w:spacing w:line="262" w:lineRule="auto"/>
        <w:ind w:firstLine="351"/>
        <w:rPr>
          <w:rFonts w:eastAsia="Arial"/>
          <w:i/>
          <w:sz w:val="22"/>
          <w:szCs w:val="22"/>
        </w:rPr>
      </w:pPr>
      <w:r w:rsidRPr="006D5056">
        <w:rPr>
          <w:rFonts w:eastAsia="Arial"/>
          <w:i/>
          <w:sz w:val="22"/>
          <w:szCs w:val="22"/>
        </w:rPr>
        <w:lastRenderedPageBreak/>
        <w:t>A tudományos munka elbírálásának szempontjai az MTA VI. Osztálya szerint:</w:t>
      </w:r>
    </w:p>
    <w:p w14:paraId="56F2EEA5" w14:textId="77777777" w:rsidR="00FD0545" w:rsidRPr="00BD15C8" w:rsidRDefault="00FD0545" w:rsidP="00FD0545">
      <w:pPr>
        <w:spacing w:line="196" w:lineRule="exact"/>
        <w:rPr>
          <w:sz w:val="22"/>
          <w:szCs w:val="22"/>
        </w:rPr>
      </w:pPr>
    </w:p>
    <w:p w14:paraId="40BA24E8" w14:textId="77777777" w:rsidR="00FD0545" w:rsidRDefault="00FD0545" w:rsidP="00F83E93">
      <w:pPr>
        <w:numPr>
          <w:ilvl w:val="0"/>
          <w:numId w:val="176"/>
        </w:numPr>
        <w:spacing w:line="268" w:lineRule="auto"/>
        <w:jc w:val="both"/>
        <w:rPr>
          <w:rFonts w:eastAsia="Arial"/>
          <w:sz w:val="22"/>
          <w:szCs w:val="22"/>
        </w:rPr>
      </w:pPr>
      <w:r w:rsidRPr="00BD15C8">
        <w:rPr>
          <w:rFonts w:eastAsia="Arial"/>
          <w:sz w:val="22"/>
          <w:szCs w:val="22"/>
        </w:rPr>
        <w:t xml:space="preserve">Tudományos cikk: Lektorált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faktorral</w:t>
      </w:r>
      <w:proofErr w:type="gramEnd"/>
      <w:r w:rsidRPr="00BD15C8">
        <w:rPr>
          <w:rFonts w:eastAsia="Arial"/>
          <w:sz w:val="22"/>
          <w:szCs w:val="22"/>
        </w:rPr>
        <w:t xml:space="preserve"> rendelkező folyóiratcikk esetén (illetve Q1 és Q2 minősítésnél) 12 pont vagy a cikk IF értékének duplája közül a nagyobbik számítandó</w:t>
      </w:r>
      <w:r>
        <w:rPr>
          <w:rFonts w:eastAsia="Arial"/>
          <w:sz w:val="22"/>
          <w:szCs w:val="22"/>
        </w:rPr>
        <w:t xml:space="preserve"> cikkenként. IF nélküli, külföl</w:t>
      </w:r>
      <w:r w:rsidRPr="00BD15C8">
        <w:rPr>
          <w:rFonts w:eastAsia="Arial"/>
          <w:sz w:val="22"/>
          <w:szCs w:val="22"/>
        </w:rPr>
        <w:t xml:space="preserve">dön megjelent (illetve Q3 minősítésű) lektorált folyóiratcikk esetén 8 pont adható. </w:t>
      </w:r>
      <w:proofErr w:type="spellStart"/>
      <w:r w:rsidRPr="00BD15C8">
        <w:rPr>
          <w:rFonts w:eastAsia="Arial"/>
          <w:sz w:val="22"/>
          <w:szCs w:val="22"/>
        </w:rPr>
        <w:t>If</w:t>
      </w:r>
      <w:proofErr w:type="spellEnd"/>
      <w:r w:rsidRPr="00BD15C8">
        <w:rPr>
          <w:rFonts w:eastAsia="Arial"/>
          <w:sz w:val="22"/>
          <w:szCs w:val="22"/>
        </w:rPr>
        <w:t xml:space="preserve"> nélküli, hazai (vagy Q4 minősítésű lap) esetén 6 pont, idegennyelvű konferenciacikk</w:t>
      </w:r>
      <w:r>
        <w:rPr>
          <w:rStyle w:val="Lbjegyzet-hivatkozs"/>
          <w:rFonts w:eastAsia="Arial"/>
          <w:sz w:val="22"/>
          <w:szCs w:val="22"/>
        </w:rPr>
        <w:footnoteReference w:id="490"/>
      </w:r>
      <w:r>
        <w:rPr>
          <w:rFonts w:eastAsia="Arial"/>
          <w:sz w:val="22"/>
          <w:szCs w:val="22"/>
        </w:rPr>
        <w:t xml:space="preserve"> </w:t>
      </w:r>
      <w:r w:rsidRPr="00BD15C8">
        <w:rPr>
          <w:rFonts w:eastAsia="Arial"/>
          <w:sz w:val="22"/>
          <w:szCs w:val="22"/>
        </w:rPr>
        <w:t>esetén</w:t>
      </w:r>
      <w:r>
        <w:rPr>
          <w:rFonts w:eastAsia="Arial"/>
          <w:sz w:val="22"/>
          <w:szCs w:val="22"/>
        </w:rPr>
        <w:t xml:space="preserve"> 4 pont, magyar nyelvű konferen</w:t>
      </w:r>
      <w:r w:rsidRPr="00BD15C8">
        <w:rPr>
          <w:rFonts w:eastAsia="Arial"/>
          <w:sz w:val="22"/>
          <w:szCs w:val="22"/>
        </w:rPr>
        <w:t>ciacikk esetén 2 pont adható tudományos cikkenként.</w:t>
      </w:r>
    </w:p>
    <w:p w14:paraId="4026A083" w14:textId="77777777" w:rsidR="00FD0545" w:rsidRDefault="00FD0545" w:rsidP="00F83E93">
      <w:pPr>
        <w:numPr>
          <w:ilvl w:val="0"/>
          <w:numId w:val="176"/>
        </w:numPr>
        <w:spacing w:line="268" w:lineRule="auto"/>
        <w:jc w:val="both"/>
        <w:rPr>
          <w:rFonts w:eastAsia="Arial"/>
          <w:sz w:val="22"/>
          <w:szCs w:val="22"/>
        </w:rPr>
      </w:pPr>
      <w:r w:rsidRPr="00BD15C8">
        <w:rPr>
          <w:rFonts w:eastAsia="Arial"/>
          <w:sz w:val="22"/>
          <w:szCs w:val="22"/>
        </w:rPr>
        <w:t>Tudományos könyv: Könyv vagy könyvrészlet 100 oldal felett idegen nyelven 40 pontot, magyar nyelven 20 pontot ér. Idegen nyelvű könyv vagy könyvrészlet (100 oldalnál rövidebb) esetén 10 oldalanként 4 pont adható, magyar nyelvű könyv vagy könyvrészlet esetén (100 oldalnál rövidebb) 10 oldalanként 2 pont adható. Ezen a területen maximális 40 pont szerezhető a hároméves csúszó periód</w:t>
      </w:r>
      <w:r>
        <w:rPr>
          <w:rFonts w:eastAsia="Arial"/>
          <w:sz w:val="22"/>
          <w:szCs w:val="22"/>
        </w:rPr>
        <w:t>usban.</w:t>
      </w:r>
    </w:p>
    <w:p w14:paraId="24E89F54" w14:textId="77777777" w:rsidR="00FD0545" w:rsidRDefault="00FD0545" w:rsidP="00F83E93">
      <w:pPr>
        <w:numPr>
          <w:ilvl w:val="0"/>
          <w:numId w:val="176"/>
        </w:numPr>
        <w:spacing w:line="283" w:lineRule="auto"/>
        <w:jc w:val="both"/>
        <w:rPr>
          <w:rFonts w:eastAsia="Arial"/>
          <w:sz w:val="22"/>
          <w:szCs w:val="22"/>
        </w:rPr>
      </w:pPr>
      <w:r w:rsidRPr="00BD15C8">
        <w:rPr>
          <w:rFonts w:eastAsia="Arial"/>
          <w:sz w:val="22"/>
          <w:szCs w:val="22"/>
        </w:rPr>
        <w:t>Műszaki alkotás: Csak kiemelkedő műszaki alkotásra adható pont, ezek ismérve, hogy vagy beszámolt az alkotásban megvalósult tudományos eredményről legalább egy lektorált fo</w:t>
      </w:r>
      <w:r>
        <w:rPr>
          <w:rFonts w:eastAsia="Arial"/>
          <w:sz w:val="22"/>
          <w:szCs w:val="22"/>
        </w:rPr>
        <w:t xml:space="preserve">lyóiratcikkben, melyre legalább </w:t>
      </w:r>
      <w:r w:rsidRPr="00BD15C8">
        <w:rPr>
          <w:rFonts w:eastAsia="Arial"/>
          <w:sz w:val="22"/>
          <w:szCs w:val="22"/>
        </w:rPr>
        <w:t>két komoly hivatkozást is kapott, v</w:t>
      </w:r>
      <w:r>
        <w:rPr>
          <w:rFonts w:eastAsia="Arial"/>
          <w:sz w:val="22"/>
          <w:szCs w:val="22"/>
        </w:rPr>
        <w:t>agy megvalósított szabadalom fű</w:t>
      </w:r>
      <w:r w:rsidRPr="00BD15C8">
        <w:rPr>
          <w:rFonts w:eastAsia="Arial"/>
          <w:sz w:val="22"/>
          <w:szCs w:val="22"/>
        </w:rPr>
        <w:t xml:space="preserve">ződik hozzá. Alkotásonként 20 pont adható, de összesen a hároméves </w:t>
      </w:r>
      <w:proofErr w:type="spellStart"/>
      <w:r w:rsidRPr="00BD15C8">
        <w:rPr>
          <w:rFonts w:eastAsia="Arial"/>
          <w:sz w:val="22"/>
          <w:szCs w:val="22"/>
        </w:rPr>
        <w:t>csúszóperiódusban</w:t>
      </w:r>
      <w:proofErr w:type="spellEnd"/>
      <w:r w:rsidRPr="00BD15C8">
        <w:rPr>
          <w:rFonts w:eastAsia="Arial"/>
          <w:sz w:val="22"/>
          <w:szCs w:val="22"/>
        </w:rPr>
        <w:t xml:space="preserve"> maximum 40 pont szerezhető műszaki alkotásokból.</w:t>
      </w:r>
    </w:p>
    <w:p w14:paraId="0B3515E9" w14:textId="77777777" w:rsidR="00FD0545" w:rsidRPr="00BD15C8" w:rsidRDefault="00FD0545" w:rsidP="00F83E93">
      <w:pPr>
        <w:numPr>
          <w:ilvl w:val="0"/>
          <w:numId w:val="176"/>
        </w:numPr>
        <w:spacing w:line="0" w:lineRule="atLeast"/>
        <w:rPr>
          <w:rFonts w:eastAsia="Arial"/>
          <w:sz w:val="22"/>
          <w:szCs w:val="22"/>
        </w:rPr>
      </w:pPr>
      <w:r w:rsidRPr="00BD15C8">
        <w:rPr>
          <w:rFonts w:eastAsia="Arial"/>
          <w:sz w:val="22"/>
          <w:szCs w:val="22"/>
        </w:rPr>
        <w:t>Idézettség: Minden független hivatkozás</w:t>
      </w:r>
      <w:r>
        <w:rPr>
          <w:rStyle w:val="Lbjegyzet-hivatkozs"/>
          <w:rFonts w:eastAsia="Arial"/>
          <w:sz w:val="22"/>
          <w:szCs w:val="22"/>
        </w:rPr>
        <w:footnoteReference w:id="491"/>
      </w:r>
      <w:r w:rsidRPr="00BD15C8">
        <w:rPr>
          <w:rFonts w:eastAsia="Arial"/>
          <w:sz w:val="22"/>
          <w:szCs w:val="22"/>
        </w:rPr>
        <w:t xml:space="preserve"> 3 pontot ér.</w:t>
      </w:r>
    </w:p>
    <w:p w14:paraId="0E964E8F" w14:textId="77777777" w:rsidR="00FD0545" w:rsidRPr="00BD15C8" w:rsidRDefault="00FD0545" w:rsidP="00F83E93">
      <w:pPr>
        <w:numPr>
          <w:ilvl w:val="0"/>
          <w:numId w:val="176"/>
        </w:numPr>
        <w:spacing w:line="271" w:lineRule="auto"/>
        <w:jc w:val="both"/>
        <w:rPr>
          <w:rFonts w:eastAsia="Arial"/>
          <w:sz w:val="22"/>
          <w:szCs w:val="22"/>
        </w:rPr>
      </w:pPr>
      <w:r w:rsidRPr="00BD15C8">
        <w:rPr>
          <w:rFonts w:eastAsia="Arial"/>
          <w:sz w:val="22"/>
          <w:szCs w:val="22"/>
        </w:rPr>
        <w:t xml:space="preserve">A négy részterületen kapott pontok </w:t>
      </w:r>
      <w:r>
        <w:rPr>
          <w:rFonts w:eastAsia="Arial"/>
          <w:sz w:val="22"/>
          <w:szCs w:val="22"/>
        </w:rPr>
        <w:t>összeadódnak és beosztástól füg</w:t>
      </w:r>
      <w:r w:rsidRPr="00BD15C8">
        <w:rPr>
          <w:rFonts w:eastAsia="Arial"/>
          <w:sz w:val="22"/>
          <w:szCs w:val="22"/>
        </w:rPr>
        <w:t>gően szorzódnak a tanársegédek ese</w:t>
      </w:r>
      <w:r>
        <w:rPr>
          <w:rFonts w:eastAsia="Arial"/>
          <w:sz w:val="22"/>
          <w:szCs w:val="22"/>
        </w:rPr>
        <w:t>tén 5/3-dal, az adjunktusok ese</w:t>
      </w:r>
      <w:r w:rsidRPr="00BD15C8">
        <w:rPr>
          <w:rFonts w:eastAsia="Arial"/>
          <w:sz w:val="22"/>
          <w:szCs w:val="22"/>
        </w:rPr>
        <w:t>tén 1-el, a docensek és tudományos főmunkatársak esetén 5/6-dal, míg egyetemi tanárok és tudományos tanácsadók esetén 5/9-del.</w:t>
      </w:r>
    </w:p>
    <w:p w14:paraId="37507F4B" w14:textId="77777777" w:rsidR="00FD0545" w:rsidRDefault="00FD0545" w:rsidP="00FD0545">
      <w:pPr>
        <w:spacing w:line="0" w:lineRule="atLeast"/>
        <w:rPr>
          <w:rFonts w:eastAsia="Arial"/>
          <w:sz w:val="22"/>
          <w:szCs w:val="22"/>
        </w:rPr>
      </w:pPr>
    </w:p>
    <w:p w14:paraId="263034B1" w14:textId="77777777" w:rsidR="00FD0545" w:rsidRDefault="00FD0545" w:rsidP="00FD0545">
      <w:pPr>
        <w:spacing w:line="0" w:lineRule="atLeast"/>
        <w:ind w:left="284"/>
        <w:rPr>
          <w:rFonts w:eastAsia="Arial"/>
          <w:b/>
          <w:sz w:val="22"/>
          <w:szCs w:val="22"/>
        </w:rPr>
      </w:pPr>
      <w:r w:rsidRPr="006D5056">
        <w:rPr>
          <w:rFonts w:eastAsia="Arial"/>
          <w:b/>
          <w:sz w:val="22"/>
          <w:szCs w:val="22"/>
        </w:rPr>
        <w:t>Sporttudományi és Testnevelési Intézet</w:t>
      </w:r>
    </w:p>
    <w:p w14:paraId="226238FA" w14:textId="77777777" w:rsidR="00FD0545" w:rsidRPr="00415690" w:rsidRDefault="00FD0545" w:rsidP="00FD0545">
      <w:pPr>
        <w:spacing w:line="0" w:lineRule="atLeast"/>
        <w:ind w:firstLine="284"/>
        <w:jc w:val="both"/>
        <w:rPr>
          <w:rFonts w:eastAsia="Arial"/>
          <w:b/>
          <w:sz w:val="22"/>
          <w:szCs w:val="22"/>
        </w:rPr>
      </w:pPr>
      <w:r w:rsidRPr="00BD15C8">
        <w:rPr>
          <w:rFonts w:eastAsia="Arial"/>
          <w:sz w:val="22"/>
          <w:szCs w:val="22"/>
        </w:rPr>
        <w:t>A Sporttudományi és Testnevelési Intézet kutatói munkája alapvetően öt területre osztható: biológia tudományok, egészségtudományok, társadalom-földrajz tudományok, gazdaságtudomány és neveléstudomány. Biológia és társadalomföldrajz tudományok esetén a Biol</w:t>
      </w:r>
      <w:r>
        <w:rPr>
          <w:rFonts w:eastAsia="Arial"/>
          <w:sz w:val="22"/>
          <w:szCs w:val="22"/>
        </w:rPr>
        <w:t xml:space="preserve">ógiai, illetve a </w:t>
      </w:r>
      <w:r w:rsidR="00827537" w:rsidRPr="00827537">
        <w:rPr>
          <w:bCs/>
          <w:sz w:val="22"/>
        </w:rPr>
        <w:t>Földrajzi és Földtudományi Intézet</w:t>
      </w:r>
      <w:r w:rsidR="00827537">
        <w:rPr>
          <w:b/>
          <w:bCs/>
        </w:rPr>
        <w:t xml:space="preserve"> </w:t>
      </w:r>
      <w:r w:rsidRPr="00BD15C8">
        <w:rPr>
          <w:rFonts w:eastAsia="Arial"/>
          <w:sz w:val="22"/>
          <w:szCs w:val="22"/>
        </w:rPr>
        <w:t>által megállapított összefüggések alapján számítandó a tudományos TÉR pont.</w:t>
      </w:r>
    </w:p>
    <w:p w14:paraId="2D309E05" w14:textId="77777777" w:rsidR="00FD0545" w:rsidRPr="00BD15C8" w:rsidRDefault="00FD0545" w:rsidP="00FD0545">
      <w:pPr>
        <w:spacing w:line="264" w:lineRule="exact"/>
        <w:rPr>
          <w:sz w:val="22"/>
          <w:szCs w:val="22"/>
        </w:rPr>
      </w:pPr>
    </w:p>
    <w:p w14:paraId="3D2AFF6E" w14:textId="77777777" w:rsidR="00FD0545" w:rsidRPr="006D5056" w:rsidRDefault="00FD0545" w:rsidP="00FD0545">
      <w:pPr>
        <w:spacing w:line="0" w:lineRule="atLeast"/>
        <w:rPr>
          <w:rFonts w:eastAsia="Arial"/>
          <w:i/>
          <w:sz w:val="22"/>
          <w:szCs w:val="22"/>
        </w:rPr>
      </w:pPr>
      <w:r w:rsidRPr="006D5056">
        <w:rPr>
          <w:rFonts w:eastAsia="Arial"/>
          <w:i/>
          <w:sz w:val="22"/>
          <w:szCs w:val="22"/>
        </w:rPr>
        <w:t>Egészségtudomány</w:t>
      </w:r>
    </w:p>
    <w:p w14:paraId="35960218" w14:textId="77777777" w:rsidR="00FD0545" w:rsidRPr="00BD15C8" w:rsidRDefault="00FD0545" w:rsidP="00FD0545">
      <w:pPr>
        <w:spacing w:line="294" w:lineRule="exact"/>
        <w:rPr>
          <w:sz w:val="22"/>
          <w:szCs w:val="22"/>
        </w:rPr>
      </w:pPr>
    </w:p>
    <w:p w14:paraId="56DB121B" w14:textId="77777777" w:rsidR="00FD0545" w:rsidRDefault="00FD0545" w:rsidP="00FD0545">
      <w:pPr>
        <w:spacing w:line="243" w:lineRule="auto"/>
        <w:ind w:firstLine="351"/>
        <w:jc w:val="both"/>
        <w:rPr>
          <w:rFonts w:eastAsia="Arial"/>
          <w:sz w:val="22"/>
          <w:szCs w:val="22"/>
        </w:rPr>
      </w:pPr>
      <w:r w:rsidRPr="00BD15C8">
        <w:rPr>
          <w:rFonts w:eastAsia="Arial"/>
          <w:sz w:val="22"/>
          <w:szCs w:val="22"/>
        </w:rPr>
        <w:t>Az MTA Orvosi Tudományok Osztály</w:t>
      </w:r>
      <w:r>
        <w:rPr>
          <w:rFonts w:eastAsia="Arial"/>
          <w:sz w:val="22"/>
          <w:szCs w:val="22"/>
        </w:rPr>
        <w:t xml:space="preserve">a meghatározza azokat a </w:t>
      </w:r>
      <w:proofErr w:type="gramStart"/>
      <w:r>
        <w:rPr>
          <w:rFonts w:eastAsia="Arial"/>
          <w:sz w:val="22"/>
          <w:szCs w:val="22"/>
        </w:rPr>
        <w:t>minimá</w:t>
      </w:r>
      <w:r w:rsidRPr="00BD15C8">
        <w:rPr>
          <w:rFonts w:eastAsia="Arial"/>
          <w:sz w:val="22"/>
          <w:szCs w:val="22"/>
        </w:rPr>
        <w:t>lis</w:t>
      </w:r>
      <w:proofErr w:type="gramEnd"/>
      <w:r w:rsidRPr="00BD15C8">
        <w:rPr>
          <w:rFonts w:eastAsia="Arial"/>
          <w:sz w:val="22"/>
          <w:szCs w:val="22"/>
        </w:rPr>
        <w:t xml:space="preserve"> követelményeket az egészségtudományok szakterületen, amelyek teljesítési minimumként fogalmazódnak meg a </w:t>
      </w:r>
      <w:proofErr w:type="spellStart"/>
      <w:r w:rsidRPr="00BD15C8">
        <w:rPr>
          <w:rFonts w:eastAsia="Arial"/>
          <w:sz w:val="22"/>
          <w:szCs w:val="22"/>
        </w:rPr>
        <w:t>DSc</w:t>
      </w:r>
      <w:proofErr w:type="spellEnd"/>
      <w:r w:rsidRPr="00BD15C8">
        <w:rPr>
          <w:rFonts w:eastAsia="Arial"/>
          <w:sz w:val="22"/>
          <w:szCs w:val="22"/>
        </w:rPr>
        <w:t xml:space="preserve"> c</w:t>
      </w:r>
      <w:r>
        <w:rPr>
          <w:rFonts w:eastAsia="Arial"/>
          <w:sz w:val="22"/>
          <w:szCs w:val="22"/>
        </w:rPr>
        <w:t>ím eléréséhez. Ezek a követelmé</w:t>
      </w:r>
      <w:r w:rsidRPr="00BD15C8">
        <w:rPr>
          <w:rFonts w:eastAsia="Arial"/>
          <w:sz w:val="22"/>
          <w:szCs w:val="22"/>
        </w:rPr>
        <w:t xml:space="preserve">nyek kiterjednek az összegzett </w:t>
      </w:r>
      <w:proofErr w:type="spellStart"/>
      <w:r w:rsidRPr="00BD15C8">
        <w:rPr>
          <w:rFonts w:eastAsia="Arial"/>
          <w:sz w:val="22"/>
          <w:szCs w:val="22"/>
        </w:rPr>
        <w:t>impakt</w:t>
      </w:r>
      <w:proofErr w:type="spellEnd"/>
      <w:r w:rsidRPr="00BD15C8">
        <w:rPr>
          <w:rFonts w:eastAsia="Arial"/>
          <w:sz w:val="22"/>
          <w:szCs w:val="22"/>
        </w:rPr>
        <w:t xml:space="preserve"> </w:t>
      </w:r>
      <w:proofErr w:type="gramStart"/>
      <w:r w:rsidRPr="00BD15C8">
        <w:rPr>
          <w:rFonts w:eastAsia="Arial"/>
          <w:sz w:val="22"/>
          <w:szCs w:val="22"/>
        </w:rPr>
        <w:t>faktor</w:t>
      </w:r>
      <w:proofErr w:type="gramEnd"/>
      <w:r w:rsidRPr="00BD15C8">
        <w:rPr>
          <w:rFonts w:eastAsia="Arial"/>
          <w:sz w:val="22"/>
          <w:szCs w:val="22"/>
        </w:rPr>
        <w:t xml:space="preserve"> értékére (x</w:t>
      </w:r>
      <w:r w:rsidRPr="00BD15C8">
        <w:rPr>
          <w:rFonts w:eastAsia="Arial"/>
          <w:sz w:val="22"/>
          <w:szCs w:val="22"/>
          <w:vertAlign w:val="subscript"/>
        </w:rPr>
        <w:t>1</w:t>
      </w:r>
      <w:r>
        <w:rPr>
          <w:rFonts w:eastAsia="Arial"/>
          <w:sz w:val="22"/>
          <w:szCs w:val="22"/>
        </w:rPr>
        <w:t>), a független hivat</w:t>
      </w:r>
      <w:r w:rsidRPr="00BD15C8">
        <w:rPr>
          <w:rFonts w:eastAsia="Arial"/>
          <w:sz w:val="22"/>
          <w:szCs w:val="22"/>
        </w:rPr>
        <w:t>kozások számára (x</w:t>
      </w:r>
      <w:r w:rsidRPr="00BD15C8">
        <w:rPr>
          <w:rFonts w:eastAsia="Arial"/>
          <w:sz w:val="22"/>
          <w:szCs w:val="22"/>
          <w:vertAlign w:val="subscript"/>
        </w:rPr>
        <w:t>2</w:t>
      </w:r>
      <w:r>
        <w:rPr>
          <w:rFonts w:eastAsia="Arial"/>
          <w:sz w:val="22"/>
          <w:szCs w:val="22"/>
        </w:rPr>
        <w:t>)</w:t>
      </w:r>
      <w:r w:rsidRPr="00BD15C8">
        <w:rPr>
          <w:rFonts w:eastAsia="Arial"/>
          <w:sz w:val="22"/>
          <w:szCs w:val="22"/>
        </w:rPr>
        <w:t xml:space="preserve">. Amennyiben </w:t>
      </w:r>
      <w:proofErr w:type="spellStart"/>
      <w:r w:rsidRPr="00BD15C8">
        <w:rPr>
          <w:rFonts w:eastAsia="Arial"/>
          <w:sz w:val="22"/>
          <w:szCs w:val="22"/>
        </w:rPr>
        <w:t>x</w:t>
      </w:r>
      <w:r w:rsidRPr="00BD15C8">
        <w:rPr>
          <w:rFonts w:eastAsia="Arial"/>
          <w:sz w:val="22"/>
          <w:szCs w:val="22"/>
          <w:vertAlign w:val="subscript"/>
        </w:rPr>
        <w:t>j</w:t>
      </w:r>
      <w:proofErr w:type="spellEnd"/>
      <w:r w:rsidRPr="00BD15C8">
        <w:rPr>
          <w:rFonts w:eastAsia="Arial"/>
          <w:sz w:val="22"/>
          <w:szCs w:val="22"/>
        </w:rPr>
        <w:t xml:space="preserve"> jelenti a követelmény minimumot (j értéke lehet 1 vagy 2), úgy az adott részpontok alapján a tudományos TÉR pont alábbi képlet alapján számítható:</w:t>
      </w:r>
    </w:p>
    <w:p w14:paraId="2D528946" w14:textId="77777777" w:rsidR="00FD0545" w:rsidRDefault="00FD0545" w:rsidP="00FD0545">
      <w:pPr>
        <w:spacing w:line="243" w:lineRule="auto"/>
        <w:ind w:firstLine="351"/>
        <w:jc w:val="center"/>
        <w:rPr>
          <w:rFonts w:eastAsia="Arial"/>
          <w:sz w:val="22"/>
          <w:szCs w:val="22"/>
        </w:rPr>
      </w:pPr>
      <w:r>
        <w:rPr>
          <w:rFonts w:eastAsia="Arial"/>
          <w:noProof/>
          <w:sz w:val="22"/>
          <w:szCs w:val="22"/>
        </w:rPr>
        <w:drawing>
          <wp:inline distT="0" distB="0" distL="0" distR="0" wp14:anchorId="62C56654" wp14:editId="49F3968E">
            <wp:extent cx="1438275" cy="390525"/>
            <wp:effectExtent l="0" t="0" r="9525" b="9525"/>
            <wp:docPr id="6" name="Kép 6" descr="képl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éplet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14:paraId="526918BF" w14:textId="77777777" w:rsidR="00FD0545" w:rsidRPr="007336B9" w:rsidRDefault="00FD0545" w:rsidP="00FD0545">
      <w:pPr>
        <w:spacing w:line="243" w:lineRule="auto"/>
        <w:ind w:firstLine="351"/>
        <w:jc w:val="both"/>
        <w:rPr>
          <w:rFonts w:eastAsia="Arial"/>
          <w:sz w:val="22"/>
          <w:szCs w:val="22"/>
        </w:rPr>
      </w:pPr>
      <w:r>
        <w:rPr>
          <w:rFonts w:eastAsia="Arial"/>
          <w:sz w:val="22"/>
          <w:szCs w:val="22"/>
        </w:rPr>
        <w:t xml:space="preserve">ahol </w:t>
      </w:r>
      <w:proofErr w:type="spellStart"/>
      <w:r>
        <w:rPr>
          <w:rFonts w:eastAsia="Arial"/>
          <w:sz w:val="22"/>
          <w:szCs w:val="22"/>
        </w:rPr>
        <w:t>x</w:t>
      </w:r>
      <w:r>
        <w:rPr>
          <w:rFonts w:eastAsia="Arial"/>
          <w:sz w:val="22"/>
          <w:szCs w:val="22"/>
          <w:vertAlign w:val="subscript"/>
        </w:rPr>
        <w:t>j,o</w:t>
      </w:r>
      <w:proofErr w:type="spellEnd"/>
      <w:r>
        <w:rPr>
          <w:rFonts w:eastAsia="Arial"/>
          <w:sz w:val="22"/>
          <w:szCs w:val="22"/>
        </w:rPr>
        <w:t xml:space="preserve"> az oktató </w:t>
      </w:r>
      <w:proofErr w:type="gramStart"/>
      <w:r>
        <w:rPr>
          <w:rFonts w:eastAsia="Arial"/>
          <w:sz w:val="22"/>
          <w:szCs w:val="22"/>
        </w:rPr>
        <w:t>produktuma</w:t>
      </w:r>
      <w:proofErr w:type="gramEnd"/>
      <w:r>
        <w:rPr>
          <w:rFonts w:eastAsia="Arial"/>
          <w:sz w:val="22"/>
          <w:szCs w:val="22"/>
        </w:rPr>
        <w:t xml:space="preserve"> a hároméves </w:t>
      </w:r>
      <w:proofErr w:type="spellStart"/>
      <w:r>
        <w:rPr>
          <w:rFonts w:eastAsia="Arial"/>
          <w:sz w:val="22"/>
          <w:szCs w:val="22"/>
        </w:rPr>
        <w:t>csúszóperiodusban</w:t>
      </w:r>
      <w:proofErr w:type="spellEnd"/>
      <w:r>
        <w:rPr>
          <w:rFonts w:eastAsia="Arial"/>
          <w:sz w:val="22"/>
          <w:szCs w:val="22"/>
        </w:rPr>
        <w:t xml:space="preserve"> minden </w:t>
      </w:r>
      <w:r w:rsidRPr="00BD15C8">
        <w:rPr>
          <w:rFonts w:eastAsia="Arial"/>
          <w:sz w:val="22"/>
          <w:szCs w:val="22"/>
        </w:rPr>
        <w:t xml:space="preserve">egyes mutató esetén, valamint </w:t>
      </w:r>
      <w:r>
        <w:rPr>
          <w:rFonts w:eastAsia="Arial"/>
          <w:sz w:val="22"/>
          <w:szCs w:val="22"/>
        </w:rPr>
        <w:t>∑</w:t>
      </w:r>
      <w:r>
        <w:rPr>
          <w:rFonts w:eastAsia="Arial"/>
          <w:sz w:val="22"/>
          <w:szCs w:val="22"/>
          <w:vertAlign w:val="superscript"/>
        </w:rPr>
        <w:t>2</w:t>
      </w:r>
      <w:r w:rsidRPr="00BD15C8">
        <w:rPr>
          <w:rFonts w:eastAsia="Arial"/>
          <w:sz w:val="22"/>
          <w:szCs w:val="22"/>
          <w:vertAlign w:val="subscript"/>
        </w:rPr>
        <w:t>j=1</w:t>
      </w:r>
      <w:r w:rsidRPr="00BD15C8">
        <w:rPr>
          <w:rFonts w:eastAsia="Arial"/>
          <w:sz w:val="22"/>
          <w:szCs w:val="22"/>
        </w:rPr>
        <w:t xml:space="preserve"> </w:t>
      </w:r>
      <w:proofErr w:type="spellStart"/>
      <w:r w:rsidRPr="00BD15C8">
        <w:rPr>
          <w:rFonts w:eastAsia="Arial"/>
          <w:sz w:val="22"/>
          <w:szCs w:val="22"/>
        </w:rPr>
        <w:t>w</w:t>
      </w:r>
      <w:r w:rsidRPr="00BD15C8">
        <w:rPr>
          <w:rFonts w:eastAsia="Arial"/>
          <w:sz w:val="22"/>
          <w:szCs w:val="22"/>
          <w:vertAlign w:val="subscript"/>
        </w:rPr>
        <w:t>j</w:t>
      </w:r>
      <w:proofErr w:type="spellEnd"/>
      <w:r w:rsidRPr="00BD15C8">
        <w:rPr>
          <w:rFonts w:eastAsia="Arial"/>
          <w:sz w:val="22"/>
          <w:szCs w:val="22"/>
        </w:rPr>
        <w:t xml:space="preserve"> = 1</w:t>
      </w:r>
      <w:r>
        <w:rPr>
          <w:rFonts w:eastAsia="Arial"/>
          <w:sz w:val="22"/>
          <w:szCs w:val="22"/>
        </w:rPr>
        <w:t xml:space="preserve"> </w:t>
      </w:r>
      <w:r w:rsidRPr="00BD15C8">
        <w:rPr>
          <w:rFonts w:eastAsia="Arial"/>
          <w:sz w:val="22"/>
          <w:szCs w:val="22"/>
        </w:rPr>
        <w:t>egyenlőség fennáll. A Sportt</w:t>
      </w:r>
      <w:r>
        <w:rPr>
          <w:rFonts w:eastAsia="Arial"/>
          <w:sz w:val="22"/>
          <w:szCs w:val="22"/>
        </w:rPr>
        <w:t>u</w:t>
      </w:r>
      <w:r w:rsidRPr="00BD15C8">
        <w:rPr>
          <w:rFonts w:eastAsia="Arial"/>
          <w:sz w:val="22"/>
          <w:szCs w:val="22"/>
        </w:rPr>
        <w:t>dományi és Testnevelési Intézet döntésének értelmében w</w:t>
      </w:r>
      <w:r w:rsidRPr="00BD15C8">
        <w:rPr>
          <w:rFonts w:eastAsia="Arial"/>
          <w:sz w:val="22"/>
          <w:szCs w:val="22"/>
          <w:vertAlign w:val="subscript"/>
        </w:rPr>
        <w:t>1</w:t>
      </w:r>
      <w:r w:rsidRPr="00BD15C8">
        <w:rPr>
          <w:rFonts w:eastAsia="Arial"/>
          <w:sz w:val="22"/>
          <w:szCs w:val="22"/>
        </w:rPr>
        <w:t xml:space="preserve"> = w</w:t>
      </w:r>
      <w:r w:rsidRPr="00BD15C8">
        <w:rPr>
          <w:rFonts w:eastAsia="Arial"/>
          <w:sz w:val="22"/>
          <w:szCs w:val="22"/>
          <w:vertAlign w:val="subscript"/>
        </w:rPr>
        <w:t>2</w:t>
      </w:r>
      <w:r w:rsidRPr="00BD15C8">
        <w:rPr>
          <w:rFonts w:eastAsia="Arial"/>
          <w:sz w:val="22"/>
          <w:szCs w:val="22"/>
        </w:rPr>
        <w:t xml:space="preserve"> = </w:t>
      </w:r>
      <w:r w:rsidRPr="007336B9">
        <w:rPr>
          <w:rFonts w:eastAsia="Arial"/>
          <w:sz w:val="20"/>
          <w:szCs w:val="22"/>
        </w:rPr>
        <w:t>1/2</w:t>
      </w:r>
    </w:p>
    <w:p w14:paraId="24E73AD2" w14:textId="77777777" w:rsidR="00E878FB" w:rsidRDefault="00E878FB">
      <w:pPr>
        <w:spacing w:after="160" w:line="259" w:lineRule="auto"/>
        <w:rPr>
          <w:sz w:val="22"/>
          <w:szCs w:val="22"/>
        </w:rPr>
      </w:pPr>
      <w:r>
        <w:rPr>
          <w:sz w:val="22"/>
          <w:szCs w:val="22"/>
        </w:rPr>
        <w:br w:type="page"/>
      </w:r>
    </w:p>
    <w:p w14:paraId="55C83F30" w14:textId="77777777" w:rsidR="00FD0545" w:rsidRPr="00BD15C8" w:rsidRDefault="00FD0545" w:rsidP="00FD0545">
      <w:pPr>
        <w:spacing w:line="232" w:lineRule="exact"/>
        <w:rPr>
          <w:sz w:val="22"/>
          <w:szCs w:val="22"/>
        </w:rPr>
      </w:pPr>
    </w:p>
    <w:p w14:paraId="7E2CF76A" w14:textId="77777777" w:rsidR="00FD0545" w:rsidRPr="00634FBC" w:rsidRDefault="00FD0545" w:rsidP="00FD0545">
      <w:pPr>
        <w:spacing w:line="0" w:lineRule="atLeast"/>
        <w:ind w:left="284"/>
        <w:rPr>
          <w:rFonts w:eastAsia="Arial"/>
          <w:i/>
          <w:sz w:val="22"/>
          <w:szCs w:val="22"/>
        </w:rPr>
      </w:pPr>
      <w:r w:rsidRPr="00634FBC">
        <w:rPr>
          <w:rFonts w:eastAsia="Arial"/>
          <w:i/>
          <w:sz w:val="22"/>
          <w:szCs w:val="22"/>
        </w:rPr>
        <w:t>Neveléstudomány</w:t>
      </w:r>
    </w:p>
    <w:p w14:paraId="1E1C9BB0" w14:textId="77777777" w:rsidR="00FD0545" w:rsidRPr="00BD15C8" w:rsidRDefault="00FD0545" w:rsidP="00FD0545">
      <w:pPr>
        <w:spacing w:line="294" w:lineRule="exact"/>
        <w:rPr>
          <w:sz w:val="22"/>
          <w:szCs w:val="22"/>
        </w:rPr>
      </w:pPr>
    </w:p>
    <w:p w14:paraId="4A8D8448" w14:textId="77777777" w:rsidR="00FD0545" w:rsidRPr="00BD15C8" w:rsidRDefault="00FD0545" w:rsidP="00FD0545">
      <w:pPr>
        <w:spacing w:line="295" w:lineRule="auto"/>
        <w:ind w:firstLine="351"/>
        <w:jc w:val="both"/>
        <w:rPr>
          <w:rFonts w:eastAsia="Arial"/>
          <w:sz w:val="22"/>
          <w:szCs w:val="22"/>
        </w:rPr>
      </w:pPr>
      <w:r w:rsidRPr="00BD15C8">
        <w:rPr>
          <w:rFonts w:eastAsia="Arial"/>
          <w:sz w:val="22"/>
          <w:szCs w:val="22"/>
        </w:rPr>
        <w:t xml:space="preserve">Neveléstudomány területén az 1. táblázat tartalmazza azokat a </w:t>
      </w:r>
      <w:proofErr w:type="gramStart"/>
      <w:r w:rsidRPr="00BD15C8">
        <w:rPr>
          <w:rFonts w:eastAsia="Arial"/>
          <w:sz w:val="22"/>
          <w:szCs w:val="22"/>
        </w:rPr>
        <w:t>minimális</w:t>
      </w:r>
      <w:proofErr w:type="gramEnd"/>
      <w:r w:rsidRPr="00BD15C8">
        <w:rPr>
          <w:rFonts w:eastAsia="Arial"/>
          <w:sz w:val="22"/>
          <w:szCs w:val="22"/>
        </w:rPr>
        <w:t xml:space="preserve"> követelményeket, amelyek szükségesek a </w:t>
      </w:r>
      <w:proofErr w:type="spellStart"/>
      <w:r w:rsidRPr="00BD15C8">
        <w:rPr>
          <w:rFonts w:eastAsia="Arial"/>
          <w:sz w:val="22"/>
          <w:szCs w:val="22"/>
        </w:rPr>
        <w:t>DSc</w:t>
      </w:r>
      <w:proofErr w:type="spellEnd"/>
      <w:r w:rsidRPr="00BD15C8">
        <w:rPr>
          <w:rFonts w:eastAsia="Arial"/>
          <w:sz w:val="22"/>
          <w:szCs w:val="22"/>
        </w:rPr>
        <w:t xml:space="preserve"> cím eléréséhez.</w:t>
      </w:r>
    </w:p>
    <w:p w14:paraId="321893BA" w14:textId="77777777" w:rsidR="00FD0545" w:rsidRPr="00BD15C8" w:rsidRDefault="00FD0545" w:rsidP="00FD0545">
      <w:pPr>
        <w:spacing w:line="277" w:lineRule="exact"/>
        <w:rPr>
          <w:sz w:val="22"/>
          <w:szCs w:val="22"/>
        </w:rPr>
      </w:pPr>
    </w:p>
    <w:tbl>
      <w:tblPr>
        <w:tblW w:w="0" w:type="auto"/>
        <w:tblInd w:w="780" w:type="dxa"/>
        <w:tblLayout w:type="fixed"/>
        <w:tblCellMar>
          <w:left w:w="0" w:type="dxa"/>
          <w:right w:w="0" w:type="dxa"/>
        </w:tblCellMar>
        <w:tblLook w:val="0000" w:firstRow="0" w:lastRow="0" w:firstColumn="0" w:lastColumn="0" w:noHBand="0" w:noVBand="0"/>
      </w:tblPr>
      <w:tblGrid>
        <w:gridCol w:w="428"/>
        <w:gridCol w:w="5737"/>
        <w:gridCol w:w="837"/>
      </w:tblGrid>
      <w:tr w:rsidR="00FD0545" w:rsidRPr="00BD15C8" w14:paraId="59200AD9" w14:textId="77777777" w:rsidTr="00E878FB">
        <w:trPr>
          <w:trHeight w:val="277"/>
        </w:trPr>
        <w:tc>
          <w:tcPr>
            <w:tcW w:w="428" w:type="dxa"/>
            <w:tcBorders>
              <w:bottom w:val="single" w:sz="4" w:space="0" w:color="auto"/>
            </w:tcBorders>
            <w:shd w:val="clear" w:color="auto" w:fill="auto"/>
            <w:vAlign w:val="bottom"/>
          </w:tcPr>
          <w:p w14:paraId="73E80AAD" w14:textId="77777777" w:rsidR="00FD0545" w:rsidRPr="00BD15C8" w:rsidRDefault="00FD0545" w:rsidP="00026782">
            <w:pPr>
              <w:spacing w:line="0" w:lineRule="atLeast"/>
              <w:rPr>
                <w:sz w:val="22"/>
                <w:szCs w:val="22"/>
              </w:rPr>
            </w:pPr>
          </w:p>
        </w:tc>
        <w:tc>
          <w:tcPr>
            <w:tcW w:w="5737" w:type="dxa"/>
            <w:tcBorders>
              <w:bottom w:val="single" w:sz="4" w:space="0" w:color="auto"/>
            </w:tcBorders>
            <w:shd w:val="clear" w:color="auto" w:fill="auto"/>
            <w:vAlign w:val="bottom"/>
          </w:tcPr>
          <w:p w14:paraId="27EE9353" w14:textId="77777777" w:rsidR="00FD0545" w:rsidRPr="00BD15C8" w:rsidRDefault="00FD0545" w:rsidP="00026782">
            <w:pPr>
              <w:spacing w:line="0" w:lineRule="atLeast"/>
              <w:rPr>
                <w:rFonts w:eastAsia="Arial"/>
                <w:sz w:val="22"/>
                <w:szCs w:val="22"/>
              </w:rPr>
            </w:pPr>
            <w:r w:rsidRPr="00BD15C8">
              <w:rPr>
                <w:rFonts w:eastAsia="Arial"/>
                <w:sz w:val="22"/>
                <w:szCs w:val="22"/>
              </w:rPr>
              <w:t>1. táblázat.</w:t>
            </w:r>
          </w:p>
        </w:tc>
        <w:tc>
          <w:tcPr>
            <w:tcW w:w="837" w:type="dxa"/>
            <w:vMerge w:val="restart"/>
            <w:tcBorders>
              <w:bottom w:val="single" w:sz="4" w:space="0" w:color="auto"/>
            </w:tcBorders>
            <w:shd w:val="clear" w:color="auto" w:fill="auto"/>
            <w:vAlign w:val="bottom"/>
          </w:tcPr>
          <w:p w14:paraId="06969007" w14:textId="77777777" w:rsidR="00FD0545" w:rsidRPr="00BD15C8" w:rsidRDefault="00FD0545" w:rsidP="00026782">
            <w:pPr>
              <w:spacing w:line="0" w:lineRule="atLeast"/>
              <w:rPr>
                <w:rFonts w:eastAsia="Arial"/>
                <w:sz w:val="22"/>
                <w:szCs w:val="22"/>
              </w:rPr>
            </w:pPr>
            <w:r w:rsidRPr="00BD15C8">
              <w:rPr>
                <w:rFonts w:eastAsia="Arial"/>
                <w:sz w:val="22"/>
                <w:szCs w:val="22"/>
              </w:rPr>
              <w:t>Érték</w:t>
            </w:r>
          </w:p>
        </w:tc>
      </w:tr>
      <w:tr w:rsidR="00FD0545" w:rsidRPr="00BD15C8" w14:paraId="7BB95951" w14:textId="77777777" w:rsidTr="00E878FB">
        <w:trPr>
          <w:trHeight w:val="307"/>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3D4D0A6A" w14:textId="77777777" w:rsidR="00FD0545" w:rsidRPr="00BD15C8" w:rsidRDefault="00FD0545" w:rsidP="00026782">
            <w:pPr>
              <w:spacing w:line="0" w:lineRule="atLeast"/>
              <w:rPr>
                <w:sz w:val="22"/>
                <w:szCs w:val="22"/>
              </w:rPr>
            </w:pP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4F954758" w14:textId="77777777" w:rsidR="00FD0545" w:rsidRPr="00BD15C8" w:rsidRDefault="00FD0545" w:rsidP="00026782">
            <w:pPr>
              <w:spacing w:line="0" w:lineRule="atLeast"/>
              <w:rPr>
                <w:rFonts w:eastAsia="Arial"/>
                <w:sz w:val="22"/>
                <w:szCs w:val="22"/>
              </w:rPr>
            </w:pPr>
            <w:r w:rsidRPr="00BD15C8">
              <w:rPr>
                <w:rFonts w:eastAsia="Arial"/>
                <w:sz w:val="22"/>
                <w:szCs w:val="22"/>
              </w:rPr>
              <w:t>Tudományos paraméter</w:t>
            </w: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CDED5B5" w14:textId="77777777" w:rsidR="00FD0545" w:rsidRPr="00BD15C8" w:rsidRDefault="00FD0545" w:rsidP="00026782">
            <w:pPr>
              <w:spacing w:line="0" w:lineRule="atLeast"/>
              <w:rPr>
                <w:sz w:val="22"/>
                <w:szCs w:val="22"/>
              </w:rPr>
            </w:pPr>
          </w:p>
        </w:tc>
      </w:tr>
      <w:tr w:rsidR="00FD0545" w:rsidRPr="00BD15C8" w14:paraId="12B2896A" w14:textId="77777777" w:rsidTr="00E878FB">
        <w:trPr>
          <w:trHeight w:val="261"/>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10A46D18" w14:textId="77777777" w:rsidR="00FD0545" w:rsidRPr="00BD15C8" w:rsidRDefault="00FD0545" w:rsidP="00026782">
            <w:pPr>
              <w:spacing w:line="259" w:lineRule="exact"/>
              <w:jc w:val="right"/>
              <w:rPr>
                <w:rFonts w:eastAsia="Arial"/>
                <w:sz w:val="22"/>
                <w:szCs w:val="22"/>
              </w:rPr>
            </w:pPr>
            <w:r w:rsidRPr="00BD15C8">
              <w:rPr>
                <w:rFonts w:eastAsia="Arial"/>
                <w:sz w:val="22"/>
                <w:szCs w:val="22"/>
              </w:rPr>
              <w:t>1.</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0EF9DE28" w14:textId="77777777" w:rsidR="00FD0545" w:rsidRPr="00BD15C8" w:rsidRDefault="00FD0545" w:rsidP="00026782">
            <w:pPr>
              <w:spacing w:line="259" w:lineRule="exact"/>
              <w:rPr>
                <w:rFonts w:eastAsia="Arial"/>
                <w:sz w:val="22"/>
                <w:szCs w:val="22"/>
              </w:rPr>
            </w:pPr>
            <w:r w:rsidRPr="00BD15C8">
              <w:rPr>
                <w:rFonts w:eastAsia="Arial"/>
                <w:sz w:val="22"/>
                <w:szCs w:val="22"/>
              </w:rPr>
              <w:t xml:space="preserve">szakkönyvek, </w:t>
            </w:r>
            <w:proofErr w:type="gramStart"/>
            <w:r w:rsidRPr="00BD15C8">
              <w:rPr>
                <w:rFonts w:eastAsia="Arial"/>
                <w:sz w:val="22"/>
                <w:szCs w:val="22"/>
              </w:rPr>
              <w:t>monográfiák</w:t>
            </w:r>
            <w:proofErr w:type="gramEnd"/>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22CC4CFF" w14:textId="77777777" w:rsidR="00FD0545" w:rsidRPr="00BD15C8" w:rsidRDefault="00FD0545" w:rsidP="00026782">
            <w:pPr>
              <w:spacing w:line="259" w:lineRule="exact"/>
              <w:jc w:val="center"/>
              <w:rPr>
                <w:rFonts w:eastAsia="Arial"/>
                <w:w w:val="74"/>
                <w:sz w:val="22"/>
                <w:szCs w:val="22"/>
              </w:rPr>
            </w:pPr>
            <w:r w:rsidRPr="00BD15C8">
              <w:rPr>
                <w:rFonts w:eastAsia="Arial"/>
                <w:w w:val="74"/>
                <w:sz w:val="22"/>
                <w:szCs w:val="22"/>
              </w:rPr>
              <w:t>2</w:t>
            </w:r>
          </w:p>
        </w:tc>
      </w:tr>
      <w:tr w:rsidR="00FD0545" w:rsidRPr="00BD15C8" w14:paraId="65CE7B9C"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664E5284"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2.</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65C075D5" w14:textId="77777777" w:rsidR="00FD0545" w:rsidRPr="00BD15C8" w:rsidRDefault="00FD0545" w:rsidP="00026782">
            <w:pPr>
              <w:spacing w:line="0" w:lineRule="atLeast"/>
              <w:rPr>
                <w:rFonts w:eastAsia="Arial"/>
                <w:sz w:val="22"/>
                <w:szCs w:val="22"/>
              </w:rPr>
            </w:pPr>
            <w:r w:rsidRPr="00BD15C8">
              <w:rPr>
                <w:rFonts w:eastAsia="Arial"/>
                <w:sz w:val="22"/>
                <w:szCs w:val="22"/>
              </w:rPr>
              <w:t>tanulmányok, könyvfejezetek idegennyelvű</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23754B17"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10</w:t>
            </w:r>
          </w:p>
        </w:tc>
      </w:tr>
      <w:tr w:rsidR="00FD0545" w:rsidRPr="00BD15C8" w14:paraId="248613C5"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3D68E9BC"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3.</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7CDBB7DF" w14:textId="77777777" w:rsidR="00FD0545" w:rsidRPr="00BD15C8" w:rsidRDefault="00FD0545" w:rsidP="00026782">
            <w:pPr>
              <w:spacing w:line="0" w:lineRule="atLeast"/>
              <w:rPr>
                <w:rFonts w:eastAsia="Arial"/>
                <w:sz w:val="22"/>
                <w:szCs w:val="22"/>
              </w:rPr>
            </w:pPr>
            <w:r w:rsidRPr="00BD15C8">
              <w:rPr>
                <w:rFonts w:eastAsia="Arial"/>
                <w:sz w:val="22"/>
                <w:szCs w:val="22"/>
              </w:rPr>
              <w:t>referált nemzetközi folyóiratcikk</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1429D967" w14:textId="77777777" w:rsidR="00FD0545" w:rsidRPr="00BD15C8" w:rsidRDefault="00FD0545" w:rsidP="00026782">
            <w:pPr>
              <w:spacing w:line="0" w:lineRule="atLeast"/>
              <w:jc w:val="center"/>
              <w:rPr>
                <w:rFonts w:eastAsia="Arial"/>
                <w:w w:val="74"/>
                <w:sz w:val="22"/>
                <w:szCs w:val="22"/>
              </w:rPr>
            </w:pPr>
            <w:r w:rsidRPr="00BD15C8">
              <w:rPr>
                <w:rFonts w:eastAsia="Arial"/>
                <w:w w:val="74"/>
                <w:sz w:val="22"/>
                <w:szCs w:val="22"/>
              </w:rPr>
              <w:t>5</w:t>
            </w:r>
          </w:p>
        </w:tc>
      </w:tr>
      <w:tr w:rsidR="00FD0545" w:rsidRPr="00BD15C8" w14:paraId="6149C8EB"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46B12DC1"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4.</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16352001" w14:textId="77777777" w:rsidR="00FD0545" w:rsidRPr="00BD15C8" w:rsidRDefault="00FD0545" w:rsidP="00026782">
            <w:pPr>
              <w:spacing w:line="0" w:lineRule="atLeast"/>
              <w:rPr>
                <w:rFonts w:eastAsia="Arial"/>
                <w:sz w:val="22"/>
                <w:szCs w:val="22"/>
              </w:rPr>
            </w:pPr>
            <w:r w:rsidRPr="00BD15C8">
              <w:rPr>
                <w:rFonts w:eastAsia="Arial"/>
                <w:sz w:val="22"/>
                <w:szCs w:val="22"/>
              </w:rPr>
              <w:t>független nemzetközi hivatkozás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0F198681"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20</w:t>
            </w:r>
          </w:p>
        </w:tc>
      </w:tr>
      <w:tr w:rsidR="00FD0545" w:rsidRPr="00BD15C8" w14:paraId="400FD03D"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66ADD934"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5.</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36728711" w14:textId="77777777" w:rsidR="00FD0545" w:rsidRPr="00BD15C8" w:rsidRDefault="00FD0545" w:rsidP="00026782">
            <w:pPr>
              <w:spacing w:line="0" w:lineRule="atLeast"/>
              <w:rPr>
                <w:rFonts w:eastAsia="Arial"/>
                <w:sz w:val="22"/>
                <w:szCs w:val="22"/>
              </w:rPr>
            </w:pPr>
            <w:r w:rsidRPr="00BD15C8">
              <w:rPr>
                <w:rFonts w:eastAsia="Arial"/>
                <w:sz w:val="22"/>
                <w:szCs w:val="22"/>
              </w:rPr>
              <w:t>összes független hivatkozás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62B47595"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80</w:t>
            </w:r>
          </w:p>
        </w:tc>
      </w:tr>
      <w:tr w:rsidR="00FD0545" w:rsidRPr="00BD15C8" w14:paraId="567D7700"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39B47858"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6.</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5B79AD0C" w14:textId="77777777" w:rsidR="00FD0545" w:rsidRPr="00BD15C8" w:rsidRDefault="00FD0545" w:rsidP="00026782">
            <w:pPr>
              <w:spacing w:line="0" w:lineRule="atLeast"/>
              <w:rPr>
                <w:rFonts w:eastAsia="Arial"/>
                <w:w w:val="97"/>
                <w:sz w:val="22"/>
                <w:szCs w:val="22"/>
              </w:rPr>
            </w:pPr>
            <w:r w:rsidRPr="00BD15C8">
              <w:rPr>
                <w:rFonts w:eastAsia="Arial"/>
                <w:w w:val="97"/>
                <w:sz w:val="22"/>
                <w:szCs w:val="22"/>
              </w:rPr>
              <w:t>összes tanulmány, könyvfejezet, folyóiratcikk magyar</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65F08078"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50</w:t>
            </w:r>
          </w:p>
        </w:tc>
      </w:tr>
      <w:tr w:rsidR="00FD0545" w:rsidRPr="00BD15C8" w14:paraId="10DF9CA2" w14:textId="77777777" w:rsidTr="00E878FB">
        <w:trPr>
          <w:trHeight w:val="290"/>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264B1B0F"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7.</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2A59E30B"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előadás nemzetközi </w:t>
            </w:r>
            <w:proofErr w:type="gramStart"/>
            <w:r w:rsidRPr="00BD15C8">
              <w:rPr>
                <w:rFonts w:eastAsia="Arial"/>
                <w:sz w:val="22"/>
                <w:szCs w:val="22"/>
              </w:rPr>
              <w:t>konferencián</w:t>
            </w:r>
            <w:proofErr w:type="gramEnd"/>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5567F99B"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10</w:t>
            </w:r>
          </w:p>
        </w:tc>
      </w:tr>
      <w:tr w:rsidR="00FD0545" w:rsidRPr="00BD15C8" w14:paraId="5A1F2C88" w14:textId="77777777" w:rsidTr="00E878FB">
        <w:trPr>
          <w:trHeight w:val="302"/>
        </w:trPr>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6D88A6D9" w14:textId="77777777" w:rsidR="00FD0545" w:rsidRPr="00BD15C8" w:rsidRDefault="00FD0545" w:rsidP="00026782">
            <w:pPr>
              <w:spacing w:line="0" w:lineRule="atLeast"/>
              <w:jc w:val="right"/>
              <w:rPr>
                <w:rFonts w:eastAsia="Arial"/>
                <w:sz w:val="22"/>
                <w:szCs w:val="22"/>
              </w:rPr>
            </w:pPr>
            <w:r w:rsidRPr="00BD15C8">
              <w:rPr>
                <w:rFonts w:eastAsia="Arial"/>
                <w:sz w:val="22"/>
                <w:szCs w:val="22"/>
              </w:rPr>
              <w:t>8.</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tcPr>
          <w:p w14:paraId="2E75D549" w14:textId="77777777" w:rsidR="00FD0545" w:rsidRPr="00BD15C8" w:rsidRDefault="00FD0545" w:rsidP="00026782">
            <w:pPr>
              <w:spacing w:line="0" w:lineRule="atLeast"/>
              <w:rPr>
                <w:rFonts w:eastAsia="Arial"/>
                <w:sz w:val="22"/>
                <w:szCs w:val="22"/>
              </w:rPr>
            </w:pPr>
            <w:r w:rsidRPr="00BD15C8">
              <w:rPr>
                <w:rFonts w:eastAsia="Arial"/>
                <w:sz w:val="22"/>
                <w:szCs w:val="22"/>
              </w:rPr>
              <w:t>összes előadás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79840E22" w14:textId="77777777" w:rsidR="00FD0545" w:rsidRPr="00BD15C8" w:rsidRDefault="00FD0545" w:rsidP="00026782">
            <w:pPr>
              <w:spacing w:line="0" w:lineRule="atLeast"/>
              <w:jc w:val="center"/>
              <w:rPr>
                <w:rFonts w:eastAsia="Arial"/>
                <w:w w:val="82"/>
                <w:sz w:val="22"/>
                <w:szCs w:val="22"/>
              </w:rPr>
            </w:pPr>
            <w:r w:rsidRPr="00BD15C8">
              <w:rPr>
                <w:rFonts w:eastAsia="Arial"/>
                <w:w w:val="82"/>
                <w:sz w:val="22"/>
                <w:szCs w:val="22"/>
              </w:rPr>
              <w:t>20</w:t>
            </w:r>
          </w:p>
        </w:tc>
      </w:tr>
    </w:tbl>
    <w:p w14:paraId="78FC32BF" w14:textId="77777777" w:rsidR="00FD0545" w:rsidRPr="00BD15C8" w:rsidRDefault="00FD0545" w:rsidP="00FD0545">
      <w:pPr>
        <w:spacing w:line="307" w:lineRule="exact"/>
        <w:rPr>
          <w:sz w:val="22"/>
          <w:szCs w:val="22"/>
        </w:rPr>
      </w:pPr>
    </w:p>
    <w:p w14:paraId="7E33C551" w14:textId="77777777" w:rsidR="00FD0545" w:rsidRDefault="00FD0545" w:rsidP="00FD0545">
      <w:pPr>
        <w:spacing w:line="247" w:lineRule="auto"/>
        <w:ind w:firstLine="351"/>
        <w:jc w:val="both"/>
        <w:rPr>
          <w:rFonts w:eastAsia="Arial"/>
          <w:sz w:val="22"/>
          <w:szCs w:val="22"/>
        </w:rPr>
      </w:pPr>
      <w:r w:rsidRPr="00BD15C8">
        <w:rPr>
          <w:rFonts w:eastAsia="Arial"/>
          <w:sz w:val="22"/>
          <w:szCs w:val="22"/>
        </w:rPr>
        <w:t>A táblázatban j-</w:t>
      </w:r>
      <w:proofErr w:type="spellStart"/>
      <w:r w:rsidRPr="00BD15C8">
        <w:rPr>
          <w:rFonts w:eastAsia="Arial"/>
          <w:sz w:val="22"/>
          <w:szCs w:val="22"/>
        </w:rPr>
        <w:t>edik</w:t>
      </w:r>
      <w:proofErr w:type="spellEnd"/>
      <w:r w:rsidRPr="00BD15C8">
        <w:rPr>
          <w:rFonts w:eastAsia="Arial"/>
          <w:sz w:val="22"/>
          <w:szCs w:val="22"/>
        </w:rPr>
        <w:t xml:space="preserve"> sorában az oktat</w:t>
      </w:r>
      <w:r>
        <w:rPr>
          <w:rFonts w:eastAsia="Arial"/>
          <w:sz w:val="22"/>
          <w:szCs w:val="22"/>
        </w:rPr>
        <w:t xml:space="preserve">ó által a hároméves </w:t>
      </w:r>
      <w:proofErr w:type="spellStart"/>
      <w:r>
        <w:rPr>
          <w:rFonts w:eastAsia="Arial"/>
          <w:sz w:val="22"/>
          <w:szCs w:val="22"/>
        </w:rPr>
        <w:t>csúszóperió</w:t>
      </w:r>
      <w:r w:rsidRPr="00BD15C8">
        <w:rPr>
          <w:rFonts w:eastAsia="Arial"/>
          <w:sz w:val="22"/>
          <w:szCs w:val="22"/>
        </w:rPr>
        <w:t>dusban</w:t>
      </w:r>
      <w:proofErr w:type="spellEnd"/>
      <w:r w:rsidRPr="00BD15C8">
        <w:rPr>
          <w:rFonts w:eastAsia="Arial"/>
          <w:sz w:val="22"/>
          <w:szCs w:val="22"/>
        </w:rPr>
        <w:t xml:space="preserve"> teljesített paramétert jelölje, </w:t>
      </w:r>
      <w:proofErr w:type="spellStart"/>
      <w:r w:rsidRPr="00BD15C8">
        <w:rPr>
          <w:rFonts w:eastAsia="Arial"/>
          <w:sz w:val="22"/>
          <w:szCs w:val="22"/>
        </w:rPr>
        <w:t>x</w:t>
      </w:r>
      <w:r>
        <w:rPr>
          <w:rFonts w:eastAsia="Arial"/>
          <w:sz w:val="22"/>
          <w:szCs w:val="22"/>
          <w:vertAlign w:val="subscript"/>
        </w:rPr>
        <w:t>j,</w:t>
      </w:r>
      <w:r w:rsidRPr="00BD15C8">
        <w:rPr>
          <w:rFonts w:eastAsia="Arial"/>
          <w:sz w:val="22"/>
          <w:szCs w:val="22"/>
          <w:vertAlign w:val="subscript"/>
        </w:rPr>
        <w:t>o</w:t>
      </w:r>
      <w:proofErr w:type="spellEnd"/>
      <w:r w:rsidRPr="00BD15C8">
        <w:rPr>
          <w:rFonts w:eastAsia="Arial"/>
          <w:sz w:val="22"/>
          <w:szCs w:val="22"/>
        </w:rPr>
        <w:t xml:space="preserve">, </w:t>
      </w:r>
      <w:proofErr w:type="spellStart"/>
      <w:r w:rsidRPr="00BD15C8">
        <w:rPr>
          <w:rFonts w:eastAsia="Arial"/>
          <w:sz w:val="22"/>
          <w:szCs w:val="22"/>
        </w:rPr>
        <w:t>x</w:t>
      </w:r>
      <w:r w:rsidRPr="00BD15C8">
        <w:rPr>
          <w:rFonts w:eastAsia="Arial"/>
          <w:sz w:val="22"/>
          <w:szCs w:val="22"/>
          <w:vertAlign w:val="subscript"/>
        </w:rPr>
        <w:t>j</w:t>
      </w:r>
      <w:proofErr w:type="spellEnd"/>
      <w:r w:rsidRPr="00BD15C8">
        <w:rPr>
          <w:rFonts w:eastAsia="Arial"/>
          <w:sz w:val="22"/>
          <w:szCs w:val="22"/>
        </w:rPr>
        <w:t xml:space="preserve"> pedig a teljesítendő </w:t>
      </w:r>
      <w:proofErr w:type="gramStart"/>
      <w:r w:rsidRPr="00BD15C8">
        <w:rPr>
          <w:rFonts w:eastAsia="Arial"/>
          <w:sz w:val="22"/>
          <w:szCs w:val="22"/>
        </w:rPr>
        <w:t>minimális</w:t>
      </w:r>
      <w:proofErr w:type="gramEnd"/>
      <w:r w:rsidRPr="00BD15C8">
        <w:rPr>
          <w:rFonts w:eastAsia="Arial"/>
          <w:sz w:val="22"/>
          <w:szCs w:val="22"/>
        </w:rPr>
        <w:t xml:space="preserve"> követelményeket jelenti a </w:t>
      </w:r>
      <w:proofErr w:type="spellStart"/>
      <w:r w:rsidRPr="00BD15C8">
        <w:rPr>
          <w:rFonts w:eastAsia="Arial"/>
          <w:sz w:val="22"/>
          <w:szCs w:val="22"/>
        </w:rPr>
        <w:t>DSc</w:t>
      </w:r>
      <w:proofErr w:type="spellEnd"/>
      <w:r w:rsidRPr="00BD15C8">
        <w:rPr>
          <w:rFonts w:eastAsia="Arial"/>
          <w:sz w:val="22"/>
          <w:szCs w:val="22"/>
        </w:rPr>
        <w:t xml:space="preserve"> cím megszerzé</w:t>
      </w:r>
      <w:r>
        <w:rPr>
          <w:rFonts w:eastAsia="Arial"/>
          <w:sz w:val="22"/>
          <w:szCs w:val="22"/>
        </w:rPr>
        <w:t>séhez. Az adott részpontok alap</w:t>
      </w:r>
      <w:r w:rsidRPr="00BD15C8">
        <w:rPr>
          <w:rFonts w:eastAsia="Arial"/>
          <w:sz w:val="22"/>
          <w:szCs w:val="22"/>
        </w:rPr>
        <w:t>ján a tudományos TÉR pont alábbi képlet alapján számítható:</w:t>
      </w:r>
    </w:p>
    <w:p w14:paraId="23259F0D" w14:textId="77777777" w:rsidR="00FD0545" w:rsidRDefault="00FD0545" w:rsidP="00FD0545">
      <w:pPr>
        <w:spacing w:line="247" w:lineRule="auto"/>
        <w:ind w:firstLine="351"/>
        <w:jc w:val="center"/>
        <w:rPr>
          <w:rFonts w:eastAsia="Arial"/>
          <w:sz w:val="22"/>
          <w:szCs w:val="22"/>
        </w:rPr>
      </w:pPr>
      <w:r w:rsidRPr="00CA5E30">
        <w:rPr>
          <w:noProof/>
        </w:rPr>
        <w:drawing>
          <wp:inline distT="0" distB="0" distL="0" distR="0" wp14:anchorId="20E3B0F6" wp14:editId="5A088C02">
            <wp:extent cx="3557270" cy="479425"/>
            <wp:effectExtent l="0" t="0" r="508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7270" cy="479425"/>
                    </a:xfrm>
                    <a:prstGeom prst="rect">
                      <a:avLst/>
                    </a:prstGeom>
                    <a:noFill/>
                    <a:ln>
                      <a:noFill/>
                    </a:ln>
                  </pic:spPr>
                </pic:pic>
              </a:graphicData>
            </a:graphic>
          </wp:inline>
        </w:drawing>
      </w:r>
    </w:p>
    <w:p w14:paraId="75537B7A" w14:textId="77777777" w:rsidR="00FD0545" w:rsidRPr="007336B9" w:rsidRDefault="00FD0545" w:rsidP="00FD0545">
      <w:pPr>
        <w:spacing w:line="247" w:lineRule="auto"/>
        <w:ind w:firstLine="351"/>
        <w:jc w:val="both"/>
        <w:rPr>
          <w:rFonts w:eastAsia="Arial"/>
          <w:sz w:val="22"/>
          <w:szCs w:val="22"/>
        </w:rPr>
      </w:pPr>
      <w:proofErr w:type="gramStart"/>
      <w:r w:rsidRPr="007336B9">
        <w:rPr>
          <w:rFonts w:eastAsia="Arial"/>
          <w:sz w:val="22"/>
          <w:szCs w:val="22"/>
        </w:rPr>
        <w:t>ahol</w:t>
      </w:r>
      <w:proofErr w:type="gramEnd"/>
      <w:r w:rsidRPr="007336B9">
        <w:rPr>
          <w:rFonts w:eastAsia="Arial"/>
          <w:sz w:val="22"/>
          <w:szCs w:val="22"/>
        </w:rPr>
        <w:t xml:space="preserve"> </w:t>
      </w:r>
      <w:proofErr w:type="spellStart"/>
      <w:r w:rsidRPr="007336B9">
        <w:rPr>
          <w:rFonts w:eastAsia="Arial"/>
          <w:sz w:val="22"/>
          <w:szCs w:val="22"/>
        </w:rPr>
        <w:t>w</w:t>
      </w:r>
      <w:r w:rsidRPr="007336B9">
        <w:rPr>
          <w:rFonts w:eastAsia="Arial"/>
          <w:sz w:val="22"/>
          <w:szCs w:val="22"/>
          <w:vertAlign w:val="subscript"/>
        </w:rPr>
        <w:t>j</w:t>
      </w:r>
      <w:proofErr w:type="spellEnd"/>
      <w:r w:rsidRPr="007336B9">
        <w:rPr>
          <w:rFonts w:eastAsia="Arial"/>
          <w:sz w:val="22"/>
          <w:szCs w:val="22"/>
        </w:rPr>
        <w:t xml:space="preserve"> = 0,125 </w:t>
      </w:r>
      <w:proofErr w:type="spellStart"/>
      <w:r w:rsidRPr="007336B9">
        <w:rPr>
          <w:rFonts w:eastAsia="Arial"/>
          <w:strike/>
          <w:sz w:val="22"/>
          <w:szCs w:val="22"/>
        </w:rPr>
        <w:t>V</w:t>
      </w:r>
      <w:r w:rsidRPr="007336B9">
        <w:rPr>
          <w:rFonts w:eastAsia="Arial"/>
          <w:sz w:val="22"/>
          <w:szCs w:val="22"/>
        </w:rPr>
        <w:t>j</w:t>
      </w:r>
      <w:proofErr w:type="spellEnd"/>
      <w:r w:rsidRPr="007336B9">
        <w:rPr>
          <w:rFonts w:eastAsia="Arial"/>
          <w:sz w:val="22"/>
          <w:szCs w:val="22"/>
        </w:rPr>
        <w:t>-re.</w:t>
      </w:r>
    </w:p>
    <w:p w14:paraId="1EB4FBA5" w14:textId="77777777" w:rsidR="00FD0545" w:rsidRPr="00BD15C8" w:rsidRDefault="00FD0545" w:rsidP="00FD0545">
      <w:pPr>
        <w:spacing w:line="16" w:lineRule="exact"/>
        <w:rPr>
          <w:sz w:val="22"/>
          <w:szCs w:val="22"/>
        </w:rPr>
      </w:pPr>
    </w:p>
    <w:p w14:paraId="2026BA64" w14:textId="77777777" w:rsidR="00FD0545" w:rsidRPr="00BD15C8" w:rsidRDefault="00FD0545" w:rsidP="00FD0545">
      <w:pPr>
        <w:spacing w:line="0" w:lineRule="atLeast"/>
        <w:ind w:firstLine="351"/>
        <w:rPr>
          <w:rFonts w:eastAsia="Arial"/>
          <w:sz w:val="22"/>
          <w:szCs w:val="22"/>
        </w:rPr>
      </w:pPr>
      <w:r w:rsidRPr="00BD15C8">
        <w:rPr>
          <w:rFonts w:eastAsia="Arial"/>
          <w:sz w:val="22"/>
          <w:szCs w:val="22"/>
        </w:rPr>
        <w:t xml:space="preserve">A képlet alapján a 1. táblázat utolsó három sorában szereplő tudományos paraméterekkel megszerezhető részpontok felülről </w:t>
      </w:r>
      <w:proofErr w:type="spellStart"/>
      <w:r w:rsidRPr="00BD15C8">
        <w:rPr>
          <w:rFonts w:eastAsia="Arial"/>
          <w:sz w:val="22"/>
          <w:szCs w:val="22"/>
        </w:rPr>
        <w:t>korlátosak</w:t>
      </w:r>
      <w:proofErr w:type="spellEnd"/>
      <w:r w:rsidRPr="00BD15C8">
        <w:rPr>
          <w:rFonts w:eastAsia="Arial"/>
          <w:sz w:val="22"/>
          <w:szCs w:val="22"/>
        </w:rPr>
        <w:t>.</w:t>
      </w:r>
    </w:p>
    <w:p w14:paraId="08C952D1" w14:textId="77777777" w:rsidR="00FD0545" w:rsidRPr="00BD15C8" w:rsidRDefault="00FD0545" w:rsidP="00FD0545">
      <w:pPr>
        <w:spacing w:line="274" w:lineRule="exact"/>
        <w:rPr>
          <w:sz w:val="22"/>
          <w:szCs w:val="22"/>
        </w:rPr>
      </w:pPr>
    </w:p>
    <w:p w14:paraId="2E7AD027" w14:textId="77777777" w:rsidR="00FD0545" w:rsidRPr="00634FBC" w:rsidRDefault="00FD0545" w:rsidP="00FD0545">
      <w:pPr>
        <w:spacing w:line="0" w:lineRule="atLeast"/>
        <w:ind w:left="284"/>
        <w:rPr>
          <w:rFonts w:eastAsia="Arial"/>
          <w:i/>
          <w:sz w:val="22"/>
          <w:szCs w:val="22"/>
        </w:rPr>
      </w:pPr>
      <w:r w:rsidRPr="00634FBC">
        <w:rPr>
          <w:rFonts w:eastAsia="Arial"/>
          <w:i/>
          <w:sz w:val="22"/>
          <w:szCs w:val="22"/>
        </w:rPr>
        <w:t>Gazdaságtudomány</w:t>
      </w:r>
    </w:p>
    <w:p w14:paraId="389032CC" w14:textId="77777777" w:rsidR="00FD0545" w:rsidRPr="00BD15C8" w:rsidRDefault="00FD0545" w:rsidP="00FD0545">
      <w:pPr>
        <w:spacing w:line="294" w:lineRule="exact"/>
        <w:rPr>
          <w:sz w:val="22"/>
          <w:szCs w:val="22"/>
        </w:rPr>
      </w:pPr>
    </w:p>
    <w:p w14:paraId="0EF992A8" w14:textId="77777777" w:rsidR="00FD0545" w:rsidRDefault="00FD0545" w:rsidP="00FD0545">
      <w:pPr>
        <w:spacing w:line="319" w:lineRule="auto"/>
        <w:ind w:firstLine="351"/>
        <w:jc w:val="both"/>
        <w:rPr>
          <w:rFonts w:eastAsia="Arial"/>
          <w:sz w:val="22"/>
          <w:szCs w:val="22"/>
        </w:rPr>
      </w:pPr>
      <w:r w:rsidRPr="00BD15C8">
        <w:rPr>
          <w:rFonts w:eastAsia="Arial"/>
          <w:sz w:val="22"/>
          <w:szCs w:val="22"/>
        </w:rPr>
        <w:t xml:space="preserve">Nemzetközi A–D </w:t>
      </w:r>
      <w:proofErr w:type="gramStart"/>
      <w:r w:rsidRPr="00BD15C8">
        <w:rPr>
          <w:rFonts w:eastAsia="Arial"/>
          <w:sz w:val="22"/>
          <w:szCs w:val="22"/>
        </w:rPr>
        <w:t>kategóriás</w:t>
      </w:r>
      <w:proofErr w:type="gramEnd"/>
      <w:r w:rsidRPr="00BD15C8">
        <w:rPr>
          <w:rFonts w:eastAsia="Arial"/>
          <w:sz w:val="22"/>
          <w:szCs w:val="22"/>
        </w:rPr>
        <w:t xml:space="preserve"> folyóiratokból minimálisan 35 pontot, az összes publikációkból pedig 120 pont kell elérni</w:t>
      </w:r>
      <w:r>
        <w:rPr>
          <w:rFonts w:eastAsia="Arial"/>
          <w:sz w:val="22"/>
          <w:szCs w:val="22"/>
        </w:rPr>
        <w:t xml:space="preserve"> a </w:t>
      </w:r>
      <w:proofErr w:type="spellStart"/>
      <w:r>
        <w:rPr>
          <w:rFonts w:eastAsia="Arial"/>
          <w:sz w:val="22"/>
          <w:szCs w:val="22"/>
        </w:rPr>
        <w:t>DSc</w:t>
      </w:r>
      <w:proofErr w:type="spellEnd"/>
      <w:r>
        <w:rPr>
          <w:rFonts w:eastAsia="Arial"/>
          <w:sz w:val="22"/>
          <w:szCs w:val="22"/>
        </w:rPr>
        <w:t xml:space="preserve"> cím eléréséhez. A 2. táblázat</w:t>
      </w:r>
      <w:r>
        <w:rPr>
          <w:rStyle w:val="Lbjegyzet-hivatkozs"/>
          <w:rFonts w:eastAsia="Arial"/>
          <w:sz w:val="22"/>
          <w:szCs w:val="22"/>
        </w:rPr>
        <w:footnoteReference w:id="492"/>
      </w:r>
      <w:r>
        <w:rPr>
          <w:rFonts w:eastAsia="Arial"/>
          <w:sz w:val="22"/>
          <w:szCs w:val="22"/>
        </w:rPr>
        <w:t xml:space="preserve"> tartalmazza, hogy az adott publikációs teljesítménnyel hány pontot lehet szerezni. </w:t>
      </w:r>
    </w:p>
    <w:tbl>
      <w:tblPr>
        <w:tblW w:w="0" w:type="auto"/>
        <w:tblInd w:w="780" w:type="dxa"/>
        <w:tblLayout w:type="fixed"/>
        <w:tblCellMar>
          <w:left w:w="0" w:type="dxa"/>
          <w:right w:w="0" w:type="dxa"/>
        </w:tblCellMar>
        <w:tblLook w:val="0000" w:firstRow="0" w:lastRow="0" w:firstColumn="0" w:lastColumn="0" w:noHBand="0" w:noVBand="0"/>
      </w:tblPr>
      <w:tblGrid>
        <w:gridCol w:w="540"/>
        <w:gridCol w:w="5620"/>
        <w:gridCol w:w="800"/>
      </w:tblGrid>
      <w:tr w:rsidR="00FD0545" w:rsidRPr="00BD15C8" w14:paraId="21A77ADA" w14:textId="77777777" w:rsidTr="00E878FB">
        <w:trPr>
          <w:trHeight w:val="276"/>
        </w:trPr>
        <w:tc>
          <w:tcPr>
            <w:tcW w:w="540" w:type="dxa"/>
            <w:tcBorders>
              <w:bottom w:val="single" w:sz="4" w:space="0" w:color="auto"/>
            </w:tcBorders>
            <w:shd w:val="clear" w:color="auto" w:fill="auto"/>
            <w:vAlign w:val="bottom"/>
          </w:tcPr>
          <w:p w14:paraId="177BE2A4" w14:textId="77777777" w:rsidR="00FD0545" w:rsidRPr="00BD15C8" w:rsidRDefault="00FD0545" w:rsidP="00026782">
            <w:pPr>
              <w:spacing w:line="0" w:lineRule="atLeast"/>
              <w:rPr>
                <w:sz w:val="22"/>
                <w:szCs w:val="22"/>
              </w:rPr>
            </w:pPr>
          </w:p>
        </w:tc>
        <w:tc>
          <w:tcPr>
            <w:tcW w:w="5620" w:type="dxa"/>
            <w:tcBorders>
              <w:bottom w:val="single" w:sz="4" w:space="0" w:color="auto"/>
            </w:tcBorders>
            <w:shd w:val="clear" w:color="auto" w:fill="auto"/>
            <w:vAlign w:val="bottom"/>
          </w:tcPr>
          <w:p w14:paraId="06B27C7B" w14:textId="77777777" w:rsidR="00FD0545" w:rsidRPr="00BD15C8" w:rsidRDefault="00FD0545" w:rsidP="00026782">
            <w:pPr>
              <w:spacing w:line="0" w:lineRule="atLeast"/>
              <w:rPr>
                <w:rFonts w:eastAsia="Arial"/>
                <w:sz w:val="22"/>
                <w:szCs w:val="22"/>
              </w:rPr>
            </w:pPr>
            <w:r w:rsidRPr="00BD15C8">
              <w:rPr>
                <w:rFonts w:eastAsia="Arial"/>
                <w:sz w:val="22"/>
                <w:szCs w:val="22"/>
              </w:rPr>
              <w:t>2. táblázat.</w:t>
            </w:r>
          </w:p>
        </w:tc>
        <w:tc>
          <w:tcPr>
            <w:tcW w:w="800" w:type="dxa"/>
            <w:vMerge w:val="restart"/>
            <w:tcBorders>
              <w:bottom w:val="single" w:sz="4" w:space="0" w:color="auto"/>
            </w:tcBorders>
            <w:shd w:val="clear" w:color="auto" w:fill="auto"/>
            <w:vAlign w:val="bottom"/>
          </w:tcPr>
          <w:p w14:paraId="085E386E" w14:textId="77777777" w:rsidR="00FD0545" w:rsidRPr="00BD15C8" w:rsidRDefault="00FD0545" w:rsidP="00026782">
            <w:pPr>
              <w:spacing w:line="0" w:lineRule="atLeast"/>
              <w:rPr>
                <w:rFonts w:eastAsia="Arial"/>
                <w:sz w:val="22"/>
                <w:szCs w:val="22"/>
              </w:rPr>
            </w:pPr>
            <w:r w:rsidRPr="00BD15C8">
              <w:rPr>
                <w:rFonts w:eastAsia="Arial"/>
                <w:sz w:val="22"/>
                <w:szCs w:val="22"/>
              </w:rPr>
              <w:t>Érték</w:t>
            </w:r>
          </w:p>
        </w:tc>
      </w:tr>
      <w:tr w:rsidR="00FD0545" w:rsidRPr="00BD15C8" w14:paraId="4E0A9B25" w14:textId="77777777" w:rsidTr="00E878FB">
        <w:trPr>
          <w:trHeight w:val="306"/>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120BB16" w14:textId="77777777" w:rsidR="00FD0545" w:rsidRPr="00BD15C8" w:rsidRDefault="00FD0545" w:rsidP="00026782">
            <w:pPr>
              <w:spacing w:line="0" w:lineRule="atLeast"/>
              <w:rPr>
                <w:sz w:val="22"/>
                <w:szCs w:val="22"/>
              </w:rPr>
            </w:pP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4FB6162E" w14:textId="77777777" w:rsidR="00FD0545" w:rsidRPr="00BD15C8" w:rsidRDefault="00FD0545" w:rsidP="00026782">
            <w:pPr>
              <w:spacing w:line="0" w:lineRule="atLeast"/>
              <w:rPr>
                <w:rFonts w:eastAsia="Arial"/>
                <w:sz w:val="22"/>
                <w:szCs w:val="22"/>
              </w:rPr>
            </w:pPr>
            <w:r w:rsidRPr="00BD15C8">
              <w:rPr>
                <w:rFonts w:eastAsia="Arial"/>
                <w:sz w:val="22"/>
                <w:szCs w:val="22"/>
              </w:rPr>
              <w:t>Tudományos paraméter</w:t>
            </w: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77DBEBA" w14:textId="77777777" w:rsidR="00FD0545" w:rsidRPr="00BD15C8" w:rsidRDefault="00FD0545" w:rsidP="00026782">
            <w:pPr>
              <w:spacing w:line="0" w:lineRule="atLeast"/>
              <w:rPr>
                <w:sz w:val="22"/>
                <w:szCs w:val="22"/>
              </w:rPr>
            </w:pPr>
          </w:p>
        </w:tc>
      </w:tr>
      <w:tr w:rsidR="00FD0545" w:rsidRPr="00BD15C8" w14:paraId="1BA6A3D4" w14:textId="77777777" w:rsidTr="00E878FB">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7EEAF6A" w14:textId="77777777" w:rsidR="00FD0545" w:rsidRPr="00BD15C8" w:rsidRDefault="00FD0545" w:rsidP="00026782">
            <w:pPr>
              <w:spacing w:line="259" w:lineRule="exact"/>
              <w:jc w:val="center"/>
              <w:rPr>
                <w:rFonts w:eastAsia="Arial"/>
                <w:w w:val="89"/>
                <w:sz w:val="22"/>
                <w:szCs w:val="22"/>
              </w:rPr>
            </w:pPr>
            <w:r w:rsidRPr="00BD15C8">
              <w:rPr>
                <w:rFonts w:eastAsia="Arial"/>
                <w:w w:val="89"/>
                <w:sz w:val="22"/>
                <w:szCs w:val="22"/>
              </w:rPr>
              <w:t>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6ACC283B" w14:textId="77777777" w:rsidR="00FD0545" w:rsidRPr="00BD15C8" w:rsidRDefault="00FD0545" w:rsidP="00026782">
            <w:pPr>
              <w:spacing w:line="259" w:lineRule="exact"/>
              <w:rPr>
                <w:rFonts w:eastAsia="Arial"/>
                <w:w w:val="98"/>
                <w:sz w:val="22"/>
                <w:szCs w:val="22"/>
              </w:rPr>
            </w:pPr>
            <w:r w:rsidRPr="00BD15C8">
              <w:rPr>
                <w:rFonts w:eastAsia="Arial"/>
                <w:w w:val="98"/>
                <w:sz w:val="22"/>
                <w:szCs w:val="22"/>
              </w:rPr>
              <w:t xml:space="preserve">Kiemelt tud. nemzetközi könyv, </w:t>
            </w:r>
            <w:proofErr w:type="gramStart"/>
            <w:r w:rsidRPr="00BD15C8">
              <w:rPr>
                <w:rFonts w:eastAsia="Arial"/>
                <w:w w:val="98"/>
                <w:sz w:val="22"/>
                <w:szCs w:val="22"/>
              </w:rPr>
              <w:t>monográfia</w:t>
            </w:r>
            <w:proofErr w:type="gramEnd"/>
            <w:r w:rsidRPr="00BD15C8">
              <w:rPr>
                <w:rFonts w:eastAsia="Arial"/>
                <w:w w:val="98"/>
                <w:sz w:val="22"/>
                <w:szCs w:val="22"/>
              </w:rPr>
              <w:t xml:space="preserve"> ívszáma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35305E83" w14:textId="77777777" w:rsidR="00FD0545" w:rsidRPr="00BD15C8" w:rsidRDefault="00FD0545" w:rsidP="00026782">
            <w:pPr>
              <w:spacing w:line="259" w:lineRule="exact"/>
              <w:jc w:val="center"/>
              <w:rPr>
                <w:rFonts w:eastAsia="Arial"/>
                <w:w w:val="89"/>
                <w:sz w:val="22"/>
                <w:szCs w:val="22"/>
              </w:rPr>
            </w:pPr>
            <w:r w:rsidRPr="00BD15C8">
              <w:rPr>
                <w:rFonts w:eastAsia="Arial"/>
                <w:w w:val="89"/>
                <w:sz w:val="22"/>
                <w:szCs w:val="22"/>
              </w:rPr>
              <w:t>3</w:t>
            </w:r>
          </w:p>
        </w:tc>
      </w:tr>
      <w:tr w:rsidR="00FD0545" w:rsidRPr="00BD15C8" w14:paraId="472C474F"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2E7C67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70B6BEBD"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hazai könyv, </w:t>
            </w:r>
            <w:proofErr w:type="gramStart"/>
            <w:r w:rsidRPr="00BD15C8">
              <w:rPr>
                <w:rFonts w:eastAsia="Arial"/>
                <w:sz w:val="22"/>
                <w:szCs w:val="22"/>
              </w:rPr>
              <w:t>monográfia</w:t>
            </w:r>
            <w:proofErr w:type="gramEnd"/>
            <w:r w:rsidRPr="00BD15C8">
              <w:rPr>
                <w:rFonts w:eastAsia="Arial"/>
                <w:sz w:val="22"/>
                <w:szCs w:val="22"/>
              </w:rPr>
              <w:t xml:space="preserve"> ívszáma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DC0593D"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r>
      <w:tr w:rsidR="00FD0545" w:rsidRPr="00BD15C8" w14:paraId="66E5D422"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8B88CD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2B0030EF"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nemzetközi könyv, </w:t>
            </w:r>
            <w:proofErr w:type="gramStart"/>
            <w:r w:rsidRPr="00BD15C8">
              <w:rPr>
                <w:rFonts w:eastAsia="Arial"/>
                <w:sz w:val="22"/>
                <w:szCs w:val="22"/>
              </w:rPr>
              <w:t>monográfia</w:t>
            </w:r>
            <w:proofErr w:type="gramEnd"/>
            <w:r w:rsidRPr="00BD15C8">
              <w:rPr>
                <w:rFonts w:eastAsia="Arial"/>
                <w:sz w:val="22"/>
                <w:szCs w:val="22"/>
              </w:rPr>
              <w:t xml:space="preserve"> </w:t>
            </w:r>
            <w:proofErr w:type="spellStart"/>
            <w:r w:rsidRPr="00BD15C8">
              <w:rPr>
                <w:rFonts w:eastAsia="Arial"/>
                <w:sz w:val="22"/>
                <w:szCs w:val="22"/>
              </w:rPr>
              <w:t>szerk</w:t>
            </w:r>
            <w:proofErr w:type="spellEnd"/>
            <w:r w:rsidRPr="00BD15C8">
              <w:rPr>
                <w:rFonts w:eastAsia="Arial"/>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161FAF8"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6</w:t>
            </w:r>
          </w:p>
        </w:tc>
      </w:tr>
      <w:tr w:rsidR="00FD0545" w:rsidRPr="00BD15C8" w14:paraId="1956EEF7"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A08069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40F20B27"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hazai könyv, </w:t>
            </w:r>
            <w:proofErr w:type="gramStart"/>
            <w:r w:rsidRPr="00BD15C8">
              <w:rPr>
                <w:rFonts w:eastAsia="Arial"/>
                <w:sz w:val="22"/>
                <w:szCs w:val="22"/>
              </w:rPr>
              <w:t>monográfia</w:t>
            </w:r>
            <w:proofErr w:type="gramEnd"/>
            <w:r w:rsidRPr="00BD15C8">
              <w:rPr>
                <w:rFonts w:eastAsia="Arial"/>
                <w:sz w:val="22"/>
                <w:szCs w:val="22"/>
              </w:rPr>
              <w:t xml:space="preserve"> </w:t>
            </w:r>
            <w:proofErr w:type="spellStart"/>
            <w:r w:rsidRPr="00BD15C8">
              <w:rPr>
                <w:rFonts w:eastAsia="Arial"/>
                <w:sz w:val="22"/>
                <w:szCs w:val="22"/>
              </w:rPr>
              <w:t>szerk</w:t>
            </w:r>
            <w:proofErr w:type="spellEnd"/>
            <w:r w:rsidRPr="00BD15C8">
              <w:rPr>
                <w:rFonts w:eastAsia="Arial"/>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0A29C6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4</w:t>
            </w:r>
          </w:p>
        </w:tc>
      </w:tr>
      <w:tr w:rsidR="00FD0545" w:rsidRPr="00BD15C8" w14:paraId="19796C96"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71A418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055018E2"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Nemzetközi folyóiratcikk </w:t>
            </w:r>
            <w:proofErr w:type="gramStart"/>
            <w:r w:rsidRPr="00BD15C8">
              <w:rPr>
                <w:rFonts w:eastAsia="Arial"/>
                <w:sz w:val="22"/>
                <w:szCs w:val="22"/>
              </w:rPr>
              <w:t>A</w:t>
            </w:r>
            <w:proofErr w:type="gramEnd"/>
            <w:r w:rsidRPr="00BD15C8">
              <w:rPr>
                <w:rFonts w:eastAsia="Arial"/>
                <w:sz w:val="22"/>
                <w:szCs w:val="22"/>
              </w:rPr>
              <w:t>.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CD744D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20</w:t>
            </w:r>
          </w:p>
        </w:tc>
      </w:tr>
      <w:tr w:rsidR="00FD0545" w:rsidRPr="00BD15C8" w14:paraId="036D9C32"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247870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6.</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6D146E96"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B.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3E3562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r>
      <w:tr w:rsidR="00FD0545" w:rsidRPr="00BD15C8" w14:paraId="71E2546E"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F0DE536"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7.</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731F012F"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C.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77D6D9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10</w:t>
            </w:r>
          </w:p>
        </w:tc>
      </w:tr>
      <w:tr w:rsidR="00FD0545" w:rsidRPr="00BD15C8" w14:paraId="4A76B39D"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2CDF59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8.</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0253CF52"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D.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4451D0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8</w:t>
            </w:r>
          </w:p>
        </w:tc>
      </w:tr>
      <w:tr w:rsidR="00FD0545" w:rsidRPr="00BD15C8" w14:paraId="58EE9740"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6D56F5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9.</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051E411E"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Hazai folyóiratcikk </w:t>
            </w:r>
            <w:proofErr w:type="gramStart"/>
            <w:r w:rsidRPr="00BD15C8">
              <w:rPr>
                <w:rFonts w:eastAsia="Arial"/>
                <w:sz w:val="22"/>
                <w:szCs w:val="22"/>
              </w:rPr>
              <w:t>A</w:t>
            </w:r>
            <w:proofErr w:type="gramEnd"/>
            <w:r w:rsidRPr="00BD15C8">
              <w:rPr>
                <w:rFonts w:eastAsia="Arial"/>
                <w:sz w:val="22"/>
                <w:szCs w:val="22"/>
              </w:rPr>
              <w:t>.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4B4D8D0"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10</w:t>
            </w:r>
          </w:p>
        </w:tc>
      </w:tr>
      <w:tr w:rsidR="00FD0545" w:rsidRPr="00BD15C8" w14:paraId="269F5F2B"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42D5D79"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6B67C205"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B.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68B3C9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8</w:t>
            </w:r>
          </w:p>
        </w:tc>
      </w:tr>
      <w:tr w:rsidR="00FD0545" w:rsidRPr="00BD15C8" w14:paraId="037811D3"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B12BBF4"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28C1567C"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C.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1C1F9A88"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6</w:t>
            </w:r>
          </w:p>
        </w:tc>
      </w:tr>
      <w:tr w:rsidR="00FD0545" w:rsidRPr="00BD15C8" w14:paraId="0511AF15"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0508AE5"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lastRenderedPageBreak/>
              <w:t>12.</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1CED325C"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D. kat.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52B1AB9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4</w:t>
            </w:r>
          </w:p>
        </w:tc>
      </w:tr>
      <w:tr w:rsidR="00FD0545" w:rsidRPr="00BD15C8" w14:paraId="09E2D70B"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276749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13.</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6562EADD" w14:textId="77777777" w:rsidR="00FD0545" w:rsidRPr="00BD15C8" w:rsidRDefault="00FD0545" w:rsidP="00026782">
            <w:pPr>
              <w:spacing w:line="0" w:lineRule="atLeast"/>
              <w:rPr>
                <w:rFonts w:eastAsia="Arial"/>
                <w:w w:val="98"/>
                <w:sz w:val="22"/>
                <w:szCs w:val="22"/>
              </w:rPr>
            </w:pPr>
            <w:r w:rsidRPr="00BD15C8">
              <w:rPr>
                <w:rFonts w:eastAsia="Arial"/>
                <w:w w:val="98"/>
                <w:sz w:val="22"/>
                <w:szCs w:val="22"/>
              </w:rPr>
              <w:t xml:space="preserve">További ISBN sz. nemz. könyv, </w:t>
            </w:r>
            <w:proofErr w:type="gramStart"/>
            <w:r w:rsidRPr="00BD15C8">
              <w:rPr>
                <w:rFonts w:eastAsia="Arial"/>
                <w:w w:val="98"/>
                <w:sz w:val="22"/>
                <w:szCs w:val="22"/>
              </w:rPr>
              <w:t>monográfia</w:t>
            </w:r>
            <w:proofErr w:type="gramEnd"/>
            <w:r w:rsidRPr="00BD15C8">
              <w:rPr>
                <w:rFonts w:eastAsia="Arial"/>
                <w:w w:val="98"/>
                <w:sz w:val="22"/>
                <w:szCs w:val="22"/>
              </w:rPr>
              <w:t xml:space="preserve"> ívszáma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1ED91AB8"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r>
      <w:tr w:rsidR="00FD0545" w:rsidRPr="00BD15C8" w14:paraId="6B6EB4EE"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E607E70"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36DF666E" w14:textId="77777777" w:rsidR="00FD0545" w:rsidRPr="00BD15C8" w:rsidRDefault="00FD0545" w:rsidP="00026782">
            <w:pPr>
              <w:spacing w:line="0" w:lineRule="atLeast"/>
              <w:rPr>
                <w:rFonts w:eastAsia="Arial"/>
                <w:w w:val="99"/>
                <w:sz w:val="22"/>
                <w:szCs w:val="22"/>
              </w:rPr>
            </w:pPr>
            <w:r w:rsidRPr="00BD15C8">
              <w:rPr>
                <w:rFonts w:eastAsia="Arial"/>
                <w:w w:val="99"/>
                <w:sz w:val="22"/>
                <w:szCs w:val="22"/>
              </w:rPr>
              <w:t xml:space="preserve">További ISBN sz. hazai könyv, </w:t>
            </w:r>
            <w:proofErr w:type="gramStart"/>
            <w:r w:rsidRPr="00BD15C8">
              <w:rPr>
                <w:rFonts w:eastAsia="Arial"/>
                <w:w w:val="99"/>
                <w:sz w:val="22"/>
                <w:szCs w:val="22"/>
              </w:rPr>
              <w:t>monográfia</w:t>
            </w:r>
            <w:proofErr w:type="gramEnd"/>
            <w:r w:rsidRPr="00BD15C8">
              <w:rPr>
                <w:rFonts w:eastAsia="Arial"/>
                <w:w w:val="99"/>
                <w:sz w:val="22"/>
                <w:szCs w:val="22"/>
              </w:rPr>
              <w:t xml:space="preserve"> ívszáma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33695856"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r>
      <w:tr w:rsidR="00FD0545" w:rsidRPr="00BD15C8" w14:paraId="786FE91A"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11FF890"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128F6795"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nemz. könyv, </w:t>
            </w:r>
            <w:proofErr w:type="spellStart"/>
            <w:r w:rsidRPr="00BD15C8">
              <w:rPr>
                <w:rFonts w:eastAsia="Arial"/>
                <w:sz w:val="22"/>
                <w:szCs w:val="22"/>
              </w:rPr>
              <w:t>monogr</w:t>
            </w:r>
            <w:proofErr w:type="spellEnd"/>
            <w:r w:rsidRPr="00BD15C8">
              <w:rPr>
                <w:rFonts w:eastAsia="Arial"/>
                <w:sz w:val="22"/>
                <w:szCs w:val="22"/>
              </w:rPr>
              <w:t xml:space="preserve">. </w:t>
            </w:r>
            <w:proofErr w:type="spellStart"/>
            <w:r w:rsidRPr="00BD15C8">
              <w:rPr>
                <w:rFonts w:eastAsia="Arial"/>
                <w:sz w:val="22"/>
                <w:szCs w:val="22"/>
              </w:rPr>
              <w:t>szerk</w:t>
            </w:r>
            <w:proofErr w:type="spellEnd"/>
            <w:r w:rsidRPr="00BD15C8">
              <w:rPr>
                <w:rFonts w:eastAsia="Arial"/>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2858C9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3</w:t>
            </w:r>
          </w:p>
        </w:tc>
      </w:tr>
      <w:tr w:rsidR="00FD0545" w:rsidRPr="00BD15C8" w14:paraId="360A72FB"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84E7FA1"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16.</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768346FC"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hazai könyv, </w:t>
            </w:r>
            <w:proofErr w:type="spellStart"/>
            <w:r w:rsidRPr="00BD15C8">
              <w:rPr>
                <w:rFonts w:eastAsia="Arial"/>
                <w:sz w:val="22"/>
                <w:szCs w:val="22"/>
              </w:rPr>
              <w:t>monogr</w:t>
            </w:r>
            <w:proofErr w:type="spellEnd"/>
            <w:r w:rsidRPr="00BD15C8">
              <w:rPr>
                <w:rFonts w:eastAsia="Arial"/>
                <w:sz w:val="22"/>
                <w:szCs w:val="22"/>
              </w:rPr>
              <w:t xml:space="preserve">. </w:t>
            </w:r>
            <w:proofErr w:type="spellStart"/>
            <w:r w:rsidRPr="00BD15C8">
              <w:rPr>
                <w:rFonts w:eastAsia="Arial"/>
                <w:sz w:val="22"/>
                <w:szCs w:val="22"/>
              </w:rPr>
              <w:t>szerk</w:t>
            </w:r>
            <w:proofErr w:type="spellEnd"/>
            <w:r w:rsidRPr="00BD15C8">
              <w:rPr>
                <w:rFonts w:eastAsia="Arial"/>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547295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r>
      <w:tr w:rsidR="00FD0545" w:rsidRPr="00BD15C8" w14:paraId="1331959B" w14:textId="77777777" w:rsidTr="00E878FB">
        <w:trPr>
          <w:trHeight w:val="28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9E9E8BD"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17.</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2D928788"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nemzetközi tud. </w:t>
            </w:r>
            <w:proofErr w:type="spellStart"/>
            <w:r w:rsidRPr="00BD15C8">
              <w:rPr>
                <w:rFonts w:eastAsia="Arial"/>
                <w:sz w:val="22"/>
                <w:szCs w:val="22"/>
              </w:rPr>
              <w:t>közl</w:t>
            </w:r>
            <w:proofErr w:type="spellEnd"/>
            <w:r w:rsidRPr="00BD15C8">
              <w:rPr>
                <w:rFonts w:eastAsia="Arial"/>
                <w:sz w:val="22"/>
                <w:szCs w:val="22"/>
              </w:rPr>
              <w:t>. (ISBN szám)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966435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6</w:t>
            </w:r>
          </w:p>
        </w:tc>
      </w:tr>
      <w:tr w:rsidR="00FD0545" w:rsidRPr="00BD15C8" w14:paraId="42E1EFD9" w14:textId="77777777" w:rsidTr="00E878FB">
        <w:trPr>
          <w:trHeight w:val="301"/>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045159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18.</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14:paraId="255A9AED"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hazai tud. </w:t>
            </w:r>
            <w:proofErr w:type="spellStart"/>
            <w:r w:rsidRPr="00BD15C8">
              <w:rPr>
                <w:rFonts w:eastAsia="Arial"/>
                <w:sz w:val="22"/>
                <w:szCs w:val="22"/>
              </w:rPr>
              <w:t>közl</w:t>
            </w:r>
            <w:proofErr w:type="spellEnd"/>
            <w:r w:rsidRPr="00BD15C8">
              <w:rPr>
                <w:rFonts w:eastAsia="Arial"/>
                <w:sz w:val="22"/>
                <w:szCs w:val="22"/>
              </w:rPr>
              <w:t>. (ISBN szám)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1FF631D1"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3</w:t>
            </w:r>
          </w:p>
        </w:tc>
      </w:tr>
    </w:tbl>
    <w:p w14:paraId="70BB3843" w14:textId="77777777" w:rsidR="00FD0545" w:rsidRDefault="00FD0545" w:rsidP="00FD0545">
      <w:pPr>
        <w:spacing w:line="319" w:lineRule="auto"/>
        <w:jc w:val="both"/>
        <w:rPr>
          <w:rFonts w:eastAsia="Arial"/>
          <w:sz w:val="22"/>
          <w:szCs w:val="22"/>
        </w:rPr>
      </w:pPr>
    </w:p>
    <w:p w14:paraId="596A59C6" w14:textId="77777777" w:rsidR="00FD0545" w:rsidRDefault="00FD0545" w:rsidP="00FD0545">
      <w:pPr>
        <w:spacing w:line="319" w:lineRule="auto"/>
        <w:ind w:firstLine="351"/>
        <w:jc w:val="both"/>
        <w:rPr>
          <w:rFonts w:eastAsia="Arial"/>
          <w:sz w:val="22"/>
          <w:szCs w:val="22"/>
        </w:rPr>
      </w:pPr>
      <w:r>
        <w:rPr>
          <w:rFonts w:eastAsia="Arial"/>
          <w:sz w:val="22"/>
          <w:szCs w:val="22"/>
        </w:rPr>
        <w:t>A tudományos TÉR pont egyik fele a következő összefüggés alapján számolandó:</w:t>
      </w:r>
    </w:p>
    <w:p w14:paraId="6002EF73" w14:textId="77777777" w:rsidR="00FD0545" w:rsidRDefault="00FD0545" w:rsidP="00FD0545">
      <w:pPr>
        <w:spacing w:line="319" w:lineRule="auto"/>
        <w:ind w:firstLine="351"/>
        <w:jc w:val="center"/>
        <w:rPr>
          <w:rFonts w:eastAsia="Arial"/>
          <w:sz w:val="22"/>
          <w:szCs w:val="22"/>
        </w:rPr>
      </w:pPr>
      <w:r w:rsidRPr="00CA5E30">
        <w:rPr>
          <w:noProof/>
        </w:rPr>
        <w:drawing>
          <wp:inline distT="0" distB="0" distL="0" distR="0" wp14:anchorId="14EFFCE0" wp14:editId="55C4D02D">
            <wp:extent cx="2085340" cy="40132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340" cy="401320"/>
                    </a:xfrm>
                    <a:prstGeom prst="rect">
                      <a:avLst/>
                    </a:prstGeom>
                    <a:noFill/>
                    <a:ln>
                      <a:noFill/>
                    </a:ln>
                  </pic:spPr>
                </pic:pic>
              </a:graphicData>
            </a:graphic>
          </wp:inline>
        </w:drawing>
      </w:r>
    </w:p>
    <w:p w14:paraId="6BA8E58B" w14:textId="77777777" w:rsidR="00FD0545" w:rsidRPr="00BD15C8" w:rsidRDefault="00FD0545" w:rsidP="00FD0545">
      <w:pPr>
        <w:spacing w:line="20" w:lineRule="exact"/>
        <w:rPr>
          <w:sz w:val="22"/>
          <w:szCs w:val="22"/>
        </w:rPr>
      </w:pPr>
    </w:p>
    <w:p w14:paraId="497AEC5F" w14:textId="77777777" w:rsidR="00FD0545" w:rsidRPr="00BD15C8" w:rsidRDefault="00FD0545" w:rsidP="00FD0545">
      <w:pPr>
        <w:spacing w:line="219" w:lineRule="auto"/>
        <w:jc w:val="both"/>
        <w:rPr>
          <w:rFonts w:eastAsia="Arial"/>
          <w:sz w:val="22"/>
          <w:szCs w:val="22"/>
        </w:rPr>
      </w:pPr>
      <w:r w:rsidRPr="00BD15C8">
        <w:rPr>
          <w:rFonts w:eastAsia="Arial"/>
          <w:sz w:val="22"/>
          <w:szCs w:val="22"/>
        </w:rPr>
        <w:t>ahol x</w:t>
      </w:r>
      <w:r w:rsidRPr="00BD15C8">
        <w:rPr>
          <w:rFonts w:eastAsia="Arial"/>
          <w:sz w:val="22"/>
          <w:szCs w:val="22"/>
          <w:vertAlign w:val="subscript"/>
        </w:rPr>
        <w:t>1</w:t>
      </w:r>
      <w:r>
        <w:rPr>
          <w:rFonts w:eastAsia="Arial"/>
          <w:sz w:val="22"/>
          <w:szCs w:val="22"/>
          <w:vertAlign w:val="subscript"/>
        </w:rPr>
        <w:t>.</w:t>
      </w:r>
      <w:r w:rsidRPr="00BD15C8">
        <w:rPr>
          <w:rFonts w:eastAsia="Arial"/>
          <w:sz w:val="22"/>
          <w:szCs w:val="22"/>
          <w:vertAlign w:val="subscript"/>
        </w:rPr>
        <w:t>o</w:t>
      </w:r>
      <w:r w:rsidRPr="00BD15C8">
        <w:rPr>
          <w:rFonts w:eastAsia="Arial"/>
          <w:sz w:val="22"/>
          <w:szCs w:val="22"/>
        </w:rPr>
        <w:t xml:space="preserve"> és x</w:t>
      </w:r>
      <w:r w:rsidRPr="00BD15C8">
        <w:rPr>
          <w:rFonts w:eastAsia="Arial"/>
          <w:sz w:val="22"/>
          <w:szCs w:val="22"/>
          <w:vertAlign w:val="subscript"/>
        </w:rPr>
        <w:t>2</w:t>
      </w:r>
      <w:r>
        <w:rPr>
          <w:rFonts w:eastAsia="Arial"/>
          <w:sz w:val="22"/>
          <w:szCs w:val="22"/>
          <w:vertAlign w:val="subscript"/>
        </w:rPr>
        <w:t>,</w:t>
      </w:r>
      <w:r w:rsidRPr="00BD15C8">
        <w:rPr>
          <w:rFonts w:eastAsia="Arial"/>
          <w:sz w:val="22"/>
          <w:szCs w:val="22"/>
          <w:vertAlign w:val="subscript"/>
        </w:rPr>
        <w:t>o</w:t>
      </w:r>
      <w:r w:rsidRPr="00BD15C8">
        <w:rPr>
          <w:rFonts w:eastAsia="Arial"/>
          <w:sz w:val="22"/>
          <w:szCs w:val="22"/>
        </w:rPr>
        <w:t xml:space="preserve"> az oktató által a hároméves </w:t>
      </w:r>
      <w:proofErr w:type="spellStart"/>
      <w:r w:rsidRPr="00BD15C8">
        <w:rPr>
          <w:rFonts w:eastAsia="Arial"/>
          <w:sz w:val="22"/>
          <w:szCs w:val="22"/>
        </w:rPr>
        <w:t>csúszóperiódus</w:t>
      </w:r>
      <w:proofErr w:type="spellEnd"/>
      <w:r w:rsidRPr="00BD15C8">
        <w:rPr>
          <w:rFonts w:eastAsia="Arial"/>
          <w:sz w:val="22"/>
          <w:szCs w:val="22"/>
        </w:rPr>
        <w:t xml:space="preserve"> alatt gyűjtött pontszám nemzetközi A–D </w:t>
      </w:r>
      <w:proofErr w:type="gramStart"/>
      <w:r w:rsidRPr="00BD15C8">
        <w:rPr>
          <w:rFonts w:eastAsia="Arial"/>
          <w:sz w:val="22"/>
          <w:szCs w:val="22"/>
        </w:rPr>
        <w:t>kategóriás</w:t>
      </w:r>
      <w:proofErr w:type="gramEnd"/>
      <w:r w:rsidRPr="00BD15C8">
        <w:rPr>
          <w:rFonts w:eastAsia="Arial"/>
          <w:sz w:val="22"/>
          <w:szCs w:val="22"/>
        </w:rPr>
        <w:t xml:space="preserve"> folyóiratokból esetén, illetve összes publikáció esetén, </w:t>
      </w:r>
      <w:r>
        <w:rPr>
          <w:rFonts w:eastAsia="Arial"/>
          <w:sz w:val="22"/>
          <w:szCs w:val="22"/>
        </w:rPr>
        <w:t xml:space="preserve">illetve összes publikáció esetén, </w:t>
      </w:r>
      <w:r w:rsidRPr="00BD15C8">
        <w:rPr>
          <w:rFonts w:eastAsia="Arial"/>
          <w:sz w:val="22"/>
          <w:szCs w:val="22"/>
        </w:rPr>
        <w:t>továbbá w</w:t>
      </w:r>
      <w:r w:rsidRPr="00BD15C8">
        <w:rPr>
          <w:rFonts w:eastAsia="Arial"/>
          <w:sz w:val="22"/>
          <w:szCs w:val="22"/>
          <w:vertAlign w:val="subscript"/>
        </w:rPr>
        <w:t>1</w:t>
      </w:r>
      <w:r w:rsidRPr="00BD15C8">
        <w:rPr>
          <w:rFonts w:eastAsia="Arial"/>
          <w:sz w:val="22"/>
          <w:szCs w:val="22"/>
        </w:rPr>
        <w:t xml:space="preserve"> = w</w:t>
      </w:r>
      <w:r w:rsidRPr="00BD15C8">
        <w:rPr>
          <w:rFonts w:eastAsia="Arial"/>
          <w:sz w:val="22"/>
          <w:szCs w:val="22"/>
          <w:vertAlign w:val="subscript"/>
        </w:rPr>
        <w:t>2</w:t>
      </w:r>
      <w:r w:rsidRPr="00BD15C8">
        <w:rPr>
          <w:rFonts w:eastAsia="Arial"/>
          <w:sz w:val="22"/>
          <w:szCs w:val="22"/>
        </w:rPr>
        <w:t>=0,25.</w:t>
      </w:r>
    </w:p>
    <w:p w14:paraId="0BCAE17D" w14:textId="77777777" w:rsidR="00FD0545" w:rsidRPr="00E878FB" w:rsidRDefault="00FD0545" w:rsidP="00E878FB">
      <w:pPr>
        <w:spacing w:line="0" w:lineRule="atLeast"/>
        <w:rPr>
          <w:rFonts w:eastAsia="Arial"/>
          <w:sz w:val="22"/>
          <w:szCs w:val="22"/>
        </w:rPr>
      </w:pPr>
      <w:r w:rsidRPr="00BD15C8">
        <w:rPr>
          <w:rFonts w:eastAsia="Arial"/>
          <w:sz w:val="22"/>
          <w:szCs w:val="22"/>
        </w:rPr>
        <w:t>Hivatkozásokkal a 3. táblázat alap</w:t>
      </w:r>
      <w:r w:rsidR="00E878FB">
        <w:rPr>
          <w:rFonts w:eastAsia="Arial"/>
          <w:sz w:val="22"/>
          <w:szCs w:val="22"/>
        </w:rPr>
        <w:t xml:space="preserve">ján </w:t>
      </w:r>
      <w:proofErr w:type="spellStart"/>
      <w:r w:rsidR="00E878FB">
        <w:rPr>
          <w:rFonts w:eastAsia="Arial"/>
          <w:sz w:val="22"/>
          <w:szCs w:val="22"/>
        </w:rPr>
        <w:t>gyűjthetőek</w:t>
      </w:r>
      <w:proofErr w:type="spellEnd"/>
      <w:r w:rsidR="00E878FB">
        <w:rPr>
          <w:rFonts w:eastAsia="Arial"/>
          <w:sz w:val="22"/>
          <w:szCs w:val="22"/>
        </w:rPr>
        <w:t xml:space="preserve"> további pontok:</w:t>
      </w:r>
    </w:p>
    <w:tbl>
      <w:tblPr>
        <w:tblW w:w="0" w:type="auto"/>
        <w:tblInd w:w="900" w:type="dxa"/>
        <w:tblLayout w:type="fixed"/>
        <w:tblCellMar>
          <w:left w:w="0" w:type="dxa"/>
          <w:right w:w="0" w:type="dxa"/>
        </w:tblCellMar>
        <w:tblLook w:val="0000" w:firstRow="0" w:lastRow="0" w:firstColumn="0" w:lastColumn="0" w:noHBand="0" w:noVBand="0"/>
      </w:tblPr>
      <w:tblGrid>
        <w:gridCol w:w="4360"/>
        <w:gridCol w:w="960"/>
        <w:gridCol w:w="1560"/>
        <w:gridCol w:w="740"/>
      </w:tblGrid>
      <w:tr w:rsidR="00FD0545" w:rsidRPr="00BD15C8" w14:paraId="3030D19D" w14:textId="77777777" w:rsidTr="00E878FB">
        <w:trPr>
          <w:trHeight w:val="301"/>
        </w:trPr>
        <w:tc>
          <w:tcPr>
            <w:tcW w:w="4360" w:type="dxa"/>
            <w:tcBorders>
              <w:bottom w:val="single" w:sz="4" w:space="0" w:color="auto"/>
            </w:tcBorders>
            <w:shd w:val="clear" w:color="auto" w:fill="auto"/>
            <w:vAlign w:val="bottom"/>
          </w:tcPr>
          <w:p w14:paraId="01393E3F" w14:textId="77777777" w:rsidR="00FD0545" w:rsidRPr="00BD15C8" w:rsidRDefault="00FD0545" w:rsidP="00026782">
            <w:pPr>
              <w:spacing w:line="0" w:lineRule="atLeast"/>
              <w:rPr>
                <w:rFonts w:eastAsia="Arial"/>
                <w:sz w:val="22"/>
                <w:szCs w:val="22"/>
              </w:rPr>
            </w:pPr>
            <w:r w:rsidRPr="00BD15C8">
              <w:rPr>
                <w:rFonts w:eastAsia="Arial"/>
                <w:sz w:val="22"/>
                <w:szCs w:val="22"/>
              </w:rPr>
              <w:t>3. táblázat.</w:t>
            </w:r>
          </w:p>
        </w:tc>
        <w:tc>
          <w:tcPr>
            <w:tcW w:w="960" w:type="dxa"/>
            <w:vMerge w:val="restart"/>
            <w:tcBorders>
              <w:bottom w:val="single" w:sz="4" w:space="0" w:color="auto"/>
            </w:tcBorders>
            <w:shd w:val="clear" w:color="auto" w:fill="auto"/>
            <w:vAlign w:val="bottom"/>
          </w:tcPr>
          <w:p w14:paraId="0C15B575" w14:textId="77777777" w:rsidR="00FD0545" w:rsidRPr="00BD15C8" w:rsidRDefault="00FD0545" w:rsidP="00026782">
            <w:pPr>
              <w:spacing w:line="0" w:lineRule="atLeast"/>
              <w:jc w:val="center"/>
              <w:rPr>
                <w:rFonts w:eastAsia="Arial"/>
                <w:w w:val="92"/>
                <w:sz w:val="22"/>
                <w:szCs w:val="22"/>
              </w:rPr>
            </w:pPr>
            <w:r w:rsidRPr="00BD15C8">
              <w:rPr>
                <w:rFonts w:eastAsia="Arial"/>
                <w:w w:val="92"/>
                <w:sz w:val="22"/>
                <w:szCs w:val="22"/>
              </w:rPr>
              <w:t>Nemz.</w:t>
            </w:r>
          </w:p>
        </w:tc>
        <w:tc>
          <w:tcPr>
            <w:tcW w:w="1560" w:type="dxa"/>
            <w:vMerge w:val="restart"/>
            <w:tcBorders>
              <w:bottom w:val="single" w:sz="4" w:space="0" w:color="auto"/>
            </w:tcBorders>
            <w:shd w:val="clear" w:color="auto" w:fill="auto"/>
            <w:vAlign w:val="bottom"/>
          </w:tcPr>
          <w:p w14:paraId="37DEF052" w14:textId="77777777" w:rsidR="00FD0545" w:rsidRPr="00BD15C8" w:rsidRDefault="00FD0545" w:rsidP="00026782">
            <w:pPr>
              <w:spacing w:line="0" w:lineRule="atLeast"/>
              <w:jc w:val="center"/>
              <w:rPr>
                <w:rFonts w:eastAsia="Arial"/>
                <w:w w:val="94"/>
                <w:sz w:val="22"/>
                <w:szCs w:val="22"/>
              </w:rPr>
            </w:pPr>
            <w:r w:rsidRPr="00BD15C8">
              <w:rPr>
                <w:rFonts w:eastAsia="Arial"/>
                <w:w w:val="94"/>
                <w:sz w:val="22"/>
                <w:szCs w:val="22"/>
              </w:rPr>
              <w:t>Hazai</w:t>
            </w:r>
          </w:p>
        </w:tc>
        <w:tc>
          <w:tcPr>
            <w:tcW w:w="740" w:type="dxa"/>
            <w:tcBorders>
              <w:bottom w:val="single" w:sz="4" w:space="0" w:color="auto"/>
            </w:tcBorders>
            <w:shd w:val="clear" w:color="auto" w:fill="auto"/>
            <w:vAlign w:val="bottom"/>
          </w:tcPr>
          <w:p w14:paraId="7EB63C36" w14:textId="77777777" w:rsidR="00FD0545" w:rsidRPr="00BD15C8" w:rsidRDefault="00FD0545" w:rsidP="00026782">
            <w:pPr>
              <w:spacing w:line="0" w:lineRule="atLeast"/>
              <w:rPr>
                <w:sz w:val="22"/>
                <w:szCs w:val="22"/>
              </w:rPr>
            </w:pPr>
          </w:p>
        </w:tc>
      </w:tr>
      <w:tr w:rsidR="00FD0545" w:rsidRPr="00BD15C8" w14:paraId="53979427" w14:textId="77777777" w:rsidTr="00E878FB">
        <w:trPr>
          <w:trHeight w:val="21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5BE64063" w14:textId="77777777" w:rsidR="00FD0545" w:rsidRPr="00BD15C8" w:rsidRDefault="00FD0545" w:rsidP="00026782">
            <w:pPr>
              <w:spacing w:line="0" w:lineRule="atLeast"/>
              <w:rPr>
                <w:sz w:val="22"/>
                <w:szCs w:val="22"/>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B40F354" w14:textId="77777777" w:rsidR="00FD0545" w:rsidRPr="00BD15C8" w:rsidRDefault="00FD0545" w:rsidP="00026782">
            <w:pPr>
              <w:spacing w:line="0" w:lineRule="atLeast"/>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5C39D6D" w14:textId="77777777" w:rsidR="00FD0545" w:rsidRPr="00BD15C8" w:rsidRDefault="00FD0545" w:rsidP="00026782">
            <w:pPr>
              <w:spacing w:line="0" w:lineRule="atLeast"/>
              <w:rPr>
                <w:sz w:val="22"/>
                <w:szCs w:val="22"/>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6C7B5C7A" w14:textId="77777777" w:rsidR="00FD0545" w:rsidRPr="00BD15C8" w:rsidRDefault="00FD0545" w:rsidP="00026782">
            <w:pPr>
              <w:spacing w:line="0" w:lineRule="atLeast"/>
              <w:rPr>
                <w:sz w:val="22"/>
                <w:szCs w:val="22"/>
              </w:rPr>
            </w:pPr>
          </w:p>
        </w:tc>
      </w:tr>
      <w:tr w:rsidR="00FD0545" w:rsidRPr="00BD15C8" w14:paraId="191140C8"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791B824B"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Oktató </w:t>
            </w:r>
            <w:proofErr w:type="spellStart"/>
            <w:r w:rsidRPr="00BD15C8">
              <w:rPr>
                <w:rFonts w:eastAsia="Arial"/>
                <w:sz w:val="22"/>
                <w:szCs w:val="22"/>
              </w:rPr>
              <w:t>munk</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F626731" w14:textId="77777777" w:rsidR="00FD0545" w:rsidRPr="00BD15C8" w:rsidRDefault="00FD0545" w:rsidP="00026782">
            <w:pPr>
              <w:spacing w:line="0" w:lineRule="atLeast"/>
              <w:jc w:val="center"/>
              <w:rPr>
                <w:rFonts w:eastAsia="Arial"/>
                <w:w w:val="98"/>
                <w:sz w:val="22"/>
                <w:szCs w:val="22"/>
              </w:rPr>
            </w:pPr>
            <w:r w:rsidRPr="00BD15C8">
              <w:rPr>
                <w:rFonts w:eastAsia="Arial"/>
                <w:w w:val="98"/>
                <w:sz w:val="22"/>
                <w:szCs w:val="22"/>
              </w:rPr>
              <w:t>cikkben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D1D84A9" w14:textId="77777777" w:rsidR="00FD0545" w:rsidRPr="00BD15C8" w:rsidRDefault="00FD0545" w:rsidP="00026782">
            <w:pPr>
              <w:spacing w:line="0" w:lineRule="atLeast"/>
              <w:jc w:val="center"/>
              <w:rPr>
                <w:rFonts w:eastAsia="Arial"/>
                <w:w w:val="97"/>
                <w:sz w:val="22"/>
                <w:szCs w:val="22"/>
              </w:rPr>
            </w:pPr>
            <w:r w:rsidRPr="00BD15C8">
              <w:rPr>
                <w:rFonts w:eastAsia="Arial"/>
                <w:w w:val="97"/>
                <w:sz w:val="22"/>
                <w:szCs w:val="22"/>
              </w:rPr>
              <w:t>A–C cikkben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20773AA3" w14:textId="77777777" w:rsidR="00FD0545" w:rsidRPr="00BD15C8" w:rsidRDefault="00FD0545" w:rsidP="00026782">
            <w:pPr>
              <w:spacing w:line="0" w:lineRule="atLeast"/>
              <w:rPr>
                <w:rFonts w:eastAsia="Arial"/>
                <w:w w:val="88"/>
                <w:sz w:val="22"/>
                <w:szCs w:val="22"/>
              </w:rPr>
            </w:pPr>
            <w:r w:rsidRPr="00BD15C8">
              <w:rPr>
                <w:rFonts w:eastAsia="Arial"/>
                <w:w w:val="88"/>
                <w:sz w:val="22"/>
                <w:szCs w:val="22"/>
              </w:rPr>
              <w:t>Egyéb</w:t>
            </w:r>
          </w:p>
        </w:tc>
      </w:tr>
      <w:tr w:rsidR="00FD0545" w:rsidRPr="00BD15C8" w14:paraId="43E90147"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5EEE9A9"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nemz. könyv, </w:t>
            </w:r>
            <w:proofErr w:type="spellStart"/>
            <w:r w:rsidRPr="00BD15C8">
              <w:rPr>
                <w:rFonts w:eastAsia="Arial"/>
                <w:sz w:val="22"/>
                <w:szCs w:val="22"/>
              </w:rPr>
              <w:t>monogr</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7986CA4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30B672D"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2782119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0,15</w:t>
            </w:r>
          </w:p>
        </w:tc>
      </w:tr>
      <w:tr w:rsidR="00FD0545" w:rsidRPr="00BD15C8" w14:paraId="619C7596"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5CE2E891"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hazai könyv, </w:t>
            </w:r>
            <w:proofErr w:type="spellStart"/>
            <w:r w:rsidRPr="00BD15C8">
              <w:rPr>
                <w:rFonts w:eastAsia="Arial"/>
                <w:sz w:val="22"/>
                <w:szCs w:val="22"/>
              </w:rPr>
              <w:t>mongr</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800F279"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762BFBC" w14:textId="77777777" w:rsidR="00FD0545" w:rsidRPr="00BD15C8" w:rsidRDefault="00FD0545" w:rsidP="00026782">
            <w:pPr>
              <w:spacing w:line="0" w:lineRule="atLeast"/>
              <w:jc w:val="center"/>
              <w:rPr>
                <w:rFonts w:eastAsia="Arial"/>
                <w:w w:val="85"/>
                <w:sz w:val="22"/>
                <w:szCs w:val="22"/>
              </w:rPr>
            </w:pPr>
            <w:r w:rsidRPr="00BD15C8">
              <w:rPr>
                <w:rFonts w:eastAsia="Arial"/>
                <w:w w:val="85"/>
                <w:sz w:val="22"/>
                <w:szCs w:val="22"/>
              </w:rPr>
              <w:t>0,15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1262567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w:t>
            </w:r>
          </w:p>
        </w:tc>
      </w:tr>
      <w:tr w:rsidR="00FD0545" w:rsidRPr="00BD15C8" w14:paraId="38DBD634"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A57F194"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nemz. könyv </w:t>
            </w:r>
            <w:proofErr w:type="spellStart"/>
            <w:r w:rsidRPr="00BD15C8">
              <w:rPr>
                <w:rFonts w:eastAsia="Arial"/>
                <w:sz w:val="22"/>
                <w:szCs w:val="22"/>
              </w:rPr>
              <w:t>szerk</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ADB9EC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667BE64"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0,75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14FFEAB5"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r>
      <w:tr w:rsidR="00FD0545" w:rsidRPr="00BD15C8" w14:paraId="07C3166A"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64B5686C"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Kiemelt tud. hazai könyv </w:t>
            </w:r>
            <w:proofErr w:type="spellStart"/>
            <w:r w:rsidRPr="00BD15C8">
              <w:rPr>
                <w:rFonts w:eastAsia="Arial"/>
                <w:sz w:val="22"/>
                <w:szCs w:val="22"/>
              </w:rPr>
              <w:t>szerk</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E73E7C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F8F9063" w14:textId="77777777" w:rsidR="00FD0545" w:rsidRPr="00BD15C8" w:rsidRDefault="00FD0545" w:rsidP="00026782">
            <w:pPr>
              <w:spacing w:line="0" w:lineRule="atLeast"/>
              <w:jc w:val="center"/>
              <w:rPr>
                <w:rFonts w:eastAsia="Arial"/>
                <w:w w:val="85"/>
                <w:sz w:val="22"/>
                <w:szCs w:val="22"/>
              </w:rPr>
            </w:pPr>
            <w:r w:rsidRPr="00BD15C8">
              <w:rPr>
                <w:rFonts w:eastAsia="Arial"/>
                <w:w w:val="85"/>
                <w:sz w:val="22"/>
                <w:szCs w:val="22"/>
              </w:rPr>
              <w:t>0,25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21A310A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0,125</w:t>
            </w:r>
          </w:p>
        </w:tc>
      </w:tr>
      <w:tr w:rsidR="00FD0545" w:rsidRPr="00BD15C8" w14:paraId="1FD8461E"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623F8D03"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Nemzetközi folyóiratcikk </w:t>
            </w:r>
            <w:proofErr w:type="gramStart"/>
            <w:r w:rsidRPr="00BD15C8">
              <w:rPr>
                <w:rFonts w:eastAsia="Arial"/>
                <w:sz w:val="22"/>
                <w:szCs w:val="22"/>
              </w:rPr>
              <w:t>A</w:t>
            </w:r>
            <w:proofErr w:type="gramEnd"/>
            <w:r w:rsidRPr="00BD15C8">
              <w:rPr>
                <w:rFonts w:eastAsia="Arial"/>
                <w:sz w:val="22"/>
                <w:szCs w:val="22"/>
              </w:rPr>
              <w:t>.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B11A83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F7051E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0302DCA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r>
      <w:tr w:rsidR="00FD0545" w:rsidRPr="00BD15C8" w14:paraId="49861CC2"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706B701"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B.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7A7847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092BB8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3830F725"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r>
      <w:tr w:rsidR="00FD0545" w:rsidRPr="00BD15C8" w14:paraId="5C666F0F"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390A21E8"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C.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4C39C8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F596379"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534A172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r>
      <w:tr w:rsidR="00FD0545" w:rsidRPr="00BD15C8" w14:paraId="459D8914"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60BF6804" w14:textId="77777777" w:rsidR="00FD0545" w:rsidRPr="00BD15C8" w:rsidRDefault="00FD0545" w:rsidP="00026782">
            <w:pPr>
              <w:spacing w:line="0" w:lineRule="atLeast"/>
              <w:rPr>
                <w:rFonts w:eastAsia="Arial"/>
                <w:sz w:val="22"/>
                <w:szCs w:val="22"/>
              </w:rPr>
            </w:pPr>
            <w:r w:rsidRPr="00BD15C8">
              <w:rPr>
                <w:rFonts w:eastAsia="Arial"/>
                <w:sz w:val="22"/>
                <w:szCs w:val="22"/>
              </w:rPr>
              <w:t>Nemzetközi folyóiratcikk D.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A064BE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E9BA135"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43844D7D"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0,75</w:t>
            </w:r>
          </w:p>
        </w:tc>
      </w:tr>
      <w:tr w:rsidR="00FD0545" w:rsidRPr="00BD15C8" w14:paraId="70A27D94"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7A0A7D8"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Hazai folyóiratcikk </w:t>
            </w:r>
            <w:proofErr w:type="gramStart"/>
            <w:r w:rsidRPr="00BD15C8">
              <w:rPr>
                <w:rFonts w:eastAsia="Arial"/>
                <w:sz w:val="22"/>
                <w:szCs w:val="22"/>
              </w:rPr>
              <w:t>A</w:t>
            </w:r>
            <w:proofErr w:type="gramEnd"/>
            <w:r w:rsidRPr="00BD15C8">
              <w:rPr>
                <w:rFonts w:eastAsia="Arial"/>
                <w:sz w:val="22"/>
                <w:szCs w:val="22"/>
              </w:rPr>
              <w:t>.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7953F2AA"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49164D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78D7248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r>
      <w:tr w:rsidR="00FD0545" w:rsidRPr="00BD15C8" w14:paraId="291524C2"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24B88BE1"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B.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6DB0CF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C8DD5A6"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5849FA5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0,75</w:t>
            </w:r>
          </w:p>
        </w:tc>
      </w:tr>
      <w:tr w:rsidR="00FD0545" w:rsidRPr="00BD15C8" w14:paraId="01D8DB15"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2B3001D1"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C.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BC2728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DAFDF4A" w14:textId="77777777" w:rsidR="00FD0545" w:rsidRPr="00BD15C8" w:rsidRDefault="00FD0545" w:rsidP="00026782">
            <w:pPr>
              <w:spacing w:line="0" w:lineRule="atLeast"/>
              <w:jc w:val="center"/>
              <w:rPr>
                <w:rFonts w:eastAsia="Arial"/>
                <w:w w:val="85"/>
                <w:sz w:val="22"/>
                <w:szCs w:val="22"/>
              </w:rPr>
            </w:pPr>
            <w:r w:rsidRPr="00BD15C8">
              <w:rPr>
                <w:rFonts w:eastAsia="Arial"/>
                <w:w w:val="85"/>
                <w:sz w:val="22"/>
                <w:szCs w:val="22"/>
              </w:rPr>
              <w:t>0,75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7F15C94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r>
      <w:tr w:rsidR="00FD0545" w:rsidRPr="00BD15C8" w14:paraId="02F1B438"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77596002" w14:textId="77777777" w:rsidR="00FD0545" w:rsidRPr="00BD15C8" w:rsidRDefault="00FD0545" w:rsidP="00026782">
            <w:pPr>
              <w:spacing w:line="0" w:lineRule="atLeast"/>
              <w:rPr>
                <w:rFonts w:eastAsia="Arial"/>
                <w:sz w:val="22"/>
                <w:szCs w:val="22"/>
              </w:rPr>
            </w:pPr>
            <w:r w:rsidRPr="00BD15C8">
              <w:rPr>
                <w:rFonts w:eastAsia="Arial"/>
                <w:sz w:val="22"/>
                <w:szCs w:val="22"/>
              </w:rPr>
              <w:t>Hazai folyóiratcikk D. kat.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AC53373"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A53A3F6"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35C5DE66"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0,25</w:t>
            </w:r>
          </w:p>
        </w:tc>
      </w:tr>
      <w:tr w:rsidR="00FD0545" w:rsidRPr="00BD15C8" w14:paraId="0791F745"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0D9B6E90"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nemz. könyv, </w:t>
            </w:r>
            <w:proofErr w:type="spellStart"/>
            <w:r w:rsidRPr="00BD15C8">
              <w:rPr>
                <w:rFonts w:eastAsia="Arial"/>
                <w:sz w:val="22"/>
                <w:szCs w:val="22"/>
              </w:rPr>
              <w:t>monogr</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EED2FDB"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C51AF1E"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34B7BB1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w:t>
            </w:r>
          </w:p>
        </w:tc>
      </w:tr>
      <w:tr w:rsidR="00FD0545" w:rsidRPr="00BD15C8" w14:paraId="4EE87976"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05C7BA3B"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hazai könyv, </w:t>
            </w:r>
            <w:proofErr w:type="spellStart"/>
            <w:r w:rsidRPr="00BD15C8">
              <w:rPr>
                <w:rFonts w:eastAsia="Arial"/>
                <w:sz w:val="22"/>
                <w:szCs w:val="22"/>
              </w:rPr>
              <w:t>mongr</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A402AB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AB2D085"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68F660B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0,05</w:t>
            </w:r>
          </w:p>
        </w:tc>
      </w:tr>
      <w:tr w:rsidR="00FD0545" w:rsidRPr="00BD15C8" w14:paraId="0F87B5C3"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78873D1"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nemz. könyv </w:t>
            </w:r>
            <w:proofErr w:type="spellStart"/>
            <w:r w:rsidRPr="00BD15C8">
              <w:rPr>
                <w:rFonts w:eastAsia="Arial"/>
                <w:sz w:val="22"/>
                <w:szCs w:val="22"/>
              </w:rPr>
              <w:t>szerk</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8CFEB7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B8A476C"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42E2BD5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0,125</w:t>
            </w:r>
          </w:p>
        </w:tc>
      </w:tr>
      <w:tr w:rsidR="00FD0545" w:rsidRPr="00BD15C8" w14:paraId="2498BF61"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6454C1EB"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ISBN sz. hazai könyv </w:t>
            </w:r>
            <w:proofErr w:type="spellStart"/>
            <w:r w:rsidRPr="00BD15C8">
              <w:rPr>
                <w:rFonts w:eastAsia="Arial"/>
                <w:sz w:val="22"/>
                <w:szCs w:val="22"/>
              </w:rPr>
              <w:t>szerk</w:t>
            </w:r>
            <w:proofErr w:type="spellEnd"/>
            <w:r w:rsidRPr="00BD15C8">
              <w:rPr>
                <w:rFonts w:eastAsia="Arial"/>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2A04A89"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A582E67" w14:textId="77777777" w:rsidR="00FD0545" w:rsidRPr="00BD15C8" w:rsidRDefault="00FD0545" w:rsidP="00026782">
            <w:pPr>
              <w:spacing w:line="0" w:lineRule="atLeast"/>
              <w:jc w:val="center"/>
              <w:rPr>
                <w:rFonts w:eastAsia="Arial"/>
                <w:w w:val="86"/>
                <w:sz w:val="22"/>
                <w:szCs w:val="22"/>
              </w:rPr>
            </w:pPr>
            <w:r w:rsidRPr="00BD15C8">
              <w:rPr>
                <w:rFonts w:eastAsia="Arial"/>
                <w:w w:val="86"/>
                <w:sz w:val="22"/>
                <w:szCs w:val="22"/>
              </w:rPr>
              <w:t>0,125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23F90DF2"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0,07</w:t>
            </w:r>
          </w:p>
        </w:tc>
      </w:tr>
      <w:tr w:rsidR="00FD0545" w:rsidRPr="00BD15C8" w14:paraId="381D027C" w14:textId="77777777" w:rsidTr="00E878FB">
        <w:trPr>
          <w:trHeight w:val="28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12F2A423"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nemz. tud. </w:t>
            </w:r>
            <w:proofErr w:type="spellStart"/>
            <w:r w:rsidRPr="00BD15C8">
              <w:rPr>
                <w:rFonts w:eastAsia="Arial"/>
                <w:sz w:val="22"/>
                <w:szCs w:val="22"/>
              </w:rPr>
              <w:t>közl</w:t>
            </w:r>
            <w:proofErr w:type="spellEnd"/>
            <w:r w:rsidRPr="00BD15C8">
              <w:rPr>
                <w:rFonts w:eastAsia="Arial"/>
                <w:sz w:val="22"/>
                <w:szCs w:val="22"/>
              </w:rPr>
              <w:t>. (ISBN szám)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18F998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01761A" w14:textId="77777777" w:rsidR="00FD0545" w:rsidRPr="00BD15C8" w:rsidRDefault="00FD0545" w:rsidP="00026782">
            <w:pPr>
              <w:spacing w:line="0" w:lineRule="atLeast"/>
              <w:jc w:val="center"/>
              <w:rPr>
                <w:rFonts w:eastAsia="Arial"/>
                <w:w w:val="85"/>
                <w:sz w:val="22"/>
                <w:szCs w:val="22"/>
              </w:rPr>
            </w:pPr>
            <w:r w:rsidRPr="00BD15C8">
              <w:rPr>
                <w:rFonts w:eastAsia="Arial"/>
                <w:w w:val="85"/>
                <w:sz w:val="22"/>
                <w:szCs w:val="22"/>
              </w:rPr>
              <w:t>0,75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3C1CCE24"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r>
      <w:tr w:rsidR="00FD0545" w:rsidRPr="00BD15C8" w14:paraId="7C1A9B93" w14:textId="77777777" w:rsidTr="00E878FB">
        <w:trPr>
          <w:trHeight w:val="301"/>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14:paraId="4BF52CDB" w14:textId="77777777" w:rsidR="00FD0545" w:rsidRPr="00BD15C8" w:rsidRDefault="00FD0545" w:rsidP="00026782">
            <w:pPr>
              <w:spacing w:line="0" w:lineRule="atLeast"/>
              <w:rPr>
                <w:rFonts w:eastAsia="Arial"/>
                <w:sz w:val="22"/>
                <w:szCs w:val="22"/>
              </w:rPr>
            </w:pPr>
            <w:r w:rsidRPr="00BD15C8">
              <w:rPr>
                <w:rFonts w:eastAsia="Arial"/>
                <w:sz w:val="22"/>
                <w:szCs w:val="22"/>
              </w:rPr>
              <w:t xml:space="preserve">További hazai tud. </w:t>
            </w:r>
            <w:proofErr w:type="spellStart"/>
            <w:r w:rsidRPr="00BD15C8">
              <w:rPr>
                <w:rFonts w:eastAsia="Arial"/>
                <w:sz w:val="22"/>
                <w:szCs w:val="22"/>
              </w:rPr>
              <w:t>közl</w:t>
            </w:r>
            <w:proofErr w:type="spellEnd"/>
            <w:r w:rsidRPr="00BD15C8">
              <w:rPr>
                <w:rFonts w:eastAsia="Arial"/>
                <w:sz w:val="22"/>
                <w:szCs w:val="22"/>
              </w:rPr>
              <w:t>. (ISBN szám)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7C6B749"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D722A4F"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5FCDFAC7" w14:textId="77777777" w:rsidR="00FD0545" w:rsidRPr="00BD15C8" w:rsidRDefault="00FD0545" w:rsidP="00026782">
            <w:pPr>
              <w:spacing w:line="0" w:lineRule="atLeast"/>
              <w:jc w:val="center"/>
              <w:rPr>
                <w:rFonts w:eastAsia="Arial"/>
                <w:w w:val="89"/>
                <w:sz w:val="22"/>
                <w:szCs w:val="22"/>
              </w:rPr>
            </w:pPr>
            <w:r w:rsidRPr="00BD15C8">
              <w:rPr>
                <w:rFonts w:eastAsia="Arial"/>
                <w:w w:val="89"/>
                <w:sz w:val="22"/>
                <w:szCs w:val="22"/>
              </w:rPr>
              <w:t>0,25</w:t>
            </w:r>
          </w:p>
        </w:tc>
      </w:tr>
    </w:tbl>
    <w:p w14:paraId="23CF5D33" w14:textId="77777777" w:rsidR="00FD0545" w:rsidRPr="00BD15C8" w:rsidRDefault="00FD0545" w:rsidP="00FD0545">
      <w:pPr>
        <w:spacing w:line="233" w:lineRule="exact"/>
        <w:rPr>
          <w:sz w:val="22"/>
          <w:szCs w:val="22"/>
        </w:rPr>
      </w:pPr>
    </w:p>
    <w:p w14:paraId="65373EAC" w14:textId="77777777" w:rsidR="00FD0545" w:rsidRDefault="00FD0545" w:rsidP="00FD0545">
      <w:pPr>
        <w:spacing w:line="319" w:lineRule="auto"/>
        <w:ind w:firstLine="351"/>
        <w:jc w:val="both"/>
        <w:rPr>
          <w:rFonts w:eastAsia="Arial"/>
          <w:sz w:val="22"/>
          <w:szCs w:val="22"/>
        </w:rPr>
      </w:pPr>
      <w:r w:rsidRPr="00BD15C8">
        <w:rPr>
          <w:rFonts w:eastAsia="Arial"/>
          <w:sz w:val="22"/>
          <w:szCs w:val="22"/>
        </w:rPr>
        <w:t xml:space="preserve">A hivatkozásokra kapható összes pontszám </w:t>
      </w:r>
      <w:proofErr w:type="gramStart"/>
      <w:r w:rsidRPr="00BD15C8">
        <w:rPr>
          <w:rFonts w:eastAsia="Arial"/>
          <w:sz w:val="22"/>
          <w:szCs w:val="22"/>
        </w:rPr>
        <w:t>minimális</w:t>
      </w:r>
      <w:proofErr w:type="gramEnd"/>
      <w:r w:rsidRPr="00BD15C8">
        <w:rPr>
          <w:rFonts w:eastAsia="Arial"/>
          <w:sz w:val="22"/>
          <w:szCs w:val="22"/>
        </w:rPr>
        <w:t xml:space="preserve"> értéke 60, továbbá a nemzetközi A–D kategóriás folyóiratcikkekkel minimális 30 pont szerzendő</w:t>
      </w:r>
      <w:r>
        <w:rPr>
          <w:rFonts w:eastAsia="Arial"/>
          <w:sz w:val="22"/>
          <w:szCs w:val="22"/>
        </w:rPr>
        <w:t xml:space="preserve"> </w:t>
      </w:r>
      <w:r w:rsidRPr="00BD15C8">
        <w:rPr>
          <w:rFonts w:eastAsia="Arial"/>
          <w:sz w:val="22"/>
          <w:szCs w:val="22"/>
        </w:rPr>
        <w:t xml:space="preserve">meg a </w:t>
      </w:r>
      <w:proofErr w:type="spellStart"/>
      <w:r w:rsidRPr="00BD15C8">
        <w:rPr>
          <w:rFonts w:eastAsia="Arial"/>
          <w:sz w:val="22"/>
          <w:szCs w:val="22"/>
        </w:rPr>
        <w:t>DSc</w:t>
      </w:r>
      <w:proofErr w:type="spellEnd"/>
      <w:r w:rsidRPr="00BD15C8">
        <w:rPr>
          <w:rFonts w:eastAsia="Arial"/>
          <w:sz w:val="22"/>
          <w:szCs w:val="22"/>
        </w:rPr>
        <w:t xml:space="preserve"> cím eléréséhez. </w:t>
      </w:r>
      <w:proofErr w:type="spellStart"/>
      <w:r w:rsidRPr="00BD15C8">
        <w:rPr>
          <w:rFonts w:eastAsia="Arial"/>
          <w:sz w:val="22"/>
          <w:szCs w:val="22"/>
        </w:rPr>
        <w:t>Mindezek</w:t>
      </w:r>
      <w:proofErr w:type="spellEnd"/>
      <w:r w:rsidRPr="00BD15C8">
        <w:rPr>
          <w:rFonts w:eastAsia="Arial"/>
          <w:sz w:val="22"/>
          <w:szCs w:val="22"/>
        </w:rPr>
        <w:t xml:space="preserve"> alapján a tudományos TÉR pontok másik fele az alábbi összefüggés alapján számolható:</w:t>
      </w:r>
    </w:p>
    <w:p w14:paraId="136C41D3" w14:textId="77777777" w:rsidR="00FD0545" w:rsidRPr="00BD15C8" w:rsidRDefault="00FD0545" w:rsidP="00FD0545">
      <w:pPr>
        <w:spacing w:line="319" w:lineRule="auto"/>
        <w:ind w:firstLine="351"/>
        <w:jc w:val="center"/>
        <w:rPr>
          <w:rFonts w:eastAsia="Arial"/>
          <w:sz w:val="22"/>
          <w:szCs w:val="22"/>
        </w:rPr>
      </w:pPr>
      <w:r w:rsidRPr="00CA5E30">
        <w:rPr>
          <w:noProof/>
        </w:rPr>
        <w:drawing>
          <wp:inline distT="0" distB="0" distL="0" distR="0" wp14:anchorId="7A732E07" wp14:editId="2FB9C106">
            <wp:extent cx="1828800" cy="3905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p w14:paraId="3B26005D" w14:textId="77777777" w:rsidR="00FD0545" w:rsidRPr="00BD15C8" w:rsidRDefault="00FD0545" w:rsidP="00FD0545">
      <w:pPr>
        <w:spacing w:line="12" w:lineRule="exact"/>
        <w:rPr>
          <w:sz w:val="22"/>
          <w:szCs w:val="22"/>
        </w:rPr>
      </w:pPr>
    </w:p>
    <w:p w14:paraId="3BE8B8EA" w14:textId="77777777" w:rsidR="00FD0545" w:rsidRPr="00BD15C8" w:rsidRDefault="00FD0545" w:rsidP="00FD0545">
      <w:pPr>
        <w:spacing w:line="226" w:lineRule="auto"/>
        <w:jc w:val="both"/>
        <w:rPr>
          <w:rFonts w:eastAsia="Arial"/>
          <w:sz w:val="22"/>
          <w:szCs w:val="22"/>
        </w:rPr>
      </w:pPr>
      <w:r w:rsidRPr="00BD15C8">
        <w:rPr>
          <w:rFonts w:eastAsia="Arial"/>
          <w:sz w:val="22"/>
          <w:szCs w:val="22"/>
        </w:rPr>
        <w:t>ahol x</w:t>
      </w:r>
      <w:r w:rsidRPr="00BD15C8">
        <w:rPr>
          <w:rFonts w:eastAsia="Arial"/>
          <w:sz w:val="22"/>
          <w:szCs w:val="22"/>
          <w:vertAlign w:val="subscript"/>
        </w:rPr>
        <w:t>3</w:t>
      </w:r>
      <w:r>
        <w:rPr>
          <w:rFonts w:eastAsia="Arial"/>
          <w:sz w:val="22"/>
          <w:szCs w:val="22"/>
          <w:vertAlign w:val="subscript"/>
        </w:rPr>
        <w:t>,</w:t>
      </w:r>
      <w:r w:rsidRPr="00BD15C8">
        <w:rPr>
          <w:rFonts w:eastAsia="Arial"/>
          <w:sz w:val="22"/>
          <w:szCs w:val="22"/>
          <w:vertAlign w:val="subscript"/>
        </w:rPr>
        <w:t>o</w:t>
      </w:r>
      <w:r w:rsidRPr="00BD15C8">
        <w:rPr>
          <w:rFonts w:eastAsia="Arial"/>
          <w:sz w:val="22"/>
          <w:szCs w:val="22"/>
        </w:rPr>
        <w:t xml:space="preserve"> és x</w:t>
      </w:r>
      <w:r w:rsidRPr="00BD15C8">
        <w:rPr>
          <w:rFonts w:eastAsia="Arial"/>
          <w:sz w:val="22"/>
          <w:szCs w:val="22"/>
          <w:vertAlign w:val="subscript"/>
        </w:rPr>
        <w:t>4</w:t>
      </w:r>
      <w:r>
        <w:rPr>
          <w:rFonts w:eastAsia="Arial"/>
          <w:sz w:val="22"/>
          <w:szCs w:val="22"/>
          <w:vertAlign w:val="subscript"/>
        </w:rPr>
        <w:t>,</w:t>
      </w:r>
      <w:r w:rsidRPr="00BD15C8">
        <w:rPr>
          <w:rFonts w:eastAsia="Arial"/>
          <w:sz w:val="22"/>
          <w:szCs w:val="22"/>
          <w:vertAlign w:val="subscript"/>
        </w:rPr>
        <w:t>o</w:t>
      </w:r>
      <w:r w:rsidRPr="00BD15C8">
        <w:rPr>
          <w:rFonts w:eastAsia="Arial"/>
          <w:sz w:val="22"/>
          <w:szCs w:val="22"/>
        </w:rPr>
        <w:t xml:space="preserve"> az oktató által a hároméves </w:t>
      </w:r>
      <w:proofErr w:type="spellStart"/>
      <w:r w:rsidRPr="00BD15C8">
        <w:rPr>
          <w:rFonts w:eastAsia="Arial"/>
          <w:sz w:val="22"/>
          <w:szCs w:val="22"/>
        </w:rPr>
        <w:t>csúszóperiódus</w:t>
      </w:r>
      <w:proofErr w:type="spellEnd"/>
      <w:r w:rsidRPr="00BD15C8">
        <w:rPr>
          <w:rFonts w:eastAsia="Arial"/>
          <w:sz w:val="22"/>
          <w:szCs w:val="22"/>
        </w:rPr>
        <w:t xml:space="preserve"> alatt gyűjtött összes hivatkozási pontszám, illetve a nemzetközi A és D </w:t>
      </w:r>
      <w:proofErr w:type="gramStart"/>
      <w:r w:rsidRPr="00BD15C8">
        <w:rPr>
          <w:rFonts w:eastAsia="Arial"/>
          <w:sz w:val="22"/>
          <w:szCs w:val="22"/>
        </w:rPr>
        <w:t>kategóriás</w:t>
      </w:r>
      <w:proofErr w:type="gramEnd"/>
      <w:r w:rsidRPr="00BD15C8">
        <w:rPr>
          <w:rFonts w:eastAsia="Arial"/>
          <w:sz w:val="22"/>
          <w:szCs w:val="22"/>
        </w:rPr>
        <w:t xml:space="preserve"> folyóira-tokkal összegyűjtött hivatkozási pontszám, továbbá w</w:t>
      </w:r>
      <w:r w:rsidRPr="00BD15C8">
        <w:rPr>
          <w:rFonts w:eastAsia="Arial"/>
          <w:sz w:val="22"/>
          <w:szCs w:val="22"/>
          <w:vertAlign w:val="subscript"/>
        </w:rPr>
        <w:t>3</w:t>
      </w:r>
      <w:r w:rsidRPr="00BD15C8">
        <w:rPr>
          <w:rFonts w:eastAsia="Arial"/>
          <w:sz w:val="22"/>
          <w:szCs w:val="22"/>
        </w:rPr>
        <w:t xml:space="preserve"> = w</w:t>
      </w:r>
      <w:r w:rsidRPr="00BD15C8">
        <w:rPr>
          <w:rFonts w:eastAsia="Arial"/>
          <w:sz w:val="22"/>
          <w:szCs w:val="22"/>
          <w:vertAlign w:val="subscript"/>
        </w:rPr>
        <w:t>4</w:t>
      </w:r>
      <w:r w:rsidRPr="00BD15C8">
        <w:rPr>
          <w:rFonts w:eastAsia="Arial"/>
          <w:sz w:val="22"/>
          <w:szCs w:val="22"/>
        </w:rPr>
        <w:t xml:space="preserve">=0,25. A teljes tudományos TÉR pont </w:t>
      </w:r>
      <w:proofErr w:type="gramStart"/>
      <w:r w:rsidRPr="00BD15C8">
        <w:rPr>
          <w:rFonts w:eastAsia="Arial"/>
          <w:sz w:val="22"/>
          <w:szCs w:val="22"/>
        </w:rPr>
        <w:t>a</w:t>
      </w:r>
      <w:proofErr w:type="gramEnd"/>
    </w:p>
    <w:p w14:paraId="6A0ACDA2" w14:textId="77777777" w:rsidR="00FD0545" w:rsidRDefault="00FD0545" w:rsidP="00FD0545">
      <w:pPr>
        <w:tabs>
          <w:tab w:val="left" w:pos="4280"/>
        </w:tabs>
        <w:spacing w:line="193" w:lineRule="auto"/>
        <w:jc w:val="center"/>
        <w:rPr>
          <w:rFonts w:eastAsia="Arial"/>
          <w:sz w:val="22"/>
          <w:szCs w:val="22"/>
          <w:vertAlign w:val="subscript"/>
        </w:rPr>
      </w:pPr>
      <w:r>
        <w:rPr>
          <w:rFonts w:eastAsia="Arial"/>
          <w:sz w:val="22"/>
          <w:szCs w:val="22"/>
        </w:rPr>
        <w:t>P</w:t>
      </w:r>
      <w:r w:rsidRPr="00BD15C8">
        <w:rPr>
          <w:rFonts w:eastAsia="Arial"/>
          <w:sz w:val="22"/>
          <w:szCs w:val="22"/>
        </w:rPr>
        <w:t>=P</w:t>
      </w:r>
      <w:r w:rsidRPr="00BD15C8">
        <w:rPr>
          <w:rFonts w:eastAsia="Arial"/>
          <w:sz w:val="22"/>
          <w:szCs w:val="22"/>
          <w:vertAlign w:val="subscript"/>
        </w:rPr>
        <w:t>1</w:t>
      </w:r>
      <w:r w:rsidRPr="00BD15C8">
        <w:rPr>
          <w:rFonts w:eastAsia="Arial"/>
          <w:sz w:val="22"/>
          <w:szCs w:val="22"/>
        </w:rPr>
        <w:t>+P</w:t>
      </w:r>
      <w:r w:rsidRPr="00BD15C8">
        <w:rPr>
          <w:rFonts w:eastAsia="Arial"/>
          <w:sz w:val="22"/>
          <w:szCs w:val="22"/>
          <w:vertAlign w:val="subscript"/>
        </w:rPr>
        <w:t>2</w:t>
      </w:r>
    </w:p>
    <w:p w14:paraId="3B7FBDE2" w14:textId="77777777" w:rsidR="00FD0545" w:rsidRPr="00BD15C8" w:rsidRDefault="00FD0545" w:rsidP="00FD0545">
      <w:pPr>
        <w:spacing w:line="0" w:lineRule="atLeast"/>
        <w:rPr>
          <w:rFonts w:eastAsia="Arial"/>
          <w:sz w:val="22"/>
          <w:szCs w:val="22"/>
        </w:rPr>
      </w:pPr>
      <w:proofErr w:type="gramStart"/>
      <w:r w:rsidRPr="00BD15C8">
        <w:rPr>
          <w:rFonts w:eastAsia="Arial"/>
          <w:sz w:val="22"/>
          <w:szCs w:val="22"/>
        </w:rPr>
        <w:t>összefüggés</w:t>
      </w:r>
      <w:proofErr w:type="gramEnd"/>
      <w:r w:rsidRPr="00BD15C8">
        <w:rPr>
          <w:rFonts w:eastAsia="Arial"/>
          <w:sz w:val="22"/>
          <w:szCs w:val="22"/>
        </w:rPr>
        <w:t xml:space="preserve"> alapján számítandó.</w:t>
      </w:r>
    </w:p>
    <w:p w14:paraId="2EA44E82" w14:textId="77777777" w:rsidR="00FD0545" w:rsidRPr="00BD15C8" w:rsidRDefault="00FD0545" w:rsidP="00FD0545">
      <w:pPr>
        <w:spacing w:line="298" w:lineRule="exact"/>
        <w:rPr>
          <w:sz w:val="22"/>
          <w:szCs w:val="22"/>
        </w:rPr>
      </w:pPr>
    </w:p>
    <w:p w14:paraId="7064AF09" w14:textId="77777777" w:rsidR="00FD0545" w:rsidRPr="0095149B" w:rsidRDefault="00FD0545" w:rsidP="00FD0545">
      <w:pPr>
        <w:spacing w:line="0" w:lineRule="atLeast"/>
        <w:ind w:left="284"/>
        <w:rPr>
          <w:rFonts w:eastAsia="Arial"/>
          <w:i/>
          <w:sz w:val="22"/>
          <w:szCs w:val="22"/>
        </w:rPr>
      </w:pPr>
      <w:r w:rsidRPr="0095149B">
        <w:rPr>
          <w:rFonts w:eastAsia="Arial"/>
          <w:i/>
          <w:sz w:val="22"/>
          <w:szCs w:val="22"/>
        </w:rPr>
        <w:t>Gyakorlati teljesítménypontok</w:t>
      </w:r>
    </w:p>
    <w:p w14:paraId="619BD5FE" w14:textId="77777777" w:rsidR="00FD0545" w:rsidRPr="00BD15C8" w:rsidRDefault="00FD0545" w:rsidP="00FD0545">
      <w:pPr>
        <w:spacing w:line="294" w:lineRule="exact"/>
        <w:rPr>
          <w:sz w:val="22"/>
          <w:szCs w:val="22"/>
        </w:rPr>
      </w:pPr>
    </w:p>
    <w:p w14:paraId="326D5681" w14:textId="77777777" w:rsidR="00FD0545" w:rsidRDefault="00FD0545" w:rsidP="00FD0545">
      <w:pPr>
        <w:spacing w:line="277" w:lineRule="auto"/>
        <w:ind w:firstLine="351"/>
        <w:jc w:val="both"/>
        <w:rPr>
          <w:rFonts w:eastAsia="Arial"/>
          <w:sz w:val="22"/>
          <w:szCs w:val="22"/>
        </w:rPr>
      </w:pPr>
      <w:r w:rsidRPr="00BD15C8">
        <w:rPr>
          <w:rFonts w:eastAsia="Arial"/>
          <w:sz w:val="22"/>
          <w:szCs w:val="22"/>
        </w:rPr>
        <w:t>A Sporttudományi és Testnevelési Intézetnél a gyakorlati teljesítményért is szerezhető pont, amennyiben az oktató olyan sportolót nevelt, aki az adott évben világversenyen vagy hazai o</w:t>
      </w:r>
      <w:r>
        <w:rPr>
          <w:rFonts w:eastAsia="Arial"/>
          <w:sz w:val="22"/>
          <w:szCs w:val="22"/>
        </w:rPr>
        <w:t>r</w:t>
      </w:r>
      <w:r w:rsidRPr="00BD15C8">
        <w:rPr>
          <w:rFonts w:eastAsia="Arial"/>
          <w:sz w:val="22"/>
          <w:szCs w:val="22"/>
        </w:rPr>
        <w:t>szágos b</w:t>
      </w:r>
      <w:r>
        <w:rPr>
          <w:rFonts w:eastAsia="Arial"/>
          <w:sz w:val="22"/>
          <w:szCs w:val="22"/>
        </w:rPr>
        <w:t>ajnokságon érmes helyezést szer</w:t>
      </w:r>
      <w:r w:rsidRPr="00BD15C8">
        <w:rPr>
          <w:rFonts w:eastAsia="Arial"/>
          <w:sz w:val="22"/>
          <w:szCs w:val="22"/>
        </w:rPr>
        <w:t>zett. Amennyiben a sportoló világversenyt nyert az adott évben (EB, VB vagy olimpia) akkor az oktató A kategóriás g</w:t>
      </w:r>
      <w:r>
        <w:rPr>
          <w:rFonts w:eastAsia="Arial"/>
          <w:sz w:val="22"/>
          <w:szCs w:val="22"/>
        </w:rPr>
        <w:t>yakorlati teljesítménypontra jo</w:t>
      </w:r>
      <w:r w:rsidRPr="00BD15C8">
        <w:rPr>
          <w:rFonts w:eastAsia="Arial"/>
          <w:sz w:val="22"/>
          <w:szCs w:val="22"/>
        </w:rPr>
        <w:t xml:space="preserve">gosult, ha világversenyen ezüst- vagy bronzérmes sportolót </w:t>
      </w:r>
      <w:proofErr w:type="gramStart"/>
      <w:r w:rsidRPr="00BD15C8">
        <w:rPr>
          <w:rFonts w:eastAsia="Arial"/>
          <w:sz w:val="22"/>
          <w:szCs w:val="22"/>
        </w:rPr>
        <w:t>nevelt</w:t>
      </w:r>
      <w:proofErr w:type="gramEnd"/>
      <w:r w:rsidRPr="00BD15C8">
        <w:rPr>
          <w:rFonts w:eastAsia="Arial"/>
          <w:sz w:val="22"/>
          <w:szCs w:val="22"/>
        </w:rPr>
        <w:t xml:space="preserve"> akkor B kategóriás teljesítménypontra jogosult, ha</w:t>
      </w:r>
      <w:r>
        <w:rPr>
          <w:rFonts w:eastAsia="Arial"/>
          <w:sz w:val="22"/>
          <w:szCs w:val="22"/>
        </w:rPr>
        <w:t xml:space="preserve"> pedig adott évben országos baj</w:t>
      </w:r>
      <w:r w:rsidRPr="00BD15C8">
        <w:rPr>
          <w:rFonts w:eastAsia="Arial"/>
          <w:sz w:val="22"/>
          <w:szCs w:val="22"/>
        </w:rPr>
        <w:t>nokságon érmet nyert sportolót nevelt, akkor C kategóriás teljesítménypontra jogosult, amely a következő összefüggéssel számítható</w:t>
      </w:r>
      <w:r>
        <w:rPr>
          <w:rFonts w:eastAsia="Arial"/>
          <w:sz w:val="22"/>
          <w:szCs w:val="22"/>
        </w:rPr>
        <w:t>:</w:t>
      </w:r>
    </w:p>
    <w:p w14:paraId="279C558D" w14:textId="77777777" w:rsidR="00FD0545" w:rsidRDefault="00FD0545" w:rsidP="00FD0545">
      <w:pPr>
        <w:spacing w:line="277" w:lineRule="auto"/>
        <w:ind w:firstLine="351"/>
        <w:jc w:val="center"/>
        <w:rPr>
          <w:rFonts w:eastAsia="Arial"/>
          <w:sz w:val="22"/>
          <w:szCs w:val="22"/>
        </w:rPr>
      </w:pPr>
      <w:r w:rsidRPr="00CA5E30">
        <w:rPr>
          <w:noProof/>
        </w:rPr>
        <w:drawing>
          <wp:inline distT="0" distB="0" distL="0" distR="0" wp14:anchorId="042ECE09" wp14:editId="12A2F45B">
            <wp:extent cx="2553335" cy="23431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3335" cy="234315"/>
                    </a:xfrm>
                    <a:prstGeom prst="rect">
                      <a:avLst/>
                    </a:prstGeom>
                    <a:noFill/>
                    <a:ln>
                      <a:noFill/>
                    </a:ln>
                  </pic:spPr>
                </pic:pic>
              </a:graphicData>
            </a:graphic>
          </wp:inline>
        </w:drawing>
      </w:r>
    </w:p>
    <w:p w14:paraId="338ACF06" w14:textId="77777777" w:rsidR="00FD0545" w:rsidRPr="006016B3" w:rsidRDefault="00FD0545" w:rsidP="00FD0545">
      <w:pPr>
        <w:spacing w:line="277" w:lineRule="auto"/>
        <w:ind w:firstLine="284"/>
        <w:jc w:val="both"/>
        <w:rPr>
          <w:rFonts w:eastAsia="Arial"/>
          <w:sz w:val="22"/>
          <w:szCs w:val="22"/>
        </w:rPr>
      </w:pPr>
      <w:r w:rsidRPr="00BD15C8">
        <w:rPr>
          <w:rFonts w:eastAsia="Arial"/>
          <w:noProof/>
          <w:sz w:val="22"/>
          <w:szCs w:val="22"/>
        </w:rPr>
        <mc:AlternateContent>
          <mc:Choice Requires="wps">
            <w:drawing>
              <wp:anchor distT="0" distB="0" distL="114300" distR="114300" simplePos="0" relativeHeight="251656704" behindDoc="1" locked="0" layoutInCell="1" allowOverlap="1" wp14:anchorId="10850CAC" wp14:editId="5B43CC25">
                <wp:simplePos x="0" y="0"/>
                <wp:positionH relativeFrom="column">
                  <wp:posOffset>2383155</wp:posOffset>
                </wp:positionH>
                <wp:positionV relativeFrom="paragraph">
                  <wp:posOffset>-165100</wp:posOffset>
                </wp:positionV>
                <wp:extent cx="175895" cy="0"/>
                <wp:effectExtent l="11430" t="12065" r="12700" b="6985"/>
                <wp:wrapNone/>
                <wp:docPr id="13"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0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460B90E" id="Egyenes összekötő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3pt" to="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" strokeweight=".16861mm"/>
            </w:pict>
          </mc:Fallback>
        </mc:AlternateContent>
      </w:r>
      <w:r w:rsidRPr="00BD15C8">
        <w:rPr>
          <w:rFonts w:eastAsia="Arial"/>
          <w:noProof/>
          <w:sz w:val="22"/>
          <w:szCs w:val="22"/>
        </w:rPr>
        <mc:AlternateContent>
          <mc:Choice Requires="wps">
            <w:drawing>
              <wp:anchor distT="0" distB="0" distL="114300" distR="114300" simplePos="0" relativeHeight="251657728" behindDoc="1" locked="0" layoutInCell="1" allowOverlap="1" wp14:anchorId="52FB80FB" wp14:editId="158FF959">
                <wp:simplePos x="0" y="0"/>
                <wp:positionH relativeFrom="column">
                  <wp:posOffset>3140710</wp:posOffset>
                </wp:positionH>
                <wp:positionV relativeFrom="paragraph">
                  <wp:posOffset>-165100</wp:posOffset>
                </wp:positionV>
                <wp:extent cx="140970" cy="0"/>
                <wp:effectExtent l="6985" t="12065" r="13970" b="6985"/>
                <wp:wrapNone/>
                <wp:docPr id="12" name="Egyenes összekötő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line">
                          <a:avLst/>
                        </a:prstGeom>
                        <a:noFill/>
                        <a:ln w="60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E18952D" id="Egyenes összekötő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13pt" to="25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" strokeweight=".16861mm"/>
            </w:pict>
          </mc:Fallback>
        </mc:AlternateContent>
      </w:r>
      <w:r w:rsidRPr="00BD15C8">
        <w:rPr>
          <w:rFonts w:eastAsia="Arial"/>
          <w:noProof/>
          <w:sz w:val="22"/>
          <w:szCs w:val="22"/>
        </w:rPr>
        <mc:AlternateContent>
          <mc:Choice Requires="wps">
            <w:drawing>
              <wp:anchor distT="0" distB="0" distL="114300" distR="114300" simplePos="0" relativeHeight="251658752" behindDoc="1" locked="0" layoutInCell="1" allowOverlap="1" wp14:anchorId="4F5D8ED8" wp14:editId="533DC132">
                <wp:simplePos x="0" y="0"/>
                <wp:positionH relativeFrom="column">
                  <wp:posOffset>3829050</wp:posOffset>
                </wp:positionH>
                <wp:positionV relativeFrom="paragraph">
                  <wp:posOffset>-165100</wp:posOffset>
                </wp:positionV>
                <wp:extent cx="141605" cy="0"/>
                <wp:effectExtent l="9525" t="12065" r="10795" b="6985"/>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60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5A45105" id="Egyenes összekötő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3pt" to="31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" strokeweight=".16861mm"/>
            </w:pict>
          </mc:Fallback>
        </mc:AlternateContent>
      </w:r>
      <w:r w:rsidRPr="00BD15C8">
        <w:rPr>
          <w:rFonts w:eastAsia="Arial"/>
          <w:sz w:val="22"/>
          <w:szCs w:val="22"/>
        </w:rPr>
        <w:t>ahol P</w:t>
      </w:r>
      <w:r w:rsidRPr="00BD15C8">
        <w:rPr>
          <w:rFonts w:eastAsia="Arial"/>
          <w:sz w:val="22"/>
          <w:szCs w:val="22"/>
          <w:vertAlign w:val="subscript"/>
        </w:rPr>
        <w:t>A</w:t>
      </w:r>
      <w:r w:rsidRPr="00BD15C8">
        <w:rPr>
          <w:rFonts w:eastAsia="Arial"/>
          <w:sz w:val="22"/>
          <w:szCs w:val="22"/>
        </w:rPr>
        <w:t>, P</w:t>
      </w:r>
      <w:r w:rsidRPr="00BD15C8">
        <w:rPr>
          <w:rFonts w:eastAsia="Arial"/>
          <w:sz w:val="22"/>
          <w:szCs w:val="22"/>
          <w:vertAlign w:val="subscript"/>
        </w:rPr>
        <w:t>B</w:t>
      </w:r>
      <w:r w:rsidRPr="00BD15C8">
        <w:rPr>
          <w:rFonts w:eastAsia="Arial"/>
          <w:sz w:val="22"/>
          <w:szCs w:val="22"/>
        </w:rPr>
        <w:t xml:space="preserve"> és P</w:t>
      </w:r>
      <w:r w:rsidRPr="00BD15C8">
        <w:rPr>
          <w:rFonts w:eastAsia="Arial"/>
          <w:sz w:val="22"/>
          <w:szCs w:val="22"/>
          <w:vertAlign w:val="subscript"/>
        </w:rPr>
        <w:t>C</w:t>
      </w:r>
      <w:r w:rsidRPr="00BD15C8">
        <w:rPr>
          <w:rFonts w:eastAsia="Arial"/>
          <w:sz w:val="22"/>
          <w:szCs w:val="22"/>
        </w:rPr>
        <w:t xml:space="preserve"> rendre 50, 35 és 25, valamint </w:t>
      </w:r>
      <w:proofErr w:type="spellStart"/>
      <w:r w:rsidRPr="00BD15C8">
        <w:rPr>
          <w:rFonts w:eastAsia="Arial"/>
          <w:sz w:val="22"/>
          <w:szCs w:val="22"/>
        </w:rPr>
        <w:t>n</w:t>
      </w:r>
      <w:r w:rsidRPr="00BD15C8">
        <w:rPr>
          <w:rFonts w:eastAsia="Arial"/>
          <w:sz w:val="22"/>
          <w:szCs w:val="22"/>
          <w:vertAlign w:val="subscript"/>
        </w:rPr>
        <w:t>A</w:t>
      </w:r>
      <w:proofErr w:type="spellEnd"/>
      <w:r w:rsidRPr="00BD15C8">
        <w:rPr>
          <w:rFonts w:eastAsia="Arial"/>
          <w:sz w:val="22"/>
          <w:szCs w:val="22"/>
        </w:rPr>
        <w:t xml:space="preserve">, </w:t>
      </w:r>
      <w:proofErr w:type="spellStart"/>
      <w:r w:rsidRPr="00BD15C8">
        <w:rPr>
          <w:rFonts w:eastAsia="Arial"/>
          <w:sz w:val="22"/>
          <w:szCs w:val="22"/>
        </w:rPr>
        <w:t>n</w:t>
      </w:r>
      <w:r w:rsidRPr="00BD15C8">
        <w:rPr>
          <w:rFonts w:eastAsia="Arial"/>
          <w:sz w:val="22"/>
          <w:szCs w:val="22"/>
          <w:vertAlign w:val="subscript"/>
        </w:rPr>
        <w:t>B</w:t>
      </w:r>
      <w:proofErr w:type="spellEnd"/>
      <w:r w:rsidRPr="00BD15C8">
        <w:rPr>
          <w:rFonts w:eastAsia="Arial"/>
          <w:sz w:val="22"/>
          <w:szCs w:val="22"/>
        </w:rPr>
        <w:t xml:space="preserve"> és </w:t>
      </w:r>
      <w:proofErr w:type="spellStart"/>
      <w:r w:rsidRPr="00BD15C8">
        <w:rPr>
          <w:rFonts w:eastAsia="Arial"/>
          <w:sz w:val="22"/>
          <w:szCs w:val="22"/>
        </w:rPr>
        <w:t>n</w:t>
      </w:r>
      <w:r w:rsidRPr="00BD15C8">
        <w:rPr>
          <w:rFonts w:eastAsia="Arial"/>
          <w:sz w:val="22"/>
          <w:szCs w:val="22"/>
          <w:vertAlign w:val="subscript"/>
        </w:rPr>
        <w:t>C</w:t>
      </w:r>
      <w:proofErr w:type="spellEnd"/>
      <w:r w:rsidRPr="00BD15C8">
        <w:rPr>
          <w:rFonts w:eastAsia="Arial"/>
          <w:sz w:val="22"/>
          <w:szCs w:val="22"/>
        </w:rPr>
        <w:t xml:space="preserve"> jelentik azon sportoló számát (de legfeljebb hárma</w:t>
      </w:r>
      <w:r>
        <w:rPr>
          <w:rFonts w:eastAsia="Arial"/>
          <w:sz w:val="22"/>
          <w:szCs w:val="22"/>
        </w:rPr>
        <w:t xml:space="preserve">t), akik a hároméves </w:t>
      </w:r>
      <w:proofErr w:type="spellStart"/>
      <w:r>
        <w:rPr>
          <w:rFonts w:eastAsia="Arial"/>
          <w:sz w:val="22"/>
          <w:szCs w:val="22"/>
        </w:rPr>
        <w:t>csúszóperi</w:t>
      </w:r>
      <w:r w:rsidRPr="00BD15C8">
        <w:rPr>
          <w:rFonts w:eastAsia="Arial"/>
          <w:sz w:val="22"/>
          <w:szCs w:val="22"/>
        </w:rPr>
        <w:t>ódus</w:t>
      </w:r>
      <w:proofErr w:type="spellEnd"/>
      <w:r w:rsidRPr="00BD15C8">
        <w:rPr>
          <w:rFonts w:eastAsia="Arial"/>
          <w:sz w:val="22"/>
          <w:szCs w:val="22"/>
        </w:rPr>
        <w:t xml:space="preserve"> alatt a különböző versenyeken való szer</w:t>
      </w:r>
      <w:r>
        <w:rPr>
          <w:rFonts w:eastAsia="Arial"/>
          <w:sz w:val="22"/>
          <w:szCs w:val="22"/>
        </w:rPr>
        <w:t xml:space="preserve">epléseikkel A, B, illetve C </w:t>
      </w:r>
      <w:proofErr w:type="gramStart"/>
      <w:r>
        <w:rPr>
          <w:rFonts w:eastAsia="Arial"/>
          <w:sz w:val="22"/>
          <w:szCs w:val="22"/>
        </w:rPr>
        <w:t>ka</w:t>
      </w:r>
      <w:r w:rsidRPr="00BD15C8">
        <w:rPr>
          <w:rFonts w:eastAsia="Arial"/>
          <w:sz w:val="22"/>
          <w:szCs w:val="22"/>
        </w:rPr>
        <w:t>tegóriás</w:t>
      </w:r>
      <w:proofErr w:type="gramEnd"/>
      <w:r w:rsidRPr="00BD15C8">
        <w:rPr>
          <w:rFonts w:eastAsia="Arial"/>
          <w:sz w:val="22"/>
          <w:szCs w:val="22"/>
        </w:rPr>
        <w:t xml:space="preserve"> teljesítménypontra teszik jogosulttá az oktatót. A </w:t>
      </w:r>
      <w:proofErr w:type="spellStart"/>
      <w:r w:rsidRPr="00BD15C8">
        <w:rPr>
          <w:rFonts w:eastAsia="Arial"/>
          <w:sz w:val="22"/>
          <w:szCs w:val="22"/>
        </w:rPr>
        <w:t>P</w:t>
      </w:r>
      <w:r w:rsidRPr="00BD15C8">
        <w:rPr>
          <w:rFonts w:eastAsia="Arial"/>
          <w:sz w:val="22"/>
          <w:szCs w:val="22"/>
          <w:vertAlign w:val="subscript"/>
        </w:rPr>
        <w:t>gy</w:t>
      </w:r>
      <w:proofErr w:type="spellEnd"/>
      <w:r w:rsidRPr="00BD15C8">
        <w:rPr>
          <w:rFonts w:eastAsia="Arial"/>
          <w:sz w:val="22"/>
          <w:szCs w:val="22"/>
        </w:rPr>
        <w:t xml:space="preserve"> gyakorlati pontszám az intézet azon oktatóinak írható j</w:t>
      </w:r>
      <w:r>
        <w:rPr>
          <w:rFonts w:eastAsia="Arial"/>
          <w:sz w:val="22"/>
          <w:szCs w:val="22"/>
        </w:rPr>
        <w:t>óvá, akik a versenyzők felkészí</w:t>
      </w:r>
      <w:r w:rsidRPr="00BD15C8">
        <w:rPr>
          <w:rFonts w:eastAsia="Arial"/>
          <w:sz w:val="22"/>
          <w:szCs w:val="22"/>
        </w:rPr>
        <w:t>tésében tevékenyen részt vettek.</w:t>
      </w:r>
    </w:p>
    <w:p w14:paraId="6F34F9FC" w14:textId="77777777" w:rsidR="00FD0545" w:rsidRPr="00BD15C8" w:rsidRDefault="00FD0545" w:rsidP="00FD0545">
      <w:pPr>
        <w:spacing w:line="200" w:lineRule="exact"/>
        <w:rPr>
          <w:sz w:val="22"/>
          <w:szCs w:val="22"/>
        </w:rPr>
      </w:pPr>
    </w:p>
    <w:p w14:paraId="5E672C76" w14:textId="77777777" w:rsidR="00FD0545" w:rsidRPr="006016B3" w:rsidRDefault="00FD0545" w:rsidP="00FD0545">
      <w:pPr>
        <w:spacing w:line="267" w:lineRule="auto"/>
        <w:ind w:firstLine="351"/>
        <w:jc w:val="both"/>
        <w:rPr>
          <w:rFonts w:eastAsia="Arial"/>
          <w:b/>
          <w:sz w:val="22"/>
          <w:szCs w:val="22"/>
        </w:rPr>
      </w:pPr>
      <w:r w:rsidRPr="006016B3">
        <w:rPr>
          <w:rFonts w:eastAsia="Arial"/>
          <w:b/>
          <w:sz w:val="22"/>
          <w:szCs w:val="22"/>
        </w:rPr>
        <w:t xml:space="preserve">Oktatási, </w:t>
      </w:r>
      <w:proofErr w:type="gramStart"/>
      <w:r w:rsidRPr="006016B3">
        <w:rPr>
          <w:rFonts w:eastAsia="Arial"/>
          <w:b/>
          <w:sz w:val="22"/>
          <w:szCs w:val="22"/>
        </w:rPr>
        <w:t>adminisztrációs</w:t>
      </w:r>
      <w:proofErr w:type="gramEnd"/>
      <w:r w:rsidRPr="006016B3">
        <w:rPr>
          <w:rFonts w:eastAsia="Arial"/>
          <w:b/>
          <w:sz w:val="22"/>
          <w:szCs w:val="22"/>
        </w:rPr>
        <w:t xml:space="preserve"> és tudományos TÉR pontok értékelési pontokká történő konverziójának menete</w:t>
      </w:r>
    </w:p>
    <w:p w14:paraId="372184B5" w14:textId="77777777" w:rsidR="00FD0545" w:rsidRPr="00BD15C8" w:rsidRDefault="00FD0545" w:rsidP="00FD0545">
      <w:pPr>
        <w:spacing w:line="132" w:lineRule="exact"/>
        <w:rPr>
          <w:sz w:val="22"/>
          <w:szCs w:val="22"/>
        </w:rPr>
      </w:pPr>
    </w:p>
    <w:p w14:paraId="1BECE56E" w14:textId="77777777" w:rsidR="00FD0545" w:rsidRPr="006016B3" w:rsidRDefault="00FD0545" w:rsidP="00FD0545">
      <w:pPr>
        <w:spacing w:line="271" w:lineRule="auto"/>
        <w:ind w:firstLine="351"/>
        <w:jc w:val="both"/>
        <w:rPr>
          <w:rFonts w:eastAsia="Arial"/>
          <w:i/>
          <w:sz w:val="22"/>
          <w:szCs w:val="22"/>
        </w:rPr>
      </w:pPr>
      <w:r w:rsidRPr="006016B3">
        <w:rPr>
          <w:rFonts w:eastAsia="Arial"/>
          <w:i/>
          <w:sz w:val="22"/>
          <w:szCs w:val="22"/>
        </w:rPr>
        <w:t xml:space="preserve">Oktatási TÉR pontok </w:t>
      </w:r>
      <w:proofErr w:type="spellStart"/>
      <w:r w:rsidRPr="006016B3">
        <w:rPr>
          <w:rFonts w:eastAsia="Arial"/>
          <w:i/>
          <w:sz w:val="22"/>
          <w:szCs w:val="22"/>
        </w:rPr>
        <w:t>Intézetektől</w:t>
      </w:r>
      <w:proofErr w:type="spellEnd"/>
      <w:r w:rsidRPr="006016B3">
        <w:rPr>
          <w:rFonts w:eastAsia="Arial"/>
          <w:i/>
          <w:sz w:val="22"/>
          <w:szCs w:val="22"/>
        </w:rPr>
        <w:t xml:space="preserve"> független </w:t>
      </w:r>
      <w:proofErr w:type="gramStart"/>
      <w:r w:rsidRPr="006016B3">
        <w:rPr>
          <w:rFonts w:eastAsia="Arial"/>
          <w:i/>
          <w:sz w:val="22"/>
          <w:szCs w:val="22"/>
        </w:rPr>
        <w:t>konverziója</w:t>
      </w:r>
      <w:proofErr w:type="gramEnd"/>
      <w:r w:rsidRPr="006016B3">
        <w:rPr>
          <w:rFonts w:eastAsia="Arial"/>
          <w:i/>
          <w:sz w:val="22"/>
          <w:szCs w:val="22"/>
        </w:rPr>
        <w:t xml:space="preserve"> oktatási értékelési pontokká</w:t>
      </w:r>
    </w:p>
    <w:p w14:paraId="6A2A5FFC" w14:textId="77777777" w:rsidR="00FD0545" w:rsidRPr="00BD15C8" w:rsidRDefault="00FD0545" w:rsidP="00FD0545">
      <w:pPr>
        <w:spacing w:line="256" w:lineRule="exact"/>
        <w:rPr>
          <w:sz w:val="22"/>
          <w:szCs w:val="22"/>
        </w:rPr>
      </w:pPr>
      <w:bookmarkStart w:id="385" w:name="page10"/>
      <w:bookmarkEnd w:id="385"/>
    </w:p>
    <w:tbl>
      <w:tblPr>
        <w:tblW w:w="0" w:type="auto"/>
        <w:tblInd w:w="1670" w:type="dxa"/>
        <w:tblLayout w:type="fixed"/>
        <w:tblCellMar>
          <w:left w:w="0" w:type="dxa"/>
          <w:right w:w="0" w:type="dxa"/>
        </w:tblCellMar>
        <w:tblLook w:val="0000" w:firstRow="0" w:lastRow="0" w:firstColumn="0" w:lastColumn="0" w:noHBand="0" w:noVBand="0"/>
      </w:tblPr>
      <w:tblGrid>
        <w:gridCol w:w="3340"/>
        <w:gridCol w:w="2680"/>
      </w:tblGrid>
      <w:tr w:rsidR="00FD0545" w:rsidRPr="00BD15C8" w14:paraId="2CDEBCA6" w14:textId="77777777" w:rsidTr="00026782">
        <w:trPr>
          <w:trHeight w:val="299"/>
        </w:trPr>
        <w:tc>
          <w:tcPr>
            <w:tcW w:w="3340" w:type="dxa"/>
            <w:tcBorders>
              <w:top w:val="single" w:sz="8" w:space="0" w:color="auto"/>
              <w:left w:val="single" w:sz="8" w:space="0" w:color="auto"/>
              <w:bottom w:val="single" w:sz="8" w:space="0" w:color="auto"/>
              <w:right w:val="single" w:sz="8" w:space="0" w:color="auto"/>
            </w:tcBorders>
            <w:shd w:val="clear" w:color="auto" w:fill="auto"/>
            <w:vAlign w:val="bottom"/>
          </w:tcPr>
          <w:p w14:paraId="76B13B22"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Oktatási TÉR pont értéke (x)</w:t>
            </w:r>
          </w:p>
        </w:tc>
        <w:tc>
          <w:tcPr>
            <w:tcW w:w="2680" w:type="dxa"/>
            <w:tcBorders>
              <w:top w:val="single" w:sz="8" w:space="0" w:color="auto"/>
              <w:bottom w:val="single" w:sz="8" w:space="0" w:color="auto"/>
              <w:right w:val="single" w:sz="8" w:space="0" w:color="auto"/>
            </w:tcBorders>
            <w:shd w:val="clear" w:color="auto" w:fill="auto"/>
            <w:vAlign w:val="bottom"/>
          </w:tcPr>
          <w:p w14:paraId="08367979" w14:textId="77777777" w:rsidR="00FD0545" w:rsidRPr="00BD15C8" w:rsidRDefault="00FD0545" w:rsidP="00026782">
            <w:pPr>
              <w:spacing w:line="0" w:lineRule="atLeast"/>
              <w:jc w:val="center"/>
              <w:rPr>
                <w:rFonts w:eastAsia="Arial"/>
                <w:w w:val="97"/>
                <w:sz w:val="22"/>
                <w:szCs w:val="22"/>
              </w:rPr>
            </w:pPr>
            <w:r w:rsidRPr="00BD15C8">
              <w:rPr>
                <w:rFonts w:eastAsia="Arial"/>
                <w:w w:val="97"/>
                <w:sz w:val="22"/>
                <w:szCs w:val="22"/>
              </w:rPr>
              <w:t>Oktatási értékelési pont</w:t>
            </w:r>
          </w:p>
        </w:tc>
      </w:tr>
      <w:tr w:rsidR="00FD0545" w:rsidRPr="00BD15C8" w14:paraId="73514288" w14:textId="77777777" w:rsidTr="00026782">
        <w:trPr>
          <w:trHeight w:val="254"/>
        </w:trPr>
        <w:tc>
          <w:tcPr>
            <w:tcW w:w="3340" w:type="dxa"/>
            <w:tcBorders>
              <w:left w:val="single" w:sz="8" w:space="0" w:color="auto"/>
              <w:right w:val="single" w:sz="8" w:space="0" w:color="auto"/>
            </w:tcBorders>
            <w:shd w:val="clear" w:color="auto" w:fill="auto"/>
            <w:vAlign w:val="bottom"/>
          </w:tcPr>
          <w:p w14:paraId="77F7EDCA" w14:textId="77777777" w:rsidR="00FD0545" w:rsidRPr="00BD15C8" w:rsidRDefault="00FD0545" w:rsidP="00026782">
            <w:pPr>
              <w:spacing w:line="255" w:lineRule="exact"/>
              <w:jc w:val="center"/>
              <w:rPr>
                <w:rFonts w:eastAsia="Arial"/>
                <w:sz w:val="22"/>
                <w:szCs w:val="22"/>
              </w:rPr>
            </w:pPr>
            <w:r>
              <w:rPr>
                <w:rFonts w:eastAsia="Arial"/>
                <w:sz w:val="22"/>
                <w:szCs w:val="22"/>
              </w:rPr>
              <w:t>x ≥</w:t>
            </w:r>
            <w:r w:rsidRPr="00BD15C8">
              <w:rPr>
                <w:rFonts w:eastAsia="Arial"/>
                <w:sz w:val="22"/>
                <w:szCs w:val="22"/>
              </w:rPr>
              <w:t>300</w:t>
            </w:r>
          </w:p>
        </w:tc>
        <w:tc>
          <w:tcPr>
            <w:tcW w:w="2680" w:type="dxa"/>
            <w:tcBorders>
              <w:right w:val="single" w:sz="8" w:space="0" w:color="auto"/>
            </w:tcBorders>
            <w:shd w:val="clear" w:color="auto" w:fill="auto"/>
            <w:vAlign w:val="bottom"/>
          </w:tcPr>
          <w:p w14:paraId="7D6A5524" w14:textId="77777777" w:rsidR="00FD0545" w:rsidRPr="00BD15C8" w:rsidRDefault="00FD0545" w:rsidP="00026782">
            <w:pPr>
              <w:spacing w:line="255" w:lineRule="exact"/>
              <w:jc w:val="center"/>
              <w:rPr>
                <w:rFonts w:eastAsia="Arial"/>
                <w:sz w:val="22"/>
                <w:szCs w:val="22"/>
              </w:rPr>
            </w:pPr>
            <w:r w:rsidRPr="00BD15C8">
              <w:rPr>
                <w:rFonts w:eastAsia="Arial"/>
                <w:sz w:val="22"/>
                <w:szCs w:val="22"/>
              </w:rPr>
              <w:t>3 pont</w:t>
            </w:r>
          </w:p>
        </w:tc>
      </w:tr>
      <w:tr w:rsidR="00FD0545" w:rsidRPr="00BD15C8" w14:paraId="2C657AA2" w14:textId="77777777" w:rsidTr="00026782">
        <w:trPr>
          <w:trHeight w:val="289"/>
        </w:trPr>
        <w:tc>
          <w:tcPr>
            <w:tcW w:w="3340" w:type="dxa"/>
            <w:tcBorders>
              <w:left w:val="single" w:sz="8" w:space="0" w:color="auto"/>
              <w:right w:val="single" w:sz="8" w:space="0" w:color="auto"/>
            </w:tcBorders>
            <w:shd w:val="clear" w:color="auto" w:fill="auto"/>
            <w:vAlign w:val="bottom"/>
          </w:tcPr>
          <w:p w14:paraId="0F72505F"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300</w:t>
            </w:r>
            <w:proofErr w:type="gramStart"/>
            <w:r w:rsidRPr="00BD15C8">
              <w:rPr>
                <w:rFonts w:eastAsia="Arial"/>
                <w:sz w:val="22"/>
                <w:szCs w:val="22"/>
              </w:rPr>
              <w:t>&gt;x</w:t>
            </w:r>
            <w:proofErr w:type="gramEnd"/>
            <w:r>
              <w:rPr>
                <w:rFonts w:eastAsia="Arial"/>
                <w:sz w:val="22"/>
                <w:szCs w:val="22"/>
              </w:rPr>
              <w:t>≥</w:t>
            </w:r>
            <w:r w:rsidRPr="00BD15C8">
              <w:rPr>
                <w:rFonts w:eastAsia="Arial"/>
                <w:sz w:val="22"/>
                <w:szCs w:val="22"/>
              </w:rPr>
              <w:t>225</w:t>
            </w:r>
          </w:p>
        </w:tc>
        <w:tc>
          <w:tcPr>
            <w:tcW w:w="2680" w:type="dxa"/>
            <w:tcBorders>
              <w:right w:val="single" w:sz="8" w:space="0" w:color="auto"/>
            </w:tcBorders>
            <w:shd w:val="clear" w:color="auto" w:fill="auto"/>
            <w:vAlign w:val="bottom"/>
          </w:tcPr>
          <w:p w14:paraId="2F8214D2"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2 pont</w:t>
            </w:r>
          </w:p>
        </w:tc>
      </w:tr>
      <w:tr w:rsidR="00FD0545" w:rsidRPr="00BD15C8" w14:paraId="203EF7D5" w14:textId="77777777" w:rsidTr="00026782">
        <w:trPr>
          <w:trHeight w:val="289"/>
        </w:trPr>
        <w:tc>
          <w:tcPr>
            <w:tcW w:w="3340" w:type="dxa"/>
            <w:tcBorders>
              <w:left w:val="single" w:sz="8" w:space="0" w:color="auto"/>
              <w:right w:val="single" w:sz="8" w:space="0" w:color="auto"/>
            </w:tcBorders>
            <w:shd w:val="clear" w:color="auto" w:fill="auto"/>
            <w:vAlign w:val="bottom"/>
          </w:tcPr>
          <w:p w14:paraId="4C1E511F"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225</w:t>
            </w:r>
            <w:proofErr w:type="gramStart"/>
            <w:r w:rsidRPr="00BD15C8">
              <w:rPr>
                <w:rFonts w:eastAsia="Arial"/>
                <w:sz w:val="22"/>
                <w:szCs w:val="22"/>
              </w:rPr>
              <w:t>&gt;x</w:t>
            </w:r>
            <w:proofErr w:type="gramEnd"/>
            <w:r>
              <w:rPr>
                <w:rFonts w:eastAsia="Arial"/>
                <w:sz w:val="22"/>
                <w:szCs w:val="22"/>
              </w:rPr>
              <w:t>≥</w:t>
            </w:r>
            <w:r w:rsidRPr="00BD15C8">
              <w:rPr>
                <w:rFonts w:eastAsia="Arial"/>
                <w:sz w:val="22"/>
                <w:szCs w:val="22"/>
              </w:rPr>
              <w:t>150</w:t>
            </w:r>
          </w:p>
        </w:tc>
        <w:tc>
          <w:tcPr>
            <w:tcW w:w="2680" w:type="dxa"/>
            <w:tcBorders>
              <w:right w:val="single" w:sz="8" w:space="0" w:color="auto"/>
            </w:tcBorders>
            <w:shd w:val="clear" w:color="auto" w:fill="auto"/>
            <w:vAlign w:val="bottom"/>
          </w:tcPr>
          <w:p w14:paraId="421AFBE9"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1 pont</w:t>
            </w:r>
          </w:p>
        </w:tc>
      </w:tr>
      <w:tr w:rsidR="00FD0545" w:rsidRPr="00BD15C8" w14:paraId="641F08C8" w14:textId="77777777" w:rsidTr="00026782">
        <w:trPr>
          <w:trHeight w:val="306"/>
        </w:trPr>
        <w:tc>
          <w:tcPr>
            <w:tcW w:w="3340" w:type="dxa"/>
            <w:tcBorders>
              <w:left w:val="single" w:sz="8" w:space="0" w:color="auto"/>
              <w:bottom w:val="single" w:sz="8" w:space="0" w:color="auto"/>
              <w:right w:val="single" w:sz="8" w:space="0" w:color="auto"/>
            </w:tcBorders>
            <w:shd w:val="clear" w:color="auto" w:fill="auto"/>
            <w:vAlign w:val="bottom"/>
          </w:tcPr>
          <w:p w14:paraId="2AB66638" w14:textId="77777777" w:rsidR="00FD0545" w:rsidRPr="00BD15C8" w:rsidRDefault="00FD0545" w:rsidP="00026782">
            <w:pPr>
              <w:spacing w:line="0" w:lineRule="atLeast"/>
              <w:jc w:val="center"/>
              <w:rPr>
                <w:rFonts w:eastAsia="Arial"/>
                <w:w w:val="99"/>
                <w:sz w:val="22"/>
                <w:szCs w:val="22"/>
              </w:rPr>
            </w:pPr>
            <w:proofErr w:type="gramStart"/>
            <w:r w:rsidRPr="00BD15C8">
              <w:rPr>
                <w:rFonts w:eastAsia="Arial"/>
                <w:w w:val="99"/>
                <w:sz w:val="22"/>
                <w:szCs w:val="22"/>
              </w:rPr>
              <w:t>x&lt;</w:t>
            </w:r>
            <w:proofErr w:type="gramEnd"/>
            <w:r w:rsidRPr="00BD15C8">
              <w:rPr>
                <w:rFonts w:eastAsia="Arial"/>
                <w:w w:val="99"/>
                <w:sz w:val="22"/>
                <w:szCs w:val="22"/>
              </w:rPr>
              <w:t>150</w:t>
            </w:r>
          </w:p>
        </w:tc>
        <w:tc>
          <w:tcPr>
            <w:tcW w:w="2680" w:type="dxa"/>
            <w:tcBorders>
              <w:bottom w:val="single" w:sz="8" w:space="0" w:color="auto"/>
              <w:right w:val="single" w:sz="8" w:space="0" w:color="auto"/>
            </w:tcBorders>
            <w:shd w:val="clear" w:color="auto" w:fill="auto"/>
            <w:vAlign w:val="bottom"/>
          </w:tcPr>
          <w:p w14:paraId="327C42E5"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0 pont</w:t>
            </w:r>
          </w:p>
        </w:tc>
      </w:tr>
    </w:tbl>
    <w:p w14:paraId="15A0C656" w14:textId="77777777" w:rsidR="00FD0545" w:rsidRPr="00BD15C8" w:rsidRDefault="00FD0545" w:rsidP="00FD0545">
      <w:pPr>
        <w:spacing w:line="344" w:lineRule="exact"/>
        <w:rPr>
          <w:sz w:val="22"/>
          <w:szCs w:val="22"/>
        </w:rPr>
      </w:pPr>
    </w:p>
    <w:p w14:paraId="53E59760" w14:textId="77777777" w:rsidR="00FD0545" w:rsidRDefault="00FD0545" w:rsidP="00FD0545">
      <w:pPr>
        <w:spacing w:line="271" w:lineRule="auto"/>
        <w:ind w:firstLine="351"/>
        <w:rPr>
          <w:rFonts w:eastAsia="Arial"/>
          <w:i/>
          <w:sz w:val="22"/>
          <w:szCs w:val="22"/>
        </w:rPr>
      </w:pPr>
      <w:proofErr w:type="gramStart"/>
      <w:r w:rsidRPr="006016B3">
        <w:rPr>
          <w:rFonts w:eastAsia="Arial"/>
          <w:i/>
          <w:sz w:val="22"/>
          <w:szCs w:val="22"/>
        </w:rPr>
        <w:t>Adminisztrációs</w:t>
      </w:r>
      <w:proofErr w:type="gramEnd"/>
      <w:r w:rsidRPr="006016B3">
        <w:rPr>
          <w:rFonts w:eastAsia="Arial"/>
          <w:i/>
          <w:sz w:val="22"/>
          <w:szCs w:val="22"/>
        </w:rPr>
        <w:t xml:space="preserve"> TÉR pontok </w:t>
      </w:r>
      <w:proofErr w:type="spellStart"/>
      <w:r w:rsidRPr="006016B3">
        <w:rPr>
          <w:rFonts w:eastAsia="Arial"/>
          <w:i/>
          <w:sz w:val="22"/>
          <w:szCs w:val="22"/>
        </w:rPr>
        <w:t>Intézetektől</w:t>
      </w:r>
      <w:proofErr w:type="spellEnd"/>
      <w:r w:rsidRPr="006016B3">
        <w:rPr>
          <w:rFonts w:eastAsia="Arial"/>
          <w:i/>
          <w:sz w:val="22"/>
          <w:szCs w:val="22"/>
        </w:rPr>
        <w:t xml:space="preserve"> független konverziója adminisztrációs értékelési pontokká</w:t>
      </w:r>
    </w:p>
    <w:tbl>
      <w:tblPr>
        <w:tblStyle w:val="Rcsostblzat"/>
        <w:tblW w:w="0" w:type="auto"/>
        <w:tblLook w:val="04A0" w:firstRow="1" w:lastRow="0" w:firstColumn="1" w:lastColumn="0" w:noHBand="0" w:noVBand="1"/>
      </w:tblPr>
      <w:tblGrid>
        <w:gridCol w:w="2265"/>
        <w:gridCol w:w="2265"/>
        <w:gridCol w:w="2266"/>
        <w:gridCol w:w="2266"/>
      </w:tblGrid>
      <w:tr w:rsidR="00026782" w14:paraId="07CA981F" w14:textId="77777777" w:rsidTr="00026782">
        <w:tc>
          <w:tcPr>
            <w:tcW w:w="9062" w:type="dxa"/>
            <w:gridSpan w:val="4"/>
          </w:tcPr>
          <w:p w14:paraId="29ED1851"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Beosztás</w:t>
            </w:r>
          </w:p>
        </w:tc>
      </w:tr>
      <w:tr w:rsidR="00026782" w14:paraId="6ED6070D" w14:textId="77777777" w:rsidTr="00026782">
        <w:tc>
          <w:tcPr>
            <w:tcW w:w="4530" w:type="dxa"/>
            <w:gridSpan w:val="2"/>
          </w:tcPr>
          <w:p w14:paraId="023A95B0"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Egyetemi tanár, docens</w:t>
            </w:r>
          </w:p>
        </w:tc>
        <w:tc>
          <w:tcPr>
            <w:tcW w:w="4532" w:type="dxa"/>
            <w:gridSpan w:val="2"/>
          </w:tcPr>
          <w:p w14:paraId="1C8D2BCD"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Adjunktus, tanársegéd</w:t>
            </w:r>
          </w:p>
        </w:tc>
      </w:tr>
      <w:tr w:rsidR="00026782" w14:paraId="0F218B53" w14:textId="77777777" w:rsidTr="00FD2F93">
        <w:trPr>
          <w:trHeight w:val="416"/>
        </w:trPr>
        <w:tc>
          <w:tcPr>
            <w:tcW w:w="2265" w:type="dxa"/>
          </w:tcPr>
          <w:p w14:paraId="23D97BAE"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TÉR pont értéke (x)</w:t>
            </w:r>
          </w:p>
        </w:tc>
        <w:tc>
          <w:tcPr>
            <w:tcW w:w="2265" w:type="dxa"/>
          </w:tcPr>
          <w:p w14:paraId="696A82B9"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Oktatási értékelési pont</w:t>
            </w:r>
          </w:p>
        </w:tc>
        <w:tc>
          <w:tcPr>
            <w:tcW w:w="2266" w:type="dxa"/>
          </w:tcPr>
          <w:p w14:paraId="3625DC1C"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TÉR pont értéke (x)</w:t>
            </w:r>
          </w:p>
        </w:tc>
        <w:tc>
          <w:tcPr>
            <w:tcW w:w="2266" w:type="dxa"/>
          </w:tcPr>
          <w:p w14:paraId="6579DD09" w14:textId="77777777" w:rsidR="00026782" w:rsidRPr="00026782" w:rsidRDefault="00026782" w:rsidP="00026782">
            <w:pPr>
              <w:spacing w:line="271" w:lineRule="auto"/>
              <w:jc w:val="center"/>
              <w:rPr>
                <w:rFonts w:eastAsia="Arial"/>
                <w:sz w:val="22"/>
                <w:szCs w:val="22"/>
              </w:rPr>
            </w:pPr>
            <w:r w:rsidRPr="00026782">
              <w:rPr>
                <w:rFonts w:eastAsia="Arial"/>
                <w:sz w:val="22"/>
                <w:szCs w:val="22"/>
              </w:rPr>
              <w:t>Oktatási értékelési pont</w:t>
            </w:r>
          </w:p>
        </w:tc>
      </w:tr>
      <w:tr w:rsidR="00FD2F93" w14:paraId="569F78EF" w14:textId="77777777" w:rsidTr="00026782">
        <w:tc>
          <w:tcPr>
            <w:tcW w:w="2265" w:type="dxa"/>
          </w:tcPr>
          <w:p w14:paraId="14EA9598" w14:textId="77777777" w:rsidR="00FD2F93" w:rsidRDefault="00FD2F93" w:rsidP="00FD2F93">
            <w:pPr>
              <w:spacing w:line="271" w:lineRule="auto"/>
              <w:jc w:val="center"/>
              <w:rPr>
                <w:rFonts w:eastAsia="Arial"/>
                <w:i/>
                <w:sz w:val="22"/>
                <w:szCs w:val="22"/>
              </w:rPr>
            </w:pPr>
            <w:r w:rsidRPr="00BD15C8">
              <w:rPr>
                <w:rFonts w:eastAsia="Arial"/>
                <w:sz w:val="22"/>
                <w:szCs w:val="22"/>
              </w:rPr>
              <w:t>x</w:t>
            </w:r>
            <w:r>
              <w:rPr>
                <w:rFonts w:eastAsia="Arial"/>
                <w:sz w:val="22"/>
                <w:szCs w:val="22"/>
              </w:rPr>
              <w:t>≥</w:t>
            </w:r>
            <w:r w:rsidRPr="00BD15C8">
              <w:rPr>
                <w:rFonts w:eastAsia="Arial"/>
                <w:sz w:val="22"/>
                <w:szCs w:val="22"/>
              </w:rPr>
              <w:t>45</w:t>
            </w:r>
          </w:p>
        </w:tc>
        <w:tc>
          <w:tcPr>
            <w:tcW w:w="2265" w:type="dxa"/>
          </w:tcPr>
          <w:p w14:paraId="0679A2AB"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3 pont</w:t>
            </w:r>
          </w:p>
        </w:tc>
        <w:tc>
          <w:tcPr>
            <w:tcW w:w="2266" w:type="dxa"/>
          </w:tcPr>
          <w:p w14:paraId="03622150" w14:textId="77777777" w:rsidR="00FD2F93" w:rsidRDefault="00FD2F93" w:rsidP="00FD2F93">
            <w:pPr>
              <w:spacing w:line="271" w:lineRule="auto"/>
              <w:jc w:val="center"/>
              <w:rPr>
                <w:rFonts w:eastAsia="Arial"/>
                <w:i/>
                <w:sz w:val="22"/>
                <w:szCs w:val="22"/>
              </w:rPr>
            </w:pPr>
            <w:r w:rsidRPr="00BD15C8">
              <w:rPr>
                <w:rFonts w:eastAsia="Arial"/>
                <w:sz w:val="22"/>
                <w:szCs w:val="22"/>
              </w:rPr>
              <w:t>x</w:t>
            </w:r>
            <w:r>
              <w:rPr>
                <w:rFonts w:eastAsia="Arial"/>
                <w:sz w:val="22"/>
                <w:szCs w:val="22"/>
              </w:rPr>
              <w:t>≥</w:t>
            </w:r>
            <w:r w:rsidRPr="00BD15C8">
              <w:rPr>
                <w:rFonts w:eastAsia="Arial"/>
                <w:sz w:val="22"/>
                <w:szCs w:val="22"/>
              </w:rPr>
              <w:t>30</w:t>
            </w:r>
          </w:p>
        </w:tc>
        <w:tc>
          <w:tcPr>
            <w:tcW w:w="2266" w:type="dxa"/>
          </w:tcPr>
          <w:p w14:paraId="66A4AD76"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3 pont</w:t>
            </w:r>
          </w:p>
        </w:tc>
      </w:tr>
      <w:tr w:rsidR="00FD2F93" w14:paraId="248B1A50" w14:textId="77777777" w:rsidTr="00026782">
        <w:tc>
          <w:tcPr>
            <w:tcW w:w="2265" w:type="dxa"/>
          </w:tcPr>
          <w:p w14:paraId="3EEF4656" w14:textId="77777777" w:rsidR="00FD2F93" w:rsidRDefault="00FD2F93" w:rsidP="00FD2F93">
            <w:pPr>
              <w:spacing w:line="271" w:lineRule="auto"/>
              <w:jc w:val="center"/>
              <w:rPr>
                <w:rFonts w:eastAsia="Arial"/>
                <w:i/>
                <w:sz w:val="22"/>
                <w:szCs w:val="22"/>
              </w:rPr>
            </w:pPr>
            <w:r w:rsidRPr="00BD15C8">
              <w:rPr>
                <w:rFonts w:eastAsia="Arial"/>
                <w:sz w:val="22"/>
                <w:szCs w:val="22"/>
              </w:rPr>
              <w:t>45</w:t>
            </w:r>
            <w:proofErr w:type="gramStart"/>
            <w:r w:rsidRPr="00BD15C8">
              <w:rPr>
                <w:rFonts w:eastAsia="Arial"/>
                <w:sz w:val="22"/>
                <w:szCs w:val="22"/>
              </w:rPr>
              <w:t>&gt;x</w:t>
            </w:r>
            <w:proofErr w:type="gramEnd"/>
            <w:r>
              <w:rPr>
                <w:rFonts w:eastAsia="Arial"/>
                <w:sz w:val="22"/>
                <w:szCs w:val="22"/>
              </w:rPr>
              <w:t>≥</w:t>
            </w:r>
            <w:r w:rsidRPr="00BD15C8">
              <w:rPr>
                <w:rFonts w:eastAsia="Arial"/>
                <w:sz w:val="22"/>
                <w:szCs w:val="22"/>
              </w:rPr>
              <w:t>30</w:t>
            </w:r>
          </w:p>
        </w:tc>
        <w:tc>
          <w:tcPr>
            <w:tcW w:w="2265" w:type="dxa"/>
          </w:tcPr>
          <w:p w14:paraId="7C6A1F17"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2 pont</w:t>
            </w:r>
          </w:p>
        </w:tc>
        <w:tc>
          <w:tcPr>
            <w:tcW w:w="2266" w:type="dxa"/>
          </w:tcPr>
          <w:p w14:paraId="0E37AAFF" w14:textId="77777777" w:rsidR="00FD2F93" w:rsidRDefault="00FD2F93" w:rsidP="00FD2F93">
            <w:pPr>
              <w:spacing w:line="271" w:lineRule="auto"/>
              <w:jc w:val="center"/>
              <w:rPr>
                <w:rFonts w:eastAsia="Arial"/>
                <w:i/>
                <w:sz w:val="22"/>
                <w:szCs w:val="22"/>
              </w:rPr>
            </w:pPr>
            <w:r w:rsidRPr="00BD15C8">
              <w:rPr>
                <w:rFonts w:eastAsia="Arial"/>
                <w:sz w:val="22"/>
                <w:szCs w:val="22"/>
              </w:rPr>
              <w:t>30</w:t>
            </w:r>
            <w:proofErr w:type="gramStart"/>
            <w:r w:rsidRPr="00BD15C8">
              <w:rPr>
                <w:rFonts w:eastAsia="Arial"/>
                <w:sz w:val="22"/>
                <w:szCs w:val="22"/>
              </w:rPr>
              <w:t>&gt;x</w:t>
            </w:r>
            <w:proofErr w:type="gramEnd"/>
            <w:r>
              <w:rPr>
                <w:rFonts w:eastAsia="Arial"/>
                <w:sz w:val="22"/>
                <w:szCs w:val="22"/>
              </w:rPr>
              <w:t>≥</w:t>
            </w:r>
            <w:r w:rsidRPr="00BD15C8">
              <w:rPr>
                <w:rFonts w:eastAsia="Arial"/>
                <w:sz w:val="22"/>
                <w:szCs w:val="22"/>
              </w:rPr>
              <w:t>15</w:t>
            </w:r>
          </w:p>
        </w:tc>
        <w:tc>
          <w:tcPr>
            <w:tcW w:w="2266" w:type="dxa"/>
          </w:tcPr>
          <w:p w14:paraId="08A7B302"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2 pont</w:t>
            </w:r>
          </w:p>
        </w:tc>
      </w:tr>
      <w:tr w:rsidR="00FD2F93" w14:paraId="0290754B" w14:textId="77777777" w:rsidTr="00026782">
        <w:tc>
          <w:tcPr>
            <w:tcW w:w="2265" w:type="dxa"/>
          </w:tcPr>
          <w:p w14:paraId="077D2697" w14:textId="77777777" w:rsidR="00FD2F93" w:rsidRDefault="00FD2F93" w:rsidP="00FD2F93">
            <w:pPr>
              <w:spacing w:line="271" w:lineRule="auto"/>
              <w:jc w:val="center"/>
              <w:rPr>
                <w:rFonts w:eastAsia="Arial"/>
                <w:i/>
                <w:sz w:val="22"/>
                <w:szCs w:val="22"/>
              </w:rPr>
            </w:pPr>
            <w:r w:rsidRPr="00BD15C8">
              <w:rPr>
                <w:rFonts w:eastAsia="Arial"/>
                <w:sz w:val="22"/>
                <w:szCs w:val="22"/>
              </w:rPr>
              <w:t>30</w:t>
            </w:r>
            <w:proofErr w:type="gramStart"/>
            <w:r w:rsidRPr="00BD15C8">
              <w:rPr>
                <w:rFonts w:eastAsia="Arial"/>
                <w:sz w:val="22"/>
                <w:szCs w:val="22"/>
              </w:rPr>
              <w:t>&gt;x</w:t>
            </w:r>
            <w:proofErr w:type="gramEnd"/>
            <w:r>
              <w:rPr>
                <w:rFonts w:eastAsia="Arial"/>
                <w:sz w:val="22"/>
                <w:szCs w:val="22"/>
              </w:rPr>
              <w:t>≥</w:t>
            </w:r>
            <w:r w:rsidRPr="00BD15C8">
              <w:rPr>
                <w:rFonts w:eastAsia="Arial"/>
                <w:sz w:val="22"/>
                <w:szCs w:val="22"/>
              </w:rPr>
              <w:t>15</w:t>
            </w:r>
          </w:p>
        </w:tc>
        <w:tc>
          <w:tcPr>
            <w:tcW w:w="2265" w:type="dxa"/>
          </w:tcPr>
          <w:p w14:paraId="673E12D2"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1 pont</w:t>
            </w:r>
          </w:p>
        </w:tc>
        <w:tc>
          <w:tcPr>
            <w:tcW w:w="2266" w:type="dxa"/>
          </w:tcPr>
          <w:p w14:paraId="5364E352" w14:textId="77777777" w:rsidR="00FD2F93" w:rsidRDefault="00FD2F93" w:rsidP="00FD2F93">
            <w:pPr>
              <w:spacing w:line="271" w:lineRule="auto"/>
              <w:jc w:val="center"/>
              <w:rPr>
                <w:rFonts w:eastAsia="Arial"/>
                <w:i/>
                <w:sz w:val="22"/>
                <w:szCs w:val="22"/>
              </w:rPr>
            </w:pPr>
            <w:r w:rsidRPr="00BD15C8">
              <w:rPr>
                <w:rFonts w:eastAsia="Arial"/>
                <w:sz w:val="22"/>
                <w:szCs w:val="22"/>
              </w:rPr>
              <w:t>15</w:t>
            </w:r>
            <w:proofErr w:type="gramStart"/>
            <w:r w:rsidRPr="00BD15C8">
              <w:rPr>
                <w:rFonts w:eastAsia="Arial"/>
                <w:sz w:val="22"/>
                <w:szCs w:val="22"/>
              </w:rPr>
              <w:t>&gt;x</w:t>
            </w:r>
            <w:proofErr w:type="gramEnd"/>
            <w:r w:rsidRPr="00BD15C8">
              <w:rPr>
                <w:rFonts w:eastAsia="Arial"/>
                <w:sz w:val="22"/>
                <w:szCs w:val="22"/>
              </w:rPr>
              <w:t>&gt;0</w:t>
            </w:r>
          </w:p>
        </w:tc>
        <w:tc>
          <w:tcPr>
            <w:tcW w:w="2266" w:type="dxa"/>
          </w:tcPr>
          <w:p w14:paraId="6071A33E"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1 pont</w:t>
            </w:r>
          </w:p>
        </w:tc>
      </w:tr>
      <w:tr w:rsidR="00026782" w14:paraId="0EF9200A" w14:textId="77777777" w:rsidTr="00026782">
        <w:tc>
          <w:tcPr>
            <w:tcW w:w="2265" w:type="dxa"/>
          </w:tcPr>
          <w:p w14:paraId="7AF063B5" w14:textId="77777777" w:rsidR="00026782" w:rsidRDefault="00FD2F93" w:rsidP="00FD2F93">
            <w:pPr>
              <w:spacing w:line="271" w:lineRule="auto"/>
              <w:jc w:val="center"/>
              <w:rPr>
                <w:rFonts w:eastAsia="Arial"/>
                <w:i/>
                <w:sz w:val="22"/>
                <w:szCs w:val="22"/>
              </w:rPr>
            </w:pPr>
            <w:proofErr w:type="gramStart"/>
            <w:r w:rsidRPr="00BD15C8">
              <w:rPr>
                <w:rFonts w:eastAsia="Arial"/>
                <w:sz w:val="22"/>
                <w:szCs w:val="22"/>
              </w:rPr>
              <w:t>x&lt;</w:t>
            </w:r>
            <w:proofErr w:type="gramEnd"/>
            <w:r w:rsidRPr="00BD15C8">
              <w:rPr>
                <w:rFonts w:eastAsia="Arial"/>
                <w:sz w:val="22"/>
                <w:szCs w:val="22"/>
              </w:rPr>
              <w:t>15</w:t>
            </w:r>
          </w:p>
        </w:tc>
        <w:tc>
          <w:tcPr>
            <w:tcW w:w="2265" w:type="dxa"/>
          </w:tcPr>
          <w:p w14:paraId="732E1010" w14:textId="77777777" w:rsidR="00026782" w:rsidRPr="00FD2F93" w:rsidRDefault="00026782" w:rsidP="00FD2F93">
            <w:pPr>
              <w:spacing w:line="271" w:lineRule="auto"/>
              <w:jc w:val="center"/>
              <w:rPr>
                <w:rFonts w:eastAsia="Arial"/>
                <w:sz w:val="22"/>
                <w:szCs w:val="22"/>
              </w:rPr>
            </w:pPr>
            <w:r w:rsidRPr="00FD2F93">
              <w:rPr>
                <w:rFonts w:eastAsia="Arial"/>
                <w:sz w:val="22"/>
                <w:szCs w:val="22"/>
              </w:rPr>
              <w:t>0 pont</w:t>
            </w:r>
          </w:p>
        </w:tc>
        <w:tc>
          <w:tcPr>
            <w:tcW w:w="2266" w:type="dxa"/>
          </w:tcPr>
          <w:p w14:paraId="492B2994" w14:textId="77777777" w:rsidR="00026782" w:rsidRDefault="00026782" w:rsidP="00FD0545">
            <w:pPr>
              <w:spacing w:line="271" w:lineRule="auto"/>
              <w:rPr>
                <w:rFonts w:eastAsia="Arial"/>
                <w:i/>
                <w:sz w:val="22"/>
                <w:szCs w:val="22"/>
              </w:rPr>
            </w:pPr>
          </w:p>
        </w:tc>
        <w:tc>
          <w:tcPr>
            <w:tcW w:w="2266" w:type="dxa"/>
          </w:tcPr>
          <w:p w14:paraId="17E6DEAC" w14:textId="77777777" w:rsidR="00026782" w:rsidRDefault="00026782" w:rsidP="00FD0545">
            <w:pPr>
              <w:spacing w:line="271" w:lineRule="auto"/>
              <w:rPr>
                <w:rFonts w:eastAsia="Arial"/>
                <w:i/>
                <w:sz w:val="22"/>
                <w:szCs w:val="22"/>
              </w:rPr>
            </w:pPr>
          </w:p>
        </w:tc>
      </w:tr>
    </w:tbl>
    <w:p w14:paraId="064ED1EA" w14:textId="77777777" w:rsidR="00E878FB" w:rsidRDefault="00E878FB" w:rsidP="00FD2F93">
      <w:pPr>
        <w:spacing w:line="271" w:lineRule="auto"/>
        <w:rPr>
          <w:rFonts w:eastAsia="Arial"/>
          <w:i/>
          <w:sz w:val="22"/>
          <w:szCs w:val="22"/>
        </w:rPr>
      </w:pPr>
    </w:p>
    <w:p w14:paraId="18D7ACEA" w14:textId="77777777" w:rsidR="00E878FB" w:rsidRDefault="00E878FB">
      <w:pPr>
        <w:spacing w:after="160" w:line="259" w:lineRule="auto"/>
        <w:rPr>
          <w:rFonts w:eastAsia="Arial"/>
          <w:i/>
          <w:sz w:val="22"/>
          <w:szCs w:val="22"/>
        </w:rPr>
      </w:pPr>
      <w:r>
        <w:rPr>
          <w:rFonts w:eastAsia="Arial"/>
          <w:i/>
          <w:sz w:val="22"/>
          <w:szCs w:val="22"/>
        </w:rPr>
        <w:br w:type="page"/>
      </w:r>
    </w:p>
    <w:p w14:paraId="25115B9C" w14:textId="77777777" w:rsidR="00026782" w:rsidRDefault="00026782" w:rsidP="00FD2F93">
      <w:pPr>
        <w:spacing w:line="271" w:lineRule="auto"/>
        <w:rPr>
          <w:rFonts w:eastAsia="Arial"/>
          <w:i/>
          <w:sz w:val="22"/>
          <w:szCs w:val="22"/>
        </w:rPr>
      </w:pPr>
    </w:p>
    <w:p w14:paraId="25F437E8" w14:textId="77777777" w:rsidR="00FD2F93" w:rsidRDefault="00FD2F93" w:rsidP="00FD2F93">
      <w:pPr>
        <w:spacing w:line="271" w:lineRule="auto"/>
        <w:ind w:left="284"/>
        <w:rPr>
          <w:rFonts w:eastAsia="Arial"/>
          <w:i/>
          <w:sz w:val="22"/>
          <w:szCs w:val="22"/>
        </w:rPr>
      </w:pPr>
      <w:r>
        <w:rPr>
          <w:rFonts w:eastAsia="Arial"/>
          <w:i/>
          <w:sz w:val="22"/>
          <w:szCs w:val="22"/>
        </w:rPr>
        <w:t xml:space="preserve">Tudományos TÉR pontok </w:t>
      </w:r>
      <w:proofErr w:type="spellStart"/>
      <w:r>
        <w:rPr>
          <w:rFonts w:eastAsia="Arial"/>
          <w:i/>
          <w:sz w:val="22"/>
          <w:szCs w:val="22"/>
        </w:rPr>
        <w:t>Inétzetenkénti</w:t>
      </w:r>
      <w:proofErr w:type="spellEnd"/>
      <w:r>
        <w:rPr>
          <w:rFonts w:eastAsia="Arial"/>
          <w:i/>
          <w:sz w:val="22"/>
          <w:szCs w:val="22"/>
        </w:rPr>
        <w:t xml:space="preserve"> </w:t>
      </w:r>
      <w:proofErr w:type="gramStart"/>
      <w:r>
        <w:rPr>
          <w:rFonts w:eastAsia="Arial"/>
          <w:i/>
          <w:sz w:val="22"/>
          <w:szCs w:val="22"/>
        </w:rPr>
        <w:t>konverziója</w:t>
      </w:r>
      <w:proofErr w:type="gramEnd"/>
      <w:r w:rsidRPr="006016B3">
        <w:rPr>
          <w:rStyle w:val="Lbjegyzet-hivatkozs"/>
          <w:rFonts w:eastAsia="Arial"/>
          <w:i/>
          <w:sz w:val="22"/>
          <w:szCs w:val="22"/>
        </w:rPr>
        <w:footnoteReference w:id="493"/>
      </w:r>
    </w:p>
    <w:p w14:paraId="251176A8" w14:textId="77777777" w:rsidR="00FD2F93" w:rsidRDefault="00FD2F93" w:rsidP="00FD2F93">
      <w:pPr>
        <w:spacing w:line="271" w:lineRule="auto"/>
        <w:ind w:left="284"/>
        <w:rPr>
          <w:rFonts w:eastAsia="Arial"/>
          <w:i/>
          <w:sz w:val="22"/>
          <w:szCs w:val="22"/>
        </w:rPr>
      </w:pPr>
    </w:p>
    <w:p w14:paraId="2A01C76D" w14:textId="77777777" w:rsidR="00FD2F93" w:rsidRDefault="00FD2F93" w:rsidP="00FD2F93">
      <w:pPr>
        <w:spacing w:line="271" w:lineRule="auto"/>
        <w:ind w:left="284"/>
        <w:rPr>
          <w:rFonts w:eastAsia="Arial"/>
          <w:i/>
          <w:sz w:val="22"/>
          <w:szCs w:val="22"/>
        </w:rPr>
      </w:pPr>
      <w:r>
        <w:rPr>
          <w:rFonts w:eastAsia="Arial"/>
          <w:i/>
          <w:sz w:val="22"/>
          <w:szCs w:val="22"/>
        </w:rPr>
        <w:t>Biológia Intézet</w:t>
      </w:r>
    </w:p>
    <w:p w14:paraId="214C6383" w14:textId="77777777" w:rsidR="00FD2F93" w:rsidRDefault="00FD2F93" w:rsidP="00FD2F93">
      <w:pPr>
        <w:spacing w:line="271" w:lineRule="auto"/>
        <w:ind w:left="284"/>
        <w:rPr>
          <w:rFonts w:eastAsia="Arial"/>
          <w:i/>
          <w:sz w:val="22"/>
          <w:szCs w:val="22"/>
        </w:rPr>
      </w:pPr>
    </w:p>
    <w:tbl>
      <w:tblPr>
        <w:tblStyle w:val="Rcsostblzat"/>
        <w:tblW w:w="0" w:type="auto"/>
        <w:tblInd w:w="284" w:type="dxa"/>
        <w:tblLook w:val="04A0" w:firstRow="1" w:lastRow="0" w:firstColumn="1" w:lastColumn="0" w:noHBand="0" w:noVBand="1"/>
      </w:tblPr>
      <w:tblGrid>
        <w:gridCol w:w="1783"/>
        <w:gridCol w:w="1749"/>
        <w:gridCol w:w="1748"/>
        <w:gridCol w:w="1749"/>
        <w:gridCol w:w="1749"/>
      </w:tblGrid>
      <w:tr w:rsidR="00FD2F93" w14:paraId="756B41BD" w14:textId="77777777" w:rsidTr="00FD2F93">
        <w:tc>
          <w:tcPr>
            <w:tcW w:w="1783" w:type="dxa"/>
            <w:vMerge w:val="restart"/>
          </w:tcPr>
          <w:p w14:paraId="0A9253F0" w14:textId="77777777" w:rsidR="00FD2F93" w:rsidRDefault="00FD2F93" w:rsidP="00FD2F93">
            <w:pPr>
              <w:spacing w:line="271" w:lineRule="auto"/>
              <w:jc w:val="center"/>
              <w:rPr>
                <w:rFonts w:eastAsia="Arial"/>
                <w:i/>
                <w:sz w:val="22"/>
                <w:szCs w:val="22"/>
              </w:rPr>
            </w:pPr>
            <w:r w:rsidRPr="00BD15C8">
              <w:rPr>
                <w:rFonts w:eastAsia="Arial"/>
                <w:w w:val="97"/>
                <w:sz w:val="22"/>
                <w:szCs w:val="22"/>
              </w:rPr>
              <w:t>Tud. Értékelési pont</w:t>
            </w:r>
          </w:p>
        </w:tc>
        <w:tc>
          <w:tcPr>
            <w:tcW w:w="6995" w:type="dxa"/>
            <w:gridSpan w:val="4"/>
          </w:tcPr>
          <w:p w14:paraId="2AAACC45" w14:textId="77777777" w:rsidR="00FD2F93" w:rsidRDefault="00FD2F93" w:rsidP="00FD2F93">
            <w:pPr>
              <w:spacing w:line="271" w:lineRule="auto"/>
              <w:jc w:val="center"/>
              <w:rPr>
                <w:rFonts w:eastAsia="Arial"/>
                <w:i/>
                <w:sz w:val="22"/>
                <w:szCs w:val="22"/>
              </w:rPr>
            </w:pPr>
            <w:r w:rsidRPr="00BD15C8">
              <w:rPr>
                <w:rFonts w:eastAsia="Arial"/>
                <w:w w:val="97"/>
                <w:sz w:val="22"/>
                <w:szCs w:val="22"/>
              </w:rPr>
              <w:t>Tudományos TÉR pont (x)</w:t>
            </w:r>
          </w:p>
        </w:tc>
      </w:tr>
      <w:tr w:rsidR="00FD2F93" w14:paraId="09DF0B43" w14:textId="77777777" w:rsidTr="00FD2F93">
        <w:tc>
          <w:tcPr>
            <w:tcW w:w="1783" w:type="dxa"/>
            <w:vMerge/>
          </w:tcPr>
          <w:p w14:paraId="2EC5E539" w14:textId="77777777" w:rsidR="00FD2F93" w:rsidRDefault="00FD2F93" w:rsidP="00FD2F93">
            <w:pPr>
              <w:spacing w:line="271" w:lineRule="auto"/>
              <w:rPr>
                <w:rFonts w:eastAsia="Arial"/>
                <w:i/>
                <w:sz w:val="22"/>
                <w:szCs w:val="22"/>
              </w:rPr>
            </w:pPr>
          </w:p>
        </w:tc>
        <w:tc>
          <w:tcPr>
            <w:tcW w:w="1749" w:type="dxa"/>
          </w:tcPr>
          <w:p w14:paraId="78F79565" w14:textId="77777777" w:rsidR="00FD2F93" w:rsidRDefault="00FD2F93" w:rsidP="00FD2F93">
            <w:pPr>
              <w:spacing w:line="271" w:lineRule="auto"/>
              <w:jc w:val="center"/>
              <w:rPr>
                <w:rFonts w:eastAsia="Arial"/>
                <w:i/>
                <w:sz w:val="22"/>
                <w:szCs w:val="22"/>
              </w:rPr>
            </w:pPr>
            <w:r>
              <w:rPr>
                <w:rFonts w:eastAsia="Arial"/>
                <w:w w:val="98"/>
                <w:sz w:val="22"/>
                <w:szCs w:val="22"/>
              </w:rPr>
              <w:t>Egyetemi</w:t>
            </w:r>
            <w:r w:rsidRPr="00BD15C8">
              <w:rPr>
                <w:rFonts w:eastAsia="Arial"/>
                <w:w w:val="98"/>
                <w:sz w:val="22"/>
                <w:szCs w:val="22"/>
              </w:rPr>
              <w:t xml:space="preserve"> tanár</w:t>
            </w:r>
          </w:p>
        </w:tc>
        <w:tc>
          <w:tcPr>
            <w:tcW w:w="1748" w:type="dxa"/>
          </w:tcPr>
          <w:p w14:paraId="4D2B2DCA"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Docens</w:t>
            </w:r>
          </w:p>
        </w:tc>
        <w:tc>
          <w:tcPr>
            <w:tcW w:w="1749" w:type="dxa"/>
          </w:tcPr>
          <w:p w14:paraId="0C888005"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Adjunktus</w:t>
            </w:r>
          </w:p>
        </w:tc>
        <w:tc>
          <w:tcPr>
            <w:tcW w:w="1749" w:type="dxa"/>
          </w:tcPr>
          <w:p w14:paraId="6BA3E6ED"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Tanársegéd</w:t>
            </w:r>
          </w:p>
        </w:tc>
      </w:tr>
      <w:tr w:rsidR="00FD2F93" w14:paraId="4489800B" w14:textId="77777777" w:rsidTr="00827537">
        <w:tc>
          <w:tcPr>
            <w:tcW w:w="1783" w:type="dxa"/>
            <w:vAlign w:val="bottom"/>
          </w:tcPr>
          <w:p w14:paraId="4CBFB1E0"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3 pont</w:t>
            </w:r>
          </w:p>
        </w:tc>
        <w:tc>
          <w:tcPr>
            <w:tcW w:w="1749" w:type="dxa"/>
            <w:vAlign w:val="bottom"/>
          </w:tcPr>
          <w:p w14:paraId="7117C27A" w14:textId="77777777" w:rsidR="00FD2F93" w:rsidRPr="00BD15C8" w:rsidRDefault="00FD2F93" w:rsidP="00FD2F93">
            <w:pPr>
              <w:spacing w:line="235" w:lineRule="exact"/>
              <w:jc w:val="center"/>
              <w:rPr>
                <w:rFonts w:eastAsia="Arial"/>
                <w:w w:val="97"/>
                <w:sz w:val="22"/>
                <w:szCs w:val="22"/>
              </w:rPr>
            </w:pPr>
            <w:r w:rsidRPr="00BD15C8">
              <w:rPr>
                <w:rFonts w:eastAsia="Arial"/>
                <w:w w:val="97"/>
                <w:sz w:val="22"/>
                <w:szCs w:val="22"/>
              </w:rPr>
              <w:t xml:space="preserve">x </w:t>
            </w:r>
            <w:r>
              <w:rPr>
                <w:rFonts w:eastAsia="Arial"/>
                <w:sz w:val="22"/>
                <w:szCs w:val="22"/>
              </w:rPr>
              <w:t>≥</w:t>
            </w:r>
            <w:r w:rsidRPr="00BD15C8">
              <w:rPr>
                <w:rFonts w:eastAsia="Arial"/>
                <w:w w:val="97"/>
                <w:sz w:val="22"/>
                <w:szCs w:val="22"/>
              </w:rPr>
              <w:t xml:space="preserve"> 300</w:t>
            </w:r>
          </w:p>
        </w:tc>
        <w:tc>
          <w:tcPr>
            <w:tcW w:w="1748" w:type="dxa"/>
            <w:vAlign w:val="bottom"/>
          </w:tcPr>
          <w:p w14:paraId="378CB5EF" w14:textId="77777777" w:rsidR="00FD2F93" w:rsidRPr="00BD15C8" w:rsidRDefault="00FD2F93" w:rsidP="00FD2F93">
            <w:pPr>
              <w:spacing w:line="235" w:lineRule="exact"/>
              <w:jc w:val="center"/>
              <w:rPr>
                <w:rFonts w:eastAsia="Arial"/>
                <w:sz w:val="22"/>
                <w:szCs w:val="22"/>
              </w:rPr>
            </w:pPr>
            <w:proofErr w:type="gramStart"/>
            <w:r w:rsidRPr="00BD15C8">
              <w:rPr>
                <w:rFonts w:eastAsia="Arial"/>
                <w:sz w:val="22"/>
                <w:szCs w:val="22"/>
              </w:rPr>
              <w:t xml:space="preserve">x  </w:t>
            </w:r>
            <w:r>
              <w:rPr>
                <w:rFonts w:eastAsia="Arial"/>
                <w:sz w:val="22"/>
                <w:szCs w:val="22"/>
              </w:rPr>
              <w:t xml:space="preserve">≥ </w:t>
            </w:r>
            <w:r w:rsidRPr="00BD15C8">
              <w:rPr>
                <w:rFonts w:eastAsia="Arial"/>
                <w:sz w:val="22"/>
                <w:szCs w:val="22"/>
              </w:rPr>
              <w:t>200</w:t>
            </w:r>
            <w:proofErr w:type="gramEnd"/>
          </w:p>
        </w:tc>
        <w:tc>
          <w:tcPr>
            <w:tcW w:w="1749" w:type="dxa"/>
            <w:vAlign w:val="bottom"/>
          </w:tcPr>
          <w:p w14:paraId="2C2C7628" w14:textId="77777777" w:rsidR="00FD2F93" w:rsidRPr="00BD15C8" w:rsidRDefault="00FD2F93" w:rsidP="00FD2F93">
            <w:pPr>
              <w:spacing w:line="235" w:lineRule="exact"/>
              <w:jc w:val="center"/>
              <w:rPr>
                <w:rFonts w:eastAsia="Arial"/>
                <w:w w:val="97"/>
                <w:sz w:val="22"/>
                <w:szCs w:val="22"/>
              </w:rPr>
            </w:pPr>
            <w:r w:rsidRPr="00BD15C8">
              <w:rPr>
                <w:rFonts w:eastAsia="Arial"/>
                <w:w w:val="97"/>
                <w:sz w:val="22"/>
                <w:szCs w:val="22"/>
              </w:rPr>
              <w:t xml:space="preserve">x </w:t>
            </w:r>
            <w:r>
              <w:rPr>
                <w:rFonts w:eastAsia="Arial"/>
                <w:sz w:val="22"/>
                <w:szCs w:val="22"/>
              </w:rPr>
              <w:t>≥</w:t>
            </w:r>
            <w:r w:rsidRPr="00BD15C8">
              <w:rPr>
                <w:rFonts w:eastAsia="Arial"/>
                <w:w w:val="97"/>
                <w:sz w:val="22"/>
                <w:szCs w:val="22"/>
              </w:rPr>
              <w:t xml:space="preserve"> 100</w:t>
            </w:r>
          </w:p>
        </w:tc>
        <w:tc>
          <w:tcPr>
            <w:tcW w:w="1749" w:type="dxa"/>
            <w:vAlign w:val="bottom"/>
          </w:tcPr>
          <w:p w14:paraId="40BD9853" w14:textId="77777777" w:rsidR="00FD2F93" w:rsidRPr="00BD15C8" w:rsidRDefault="00FD2F93" w:rsidP="00FD2F93">
            <w:pPr>
              <w:spacing w:line="235" w:lineRule="exac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 xml:space="preserve"> 50</w:t>
            </w:r>
          </w:p>
        </w:tc>
      </w:tr>
      <w:tr w:rsidR="00FD2F93" w14:paraId="07B9960A" w14:textId="77777777" w:rsidTr="00827537">
        <w:tc>
          <w:tcPr>
            <w:tcW w:w="1783" w:type="dxa"/>
            <w:vAlign w:val="bottom"/>
          </w:tcPr>
          <w:p w14:paraId="6A02024E"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2 pont</w:t>
            </w:r>
          </w:p>
        </w:tc>
        <w:tc>
          <w:tcPr>
            <w:tcW w:w="1749" w:type="dxa"/>
            <w:vAlign w:val="bottom"/>
          </w:tcPr>
          <w:p w14:paraId="6A1F6225"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300</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225</w:t>
            </w:r>
          </w:p>
        </w:tc>
        <w:tc>
          <w:tcPr>
            <w:tcW w:w="1748" w:type="dxa"/>
            <w:vAlign w:val="bottom"/>
          </w:tcPr>
          <w:p w14:paraId="5105104A" w14:textId="77777777" w:rsidR="00FD2F93" w:rsidRPr="00BD15C8" w:rsidRDefault="00FD2F93" w:rsidP="00FD2F93">
            <w:pPr>
              <w:spacing w:line="235" w:lineRule="exact"/>
              <w:jc w:val="center"/>
              <w:rPr>
                <w:rFonts w:eastAsia="Arial"/>
                <w:w w:val="97"/>
                <w:sz w:val="22"/>
                <w:szCs w:val="22"/>
              </w:rPr>
            </w:pPr>
            <w:r w:rsidRPr="00BD15C8">
              <w:rPr>
                <w:rFonts w:eastAsia="Arial"/>
                <w:w w:val="97"/>
                <w:sz w:val="22"/>
                <w:szCs w:val="22"/>
              </w:rPr>
              <w:t>200</w:t>
            </w:r>
            <w:proofErr w:type="gramStart"/>
            <w:r w:rsidRPr="00BD15C8">
              <w:rPr>
                <w:rFonts w:eastAsia="Arial"/>
                <w:w w:val="97"/>
                <w:sz w:val="22"/>
                <w:szCs w:val="22"/>
              </w:rPr>
              <w:t>&gt;</w:t>
            </w:r>
            <w:r>
              <w:rPr>
                <w:rFonts w:eastAsia="Arial"/>
                <w:w w:val="97"/>
                <w:sz w:val="22"/>
                <w:szCs w:val="22"/>
              </w:rPr>
              <w:t>x</w:t>
            </w:r>
            <w:proofErr w:type="gramEnd"/>
            <w:r w:rsidRPr="00BD15C8">
              <w:rPr>
                <w:rFonts w:eastAsia="Arial"/>
                <w:w w:val="97"/>
                <w:sz w:val="22"/>
                <w:szCs w:val="22"/>
              </w:rPr>
              <w:t xml:space="preserve"> </w:t>
            </w:r>
            <w:r>
              <w:rPr>
                <w:rFonts w:eastAsia="Arial"/>
                <w:sz w:val="22"/>
                <w:szCs w:val="22"/>
              </w:rPr>
              <w:t>≥</w:t>
            </w:r>
            <w:r w:rsidRPr="00BD15C8">
              <w:rPr>
                <w:rFonts w:eastAsia="Arial"/>
                <w:w w:val="97"/>
                <w:sz w:val="22"/>
                <w:szCs w:val="22"/>
              </w:rPr>
              <w:t>150</w:t>
            </w:r>
          </w:p>
        </w:tc>
        <w:tc>
          <w:tcPr>
            <w:tcW w:w="1749" w:type="dxa"/>
            <w:vAlign w:val="bottom"/>
          </w:tcPr>
          <w:p w14:paraId="4A4EC179"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100</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75</w:t>
            </w:r>
          </w:p>
        </w:tc>
        <w:tc>
          <w:tcPr>
            <w:tcW w:w="1749" w:type="dxa"/>
            <w:vAlign w:val="bottom"/>
          </w:tcPr>
          <w:p w14:paraId="4A610996"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50</w:t>
            </w:r>
            <w:proofErr w:type="gramStart"/>
            <w:r w:rsidRPr="00BD15C8">
              <w:rPr>
                <w:rFonts w:eastAsia="Arial"/>
                <w:w w:val="99"/>
                <w:sz w:val="22"/>
                <w:szCs w:val="22"/>
              </w:rPr>
              <w:t>&gt;</w:t>
            </w:r>
            <w:r>
              <w:rPr>
                <w:rFonts w:eastAsia="Arial"/>
                <w:w w:val="99"/>
                <w:sz w:val="22"/>
                <w:szCs w:val="22"/>
              </w:rPr>
              <w:t>x</w:t>
            </w:r>
            <w:proofErr w:type="gramEnd"/>
            <w:r>
              <w:rPr>
                <w:rFonts w:eastAsia="Arial"/>
                <w:w w:val="99"/>
                <w:sz w:val="22"/>
                <w:szCs w:val="22"/>
              </w:rPr>
              <w:t xml:space="preserve"> </w:t>
            </w:r>
            <w:r>
              <w:rPr>
                <w:rFonts w:eastAsia="Arial"/>
                <w:sz w:val="22"/>
                <w:szCs w:val="22"/>
              </w:rPr>
              <w:t xml:space="preserve">≥ </w:t>
            </w:r>
            <w:r w:rsidRPr="00BD15C8">
              <w:rPr>
                <w:rFonts w:eastAsia="Arial"/>
                <w:w w:val="99"/>
                <w:sz w:val="22"/>
                <w:szCs w:val="22"/>
              </w:rPr>
              <w:t>37,5</w:t>
            </w:r>
          </w:p>
        </w:tc>
      </w:tr>
      <w:tr w:rsidR="00FD2F93" w14:paraId="7A6C5AF3" w14:textId="77777777" w:rsidTr="00827537">
        <w:tc>
          <w:tcPr>
            <w:tcW w:w="1783" w:type="dxa"/>
            <w:vAlign w:val="bottom"/>
          </w:tcPr>
          <w:p w14:paraId="75BDA93D"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1 pont</w:t>
            </w:r>
          </w:p>
        </w:tc>
        <w:tc>
          <w:tcPr>
            <w:tcW w:w="1749" w:type="dxa"/>
            <w:vAlign w:val="bottom"/>
          </w:tcPr>
          <w:p w14:paraId="08127E6D"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225</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150</w:t>
            </w:r>
          </w:p>
        </w:tc>
        <w:tc>
          <w:tcPr>
            <w:tcW w:w="1748" w:type="dxa"/>
            <w:vAlign w:val="bottom"/>
          </w:tcPr>
          <w:p w14:paraId="4888D96A" w14:textId="77777777" w:rsidR="00FD2F93" w:rsidRPr="00BD15C8" w:rsidRDefault="00FD2F93" w:rsidP="00FD2F93">
            <w:pPr>
              <w:spacing w:line="235" w:lineRule="exact"/>
              <w:jc w:val="center"/>
              <w:rPr>
                <w:rFonts w:eastAsia="Arial"/>
                <w:w w:val="97"/>
                <w:sz w:val="22"/>
                <w:szCs w:val="22"/>
              </w:rPr>
            </w:pPr>
            <w:r w:rsidRPr="00BD15C8">
              <w:rPr>
                <w:rFonts w:eastAsia="Arial"/>
                <w:w w:val="97"/>
                <w:sz w:val="22"/>
                <w:szCs w:val="22"/>
              </w:rPr>
              <w:t>150</w:t>
            </w:r>
            <w:proofErr w:type="gramStart"/>
            <w:r w:rsidRPr="00BD15C8">
              <w:rPr>
                <w:rFonts w:eastAsia="Arial"/>
                <w:w w:val="97"/>
                <w:sz w:val="22"/>
                <w:szCs w:val="22"/>
              </w:rPr>
              <w:t>&gt;</w:t>
            </w:r>
            <w:r>
              <w:rPr>
                <w:rFonts w:eastAsia="Arial"/>
                <w:w w:val="97"/>
                <w:sz w:val="22"/>
                <w:szCs w:val="22"/>
              </w:rPr>
              <w:t>x</w:t>
            </w:r>
            <w:proofErr w:type="gramEnd"/>
            <w:r w:rsidRPr="00BD15C8">
              <w:rPr>
                <w:rFonts w:eastAsia="Arial"/>
                <w:w w:val="97"/>
                <w:sz w:val="22"/>
                <w:szCs w:val="22"/>
              </w:rPr>
              <w:t xml:space="preserve"> </w:t>
            </w:r>
            <w:r>
              <w:rPr>
                <w:rFonts w:eastAsia="Arial"/>
                <w:sz w:val="22"/>
                <w:szCs w:val="22"/>
              </w:rPr>
              <w:t>≥</w:t>
            </w:r>
            <w:r w:rsidRPr="00BD15C8">
              <w:rPr>
                <w:rFonts w:eastAsia="Arial"/>
                <w:w w:val="97"/>
                <w:sz w:val="22"/>
                <w:szCs w:val="22"/>
              </w:rPr>
              <w:t>100</w:t>
            </w:r>
          </w:p>
        </w:tc>
        <w:tc>
          <w:tcPr>
            <w:tcW w:w="1749" w:type="dxa"/>
            <w:vAlign w:val="bottom"/>
          </w:tcPr>
          <w:p w14:paraId="45098BBA" w14:textId="77777777" w:rsidR="00FD2F93" w:rsidRPr="00BD15C8" w:rsidRDefault="00FD2F93" w:rsidP="00FD2F93">
            <w:pPr>
              <w:spacing w:line="235" w:lineRule="exact"/>
              <w:jc w:val="center"/>
              <w:rPr>
                <w:rFonts w:eastAsia="Arial"/>
                <w:sz w:val="22"/>
                <w:szCs w:val="22"/>
              </w:rPr>
            </w:pPr>
            <w:r w:rsidRPr="00BD15C8">
              <w:rPr>
                <w:rFonts w:eastAsia="Arial"/>
                <w:sz w:val="22"/>
                <w:szCs w:val="22"/>
              </w:rPr>
              <w:t>75</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50</w:t>
            </w:r>
          </w:p>
        </w:tc>
        <w:tc>
          <w:tcPr>
            <w:tcW w:w="1749" w:type="dxa"/>
            <w:vAlign w:val="bottom"/>
          </w:tcPr>
          <w:p w14:paraId="1A423EB5"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37,5</w:t>
            </w:r>
            <w:proofErr w:type="gramStart"/>
            <w:r w:rsidRPr="00BD15C8">
              <w:rPr>
                <w:rFonts w:eastAsia="Arial"/>
                <w:w w:val="99"/>
                <w:sz w:val="22"/>
                <w:szCs w:val="22"/>
              </w:rPr>
              <w:t>&gt;x</w:t>
            </w:r>
            <w:proofErr w:type="gramEnd"/>
            <w:r>
              <w:rPr>
                <w:rFonts w:eastAsia="Arial"/>
                <w:w w:val="99"/>
                <w:sz w:val="22"/>
                <w:szCs w:val="22"/>
              </w:rPr>
              <w:t xml:space="preserve"> </w:t>
            </w:r>
            <w:r>
              <w:rPr>
                <w:rFonts w:eastAsia="Arial"/>
                <w:sz w:val="22"/>
                <w:szCs w:val="22"/>
              </w:rPr>
              <w:t>≥</w:t>
            </w:r>
            <w:r>
              <w:rPr>
                <w:rFonts w:eastAsia="Arial"/>
                <w:w w:val="99"/>
                <w:sz w:val="22"/>
                <w:szCs w:val="22"/>
              </w:rPr>
              <w:t xml:space="preserve"> </w:t>
            </w:r>
            <w:r w:rsidRPr="00BD15C8">
              <w:rPr>
                <w:rFonts w:eastAsia="Arial"/>
                <w:w w:val="99"/>
                <w:sz w:val="22"/>
                <w:szCs w:val="22"/>
              </w:rPr>
              <w:t>25</w:t>
            </w:r>
          </w:p>
        </w:tc>
      </w:tr>
      <w:tr w:rsidR="00FD2F93" w14:paraId="1E0FA9E0" w14:textId="77777777" w:rsidTr="00827537">
        <w:tc>
          <w:tcPr>
            <w:tcW w:w="1783" w:type="dxa"/>
            <w:vAlign w:val="bottom"/>
          </w:tcPr>
          <w:p w14:paraId="29EA1B22"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0 pont</w:t>
            </w:r>
          </w:p>
        </w:tc>
        <w:tc>
          <w:tcPr>
            <w:tcW w:w="1749" w:type="dxa"/>
            <w:vAlign w:val="bottom"/>
          </w:tcPr>
          <w:p w14:paraId="151FAEC3" w14:textId="77777777" w:rsidR="00FD2F93" w:rsidRPr="00BD15C8" w:rsidRDefault="00FD2F93" w:rsidP="00FD2F93">
            <w:pPr>
              <w:spacing w:line="235" w:lineRule="exact"/>
              <w:jc w:val="center"/>
              <w:rPr>
                <w:rFonts w:eastAsia="Arial"/>
                <w:w w:val="96"/>
                <w:sz w:val="22"/>
                <w:szCs w:val="22"/>
              </w:rPr>
            </w:pPr>
            <w:proofErr w:type="gramStart"/>
            <w:r w:rsidRPr="00BD15C8">
              <w:rPr>
                <w:rFonts w:eastAsia="Arial"/>
                <w:w w:val="96"/>
                <w:sz w:val="22"/>
                <w:szCs w:val="22"/>
              </w:rPr>
              <w:t>x&lt;</w:t>
            </w:r>
            <w:proofErr w:type="gramEnd"/>
            <w:r w:rsidRPr="00BD15C8">
              <w:rPr>
                <w:rFonts w:eastAsia="Arial"/>
                <w:w w:val="96"/>
                <w:sz w:val="22"/>
                <w:szCs w:val="22"/>
              </w:rPr>
              <w:t>150</w:t>
            </w:r>
          </w:p>
        </w:tc>
        <w:tc>
          <w:tcPr>
            <w:tcW w:w="1748" w:type="dxa"/>
            <w:vAlign w:val="bottom"/>
          </w:tcPr>
          <w:p w14:paraId="7B802649" w14:textId="77777777" w:rsidR="00FD2F93" w:rsidRPr="00BD15C8" w:rsidRDefault="00FD2F93" w:rsidP="00FD2F93">
            <w:pPr>
              <w:spacing w:line="235" w:lineRule="exact"/>
              <w:jc w:val="center"/>
              <w:rPr>
                <w:rFonts w:eastAsia="Arial"/>
                <w:w w:val="96"/>
                <w:sz w:val="22"/>
                <w:szCs w:val="22"/>
              </w:rPr>
            </w:pPr>
            <w:proofErr w:type="gramStart"/>
            <w:r w:rsidRPr="00BD15C8">
              <w:rPr>
                <w:rFonts w:eastAsia="Arial"/>
                <w:w w:val="96"/>
                <w:sz w:val="22"/>
                <w:szCs w:val="22"/>
              </w:rPr>
              <w:t>x&lt;</w:t>
            </w:r>
            <w:proofErr w:type="gramEnd"/>
            <w:r w:rsidRPr="00BD15C8">
              <w:rPr>
                <w:rFonts w:eastAsia="Arial"/>
                <w:w w:val="96"/>
                <w:sz w:val="22"/>
                <w:szCs w:val="22"/>
              </w:rPr>
              <w:t>100</w:t>
            </w:r>
          </w:p>
        </w:tc>
        <w:tc>
          <w:tcPr>
            <w:tcW w:w="1749" w:type="dxa"/>
            <w:vAlign w:val="bottom"/>
          </w:tcPr>
          <w:p w14:paraId="7E49A83D" w14:textId="77777777" w:rsidR="00FD2F93" w:rsidRPr="00BD15C8" w:rsidRDefault="00FD2F93" w:rsidP="00FD2F93">
            <w:pPr>
              <w:spacing w:line="235" w:lineRule="exact"/>
              <w:jc w:val="center"/>
              <w:rPr>
                <w:rFonts w:eastAsia="Arial"/>
                <w:w w:val="99"/>
                <w:sz w:val="22"/>
                <w:szCs w:val="22"/>
              </w:rPr>
            </w:pPr>
            <w:proofErr w:type="gramStart"/>
            <w:r w:rsidRPr="00BD15C8">
              <w:rPr>
                <w:rFonts w:eastAsia="Arial"/>
                <w:w w:val="99"/>
                <w:sz w:val="22"/>
                <w:szCs w:val="22"/>
              </w:rPr>
              <w:t>x&lt;</w:t>
            </w:r>
            <w:proofErr w:type="gramEnd"/>
            <w:r w:rsidRPr="00BD15C8">
              <w:rPr>
                <w:rFonts w:eastAsia="Arial"/>
                <w:w w:val="99"/>
                <w:sz w:val="22"/>
                <w:szCs w:val="22"/>
              </w:rPr>
              <w:t>50</w:t>
            </w:r>
          </w:p>
        </w:tc>
        <w:tc>
          <w:tcPr>
            <w:tcW w:w="1749" w:type="dxa"/>
            <w:vAlign w:val="bottom"/>
          </w:tcPr>
          <w:p w14:paraId="6AC837C0" w14:textId="77777777" w:rsidR="00FD2F93" w:rsidRPr="00BD15C8" w:rsidRDefault="00FD2F93" w:rsidP="00FD2F93">
            <w:pPr>
              <w:spacing w:line="235" w:lineRule="exact"/>
              <w:jc w:val="center"/>
              <w:rPr>
                <w:rFonts w:eastAsia="Arial"/>
                <w:w w:val="99"/>
                <w:sz w:val="22"/>
                <w:szCs w:val="22"/>
              </w:rPr>
            </w:pPr>
            <w:proofErr w:type="gramStart"/>
            <w:r w:rsidRPr="00BD15C8">
              <w:rPr>
                <w:rFonts w:eastAsia="Arial"/>
                <w:w w:val="99"/>
                <w:sz w:val="22"/>
                <w:szCs w:val="22"/>
              </w:rPr>
              <w:t>x&lt;</w:t>
            </w:r>
            <w:proofErr w:type="gramEnd"/>
            <w:r w:rsidRPr="00BD15C8">
              <w:rPr>
                <w:rFonts w:eastAsia="Arial"/>
                <w:w w:val="99"/>
                <w:sz w:val="22"/>
                <w:szCs w:val="22"/>
              </w:rPr>
              <w:t>25</w:t>
            </w:r>
          </w:p>
        </w:tc>
      </w:tr>
    </w:tbl>
    <w:p w14:paraId="59F4CA38" w14:textId="77777777" w:rsidR="00FD2F93" w:rsidRDefault="00FD2F93" w:rsidP="00FD2F93">
      <w:pPr>
        <w:spacing w:line="271" w:lineRule="auto"/>
        <w:ind w:left="284"/>
        <w:rPr>
          <w:rFonts w:eastAsia="Arial"/>
          <w:i/>
          <w:sz w:val="22"/>
          <w:szCs w:val="22"/>
        </w:rPr>
      </w:pPr>
    </w:p>
    <w:p w14:paraId="1EFEAA00" w14:textId="77777777" w:rsidR="00FD0545" w:rsidRDefault="00FD2F93" w:rsidP="00FD2F93">
      <w:pPr>
        <w:spacing w:line="0" w:lineRule="atLeast"/>
        <w:ind w:left="284"/>
        <w:rPr>
          <w:rFonts w:eastAsia="Arial"/>
          <w:i/>
          <w:sz w:val="22"/>
          <w:szCs w:val="22"/>
        </w:rPr>
      </w:pPr>
      <w:r w:rsidRPr="005231EF">
        <w:rPr>
          <w:rFonts w:eastAsia="Arial"/>
          <w:i/>
          <w:sz w:val="22"/>
          <w:szCs w:val="22"/>
        </w:rPr>
        <w:t xml:space="preserve">Fizika Intézet, Kémia Intézet </w:t>
      </w:r>
      <w:r w:rsidR="00FD0545" w:rsidRPr="005231EF">
        <w:rPr>
          <w:rFonts w:eastAsia="Arial"/>
          <w:i/>
          <w:sz w:val="22"/>
          <w:szCs w:val="22"/>
        </w:rPr>
        <w:t>Matematikai és Informatikai Intézet, Sport</w:t>
      </w:r>
      <w:bookmarkStart w:id="386" w:name="page11"/>
      <w:bookmarkEnd w:id="386"/>
      <w:r w:rsidR="00FD0545" w:rsidRPr="005231EF">
        <w:rPr>
          <w:rFonts w:eastAsia="Arial"/>
          <w:i/>
          <w:sz w:val="22"/>
          <w:szCs w:val="22"/>
        </w:rPr>
        <w:t>tudományi és Testnevelési Intézet</w:t>
      </w:r>
    </w:p>
    <w:p w14:paraId="2ACC8BCE" w14:textId="77777777" w:rsidR="00FD2F93" w:rsidRDefault="00FD2F93" w:rsidP="00FD2F93">
      <w:pPr>
        <w:spacing w:line="0" w:lineRule="atLeast"/>
        <w:ind w:left="284"/>
        <w:rPr>
          <w:rFonts w:eastAsia="Arial"/>
          <w:i/>
          <w:sz w:val="22"/>
          <w:szCs w:val="22"/>
        </w:rPr>
      </w:pPr>
    </w:p>
    <w:tbl>
      <w:tblPr>
        <w:tblStyle w:val="Rcsostblzat"/>
        <w:tblW w:w="0" w:type="auto"/>
        <w:tblInd w:w="284" w:type="dxa"/>
        <w:tblLook w:val="04A0" w:firstRow="1" w:lastRow="0" w:firstColumn="1" w:lastColumn="0" w:noHBand="0" w:noVBand="1"/>
      </w:tblPr>
      <w:tblGrid>
        <w:gridCol w:w="4389"/>
        <w:gridCol w:w="4389"/>
      </w:tblGrid>
      <w:tr w:rsidR="00FD2F93" w14:paraId="4A563368" w14:textId="77777777" w:rsidTr="00FD2F93">
        <w:tc>
          <w:tcPr>
            <w:tcW w:w="4389" w:type="dxa"/>
          </w:tcPr>
          <w:p w14:paraId="041C3475" w14:textId="77777777" w:rsidR="00FD2F93" w:rsidRDefault="00FD2F93" w:rsidP="00FD2F93">
            <w:pPr>
              <w:spacing w:line="0" w:lineRule="atLeast"/>
              <w:jc w:val="center"/>
              <w:rPr>
                <w:rFonts w:eastAsia="Arial"/>
                <w:i/>
                <w:sz w:val="22"/>
                <w:szCs w:val="22"/>
              </w:rPr>
            </w:pPr>
            <w:r>
              <w:rPr>
                <w:rFonts w:eastAsia="Arial"/>
                <w:i/>
                <w:sz w:val="22"/>
                <w:szCs w:val="22"/>
              </w:rPr>
              <w:t>Tudományos Értékelési Pont</w:t>
            </w:r>
          </w:p>
        </w:tc>
        <w:tc>
          <w:tcPr>
            <w:tcW w:w="4389" w:type="dxa"/>
          </w:tcPr>
          <w:p w14:paraId="49151F15" w14:textId="77777777" w:rsidR="00FD2F93" w:rsidRDefault="00FD2F93" w:rsidP="00FD2F93">
            <w:pPr>
              <w:spacing w:line="0" w:lineRule="atLeast"/>
              <w:jc w:val="center"/>
              <w:rPr>
                <w:rFonts w:eastAsia="Arial"/>
                <w:i/>
                <w:sz w:val="22"/>
                <w:szCs w:val="22"/>
              </w:rPr>
            </w:pPr>
            <w:r>
              <w:rPr>
                <w:rFonts w:eastAsia="Arial"/>
                <w:i/>
                <w:sz w:val="22"/>
                <w:szCs w:val="22"/>
              </w:rPr>
              <w:t>Tudományos TÉR pont (x)</w:t>
            </w:r>
          </w:p>
        </w:tc>
      </w:tr>
      <w:tr w:rsidR="00FD2F93" w14:paraId="7FC74F2F" w14:textId="77777777" w:rsidTr="00827537">
        <w:tc>
          <w:tcPr>
            <w:tcW w:w="4389" w:type="dxa"/>
          </w:tcPr>
          <w:p w14:paraId="67FF0142"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3 pont</w:t>
            </w:r>
          </w:p>
        </w:tc>
        <w:tc>
          <w:tcPr>
            <w:tcW w:w="4389" w:type="dxa"/>
            <w:vAlign w:val="bottom"/>
          </w:tcPr>
          <w:p w14:paraId="3CE03112" w14:textId="77777777" w:rsidR="00FD2F93" w:rsidRPr="00BD15C8" w:rsidRDefault="00FD2F93" w:rsidP="00FD2F93">
            <w:pPr>
              <w:spacing w:line="0" w:lineRule="atLeas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 xml:space="preserve"> 100</w:t>
            </w:r>
          </w:p>
        </w:tc>
      </w:tr>
      <w:tr w:rsidR="00FD2F93" w14:paraId="0953E6AA" w14:textId="77777777" w:rsidTr="00827537">
        <w:tc>
          <w:tcPr>
            <w:tcW w:w="4389" w:type="dxa"/>
          </w:tcPr>
          <w:p w14:paraId="1C35C180"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2 pont</w:t>
            </w:r>
          </w:p>
        </w:tc>
        <w:tc>
          <w:tcPr>
            <w:tcW w:w="4389" w:type="dxa"/>
            <w:vAlign w:val="bottom"/>
          </w:tcPr>
          <w:p w14:paraId="554D160D" w14:textId="77777777" w:rsidR="00FD2F93" w:rsidRPr="00BD15C8" w:rsidRDefault="00FD2F93" w:rsidP="00FD2F93">
            <w:pPr>
              <w:spacing w:line="0" w:lineRule="atLeast"/>
              <w:jc w:val="center"/>
              <w:rPr>
                <w:rFonts w:eastAsia="Arial"/>
                <w:sz w:val="22"/>
                <w:szCs w:val="22"/>
              </w:rPr>
            </w:pPr>
            <w:r>
              <w:rPr>
                <w:rFonts w:eastAsia="Arial"/>
                <w:sz w:val="22"/>
                <w:szCs w:val="22"/>
              </w:rPr>
              <w:t>1</w:t>
            </w:r>
            <w:r w:rsidRPr="00BD15C8">
              <w:rPr>
                <w:rFonts w:eastAsia="Arial"/>
                <w:sz w:val="22"/>
                <w:szCs w:val="22"/>
              </w:rPr>
              <w:t>00</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66,66</w:t>
            </w:r>
          </w:p>
        </w:tc>
      </w:tr>
      <w:tr w:rsidR="00FD2F93" w14:paraId="048A2C74" w14:textId="77777777" w:rsidTr="00827537">
        <w:tc>
          <w:tcPr>
            <w:tcW w:w="4389" w:type="dxa"/>
          </w:tcPr>
          <w:p w14:paraId="72C4B77C"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1 pont</w:t>
            </w:r>
          </w:p>
        </w:tc>
        <w:tc>
          <w:tcPr>
            <w:tcW w:w="4389" w:type="dxa"/>
            <w:vAlign w:val="bottom"/>
          </w:tcPr>
          <w:p w14:paraId="7FC004EE" w14:textId="77777777" w:rsidR="00FD2F93" w:rsidRPr="00BD15C8" w:rsidRDefault="00FD2F93" w:rsidP="00FD2F93">
            <w:pPr>
              <w:spacing w:line="0" w:lineRule="atLeast"/>
              <w:jc w:val="center"/>
              <w:rPr>
                <w:rFonts w:eastAsia="Arial"/>
                <w:w w:val="99"/>
                <w:sz w:val="22"/>
                <w:szCs w:val="22"/>
              </w:rPr>
            </w:pPr>
            <w:r w:rsidRPr="00BD15C8">
              <w:rPr>
                <w:rFonts w:eastAsia="Arial"/>
                <w:w w:val="99"/>
                <w:sz w:val="22"/>
                <w:szCs w:val="22"/>
              </w:rPr>
              <w:t>66,65</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33,33</w:t>
            </w:r>
          </w:p>
        </w:tc>
      </w:tr>
      <w:tr w:rsidR="00FD2F93" w14:paraId="6012B41E" w14:textId="77777777" w:rsidTr="00827537">
        <w:tc>
          <w:tcPr>
            <w:tcW w:w="4389" w:type="dxa"/>
          </w:tcPr>
          <w:p w14:paraId="43D819B5" w14:textId="77777777" w:rsidR="00FD2F93" w:rsidRPr="00FD2F93" w:rsidRDefault="00FD2F93" w:rsidP="00FD2F93">
            <w:pPr>
              <w:spacing w:line="271" w:lineRule="auto"/>
              <w:jc w:val="center"/>
              <w:rPr>
                <w:rFonts w:eastAsia="Arial"/>
                <w:sz w:val="22"/>
                <w:szCs w:val="22"/>
              </w:rPr>
            </w:pPr>
            <w:r w:rsidRPr="00FD2F93">
              <w:rPr>
                <w:rFonts w:eastAsia="Arial"/>
                <w:sz w:val="22"/>
                <w:szCs w:val="22"/>
              </w:rPr>
              <w:t>0 pont</w:t>
            </w:r>
          </w:p>
        </w:tc>
        <w:tc>
          <w:tcPr>
            <w:tcW w:w="4389" w:type="dxa"/>
            <w:vAlign w:val="bottom"/>
          </w:tcPr>
          <w:p w14:paraId="545F1E1A" w14:textId="77777777" w:rsidR="00FD2F93" w:rsidRPr="00BD15C8" w:rsidRDefault="00FD2F93" w:rsidP="00FD2F93">
            <w:pPr>
              <w:spacing w:line="0" w:lineRule="atLeast"/>
              <w:jc w:val="center"/>
              <w:rPr>
                <w:rFonts w:eastAsia="Arial"/>
                <w:w w:val="98"/>
                <w:sz w:val="22"/>
                <w:szCs w:val="22"/>
              </w:rPr>
            </w:pPr>
            <w:proofErr w:type="gramStart"/>
            <w:r w:rsidRPr="00BD15C8">
              <w:rPr>
                <w:rFonts w:eastAsia="Arial"/>
                <w:w w:val="98"/>
                <w:sz w:val="22"/>
                <w:szCs w:val="22"/>
              </w:rPr>
              <w:t>x&lt;</w:t>
            </w:r>
            <w:proofErr w:type="gramEnd"/>
            <w:r w:rsidRPr="00BD15C8">
              <w:rPr>
                <w:rFonts w:eastAsia="Arial"/>
                <w:w w:val="98"/>
                <w:sz w:val="22"/>
                <w:szCs w:val="22"/>
              </w:rPr>
              <w:t>33,33</w:t>
            </w:r>
          </w:p>
        </w:tc>
      </w:tr>
    </w:tbl>
    <w:p w14:paraId="4894D996" w14:textId="77777777" w:rsidR="00FD2F93" w:rsidRDefault="00FD2F93" w:rsidP="00FD2F93">
      <w:pPr>
        <w:spacing w:line="0" w:lineRule="atLeast"/>
        <w:ind w:left="284"/>
        <w:rPr>
          <w:rFonts w:eastAsia="Arial"/>
          <w:i/>
          <w:sz w:val="22"/>
          <w:szCs w:val="22"/>
        </w:rPr>
      </w:pPr>
    </w:p>
    <w:p w14:paraId="116C1E8B" w14:textId="77777777" w:rsidR="00FD2F93" w:rsidRPr="00827537" w:rsidRDefault="00827537" w:rsidP="00FD2F93">
      <w:pPr>
        <w:spacing w:line="0" w:lineRule="atLeast"/>
        <w:ind w:left="284"/>
        <w:rPr>
          <w:rFonts w:eastAsia="Arial"/>
          <w:i/>
          <w:sz w:val="22"/>
          <w:szCs w:val="22"/>
        </w:rPr>
      </w:pPr>
      <w:r w:rsidRPr="00827537">
        <w:rPr>
          <w:rFonts w:eastAsia="Arial"/>
          <w:i/>
          <w:sz w:val="22"/>
          <w:szCs w:val="22"/>
        </w:rPr>
        <w:t>Földrajzi és Földtudományi Intézet</w:t>
      </w:r>
    </w:p>
    <w:p w14:paraId="7BDC862C" w14:textId="77777777" w:rsidR="00827537" w:rsidRDefault="00827537" w:rsidP="00FD2F93">
      <w:pPr>
        <w:spacing w:line="0" w:lineRule="atLeast"/>
        <w:ind w:left="284"/>
        <w:rPr>
          <w:rFonts w:eastAsia="Arial"/>
          <w:i/>
          <w:sz w:val="22"/>
          <w:szCs w:val="22"/>
        </w:rPr>
      </w:pPr>
    </w:p>
    <w:tbl>
      <w:tblPr>
        <w:tblStyle w:val="Rcsostblzat"/>
        <w:tblW w:w="0" w:type="auto"/>
        <w:tblInd w:w="284" w:type="dxa"/>
        <w:tblLook w:val="04A0" w:firstRow="1" w:lastRow="0" w:firstColumn="1" w:lastColumn="0" w:noHBand="0" w:noVBand="1"/>
      </w:tblPr>
      <w:tblGrid>
        <w:gridCol w:w="1783"/>
        <w:gridCol w:w="1749"/>
        <w:gridCol w:w="1748"/>
        <w:gridCol w:w="1749"/>
        <w:gridCol w:w="1749"/>
      </w:tblGrid>
      <w:tr w:rsidR="00FD2F93" w14:paraId="70ECFAD3" w14:textId="77777777" w:rsidTr="00827537">
        <w:tc>
          <w:tcPr>
            <w:tcW w:w="1783" w:type="dxa"/>
            <w:vMerge w:val="restart"/>
          </w:tcPr>
          <w:p w14:paraId="5614315B" w14:textId="77777777" w:rsidR="00FD2F93" w:rsidRDefault="00FD2F93" w:rsidP="00FD2F93">
            <w:pPr>
              <w:spacing w:line="271" w:lineRule="auto"/>
              <w:jc w:val="center"/>
              <w:rPr>
                <w:rFonts w:eastAsia="Arial"/>
                <w:i/>
                <w:sz w:val="22"/>
                <w:szCs w:val="22"/>
              </w:rPr>
            </w:pPr>
            <w:r w:rsidRPr="00BD15C8">
              <w:rPr>
                <w:rFonts w:eastAsia="Arial"/>
                <w:w w:val="97"/>
                <w:sz w:val="22"/>
                <w:szCs w:val="22"/>
              </w:rPr>
              <w:t>Tud. Értékelési pont</w:t>
            </w:r>
          </w:p>
        </w:tc>
        <w:tc>
          <w:tcPr>
            <w:tcW w:w="6995" w:type="dxa"/>
            <w:gridSpan w:val="4"/>
          </w:tcPr>
          <w:p w14:paraId="5FB65523" w14:textId="77777777" w:rsidR="00FD2F93" w:rsidRDefault="00FD2F93" w:rsidP="00827537">
            <w:pPr>
              <w:spacing w:line="271" w:lineRule="auto"/>
              <w:jc w:val="center"/>
              <w:rPr>
                <w:rFonts w:eastAsia="Arial"/>
                <w:i/>
                <w:sz w:val="22"/>
                <w:szCs w:val="22"/>
              </w:rPr>
            </w:pPr>
            <w:r w:rsidRPr="00BD15C8">
              <w:rPr>
                <w:rFonts w:eastAsia="Arial"/>
                <w:w w:val="97"/>
                <w:sz w:val="22"/>
                <w:szCs w:val="22"/>
              </w:rPr>
              <w:t>Tudományos TÉR pont (x)</w:t>
            </w:r>
          </w:p>
        </w:tc>
      </w:tr>
      <w:tr w:rsidR="00FD2F93" w14:paraId="3F82611C" w14:textId="77777777" w:rsidTr="00827537">
        <w:tc>
          <w:tcPr>
            <w:tcW w:w="1783" w:type="dxa"/>
            <w:vMerge/>
          </w:tcPr>
          <w:p w14:paraId="4E5F6C0F" w14:textId="77777777" w:rsidR="00FD2F93" w:rsidRDefault="00FD2F93" w:rsidP="00827537">
            <w:pPr>
              <w:spacing w:line="271" w:lineRule="auto"/>
              <w:rPr>
                <w:rFonts w:eastAsia="Arial"/>
                <w:i/>
                <w:sz w:val="22"/>
                <w:szCs w:val="22"/>
              </w:rPr>
            </w:pPr>
          </w:p>
        </w:tc>
        <w:tc>
          <w:tcPr>
            <w:tcW w:w="1749" w:type="dxa"/>
          </w:tcPr>
          <w:p w14:paraId="3DC15B95" w14:textId="77777777" w:rsidR="00FD2F93" w:rsidRDefault="00FD2F93" w:rsidP="00827537">
            <w:pPr>
              <w:spacing w:line="271" w:lineRule="auto"/>
              <w:jc w:val="center"/>
              <w:rPr>
                <w:rFonts w:eastAsia="Arial"/>
                <w:i/>
                <w:sz w:val="22"/>
                <w:szCs w:val="22"/>
              </w:rPr>
            </w:pPr>
            <w:r>
              <w:rPr>
                <w:rFonts w:eastAsia="Arial"/>
                <w:w w:val="98"/>
                <w:sz w:val="22"/>
                <w:szCs w:val="22"/>
              </w:rPr>
              <w:t>Egyetemi</w:t>
            </w:r>
            <w:r w:rsidRPr="00BD15C8">
              <w:rPr>
                <w:rFonts w:eastAsia="Arial"/>
                <w:w w:val="98"/>
                <w:sz w:val="22"/>
                <w:szCs w:val="22"/>
              </w:rPr>
              <w:t xml:space="preserve"> tanár</w:t>
            </w:r>
          </w:p>
        </w:tc>
        <w:tc>
          <w:tcPr>
            <w:tcW w:w="1748" w:type="dxa"/>
          </w:tcPr>
          <w:p w14:paraId="3DE33EB1" w14:textId="77777777" w:rsidR="00FD2F93" w:rsidRPr="00FD2F93" w:rsidRDefault="00FD2F93" w:rsidP="00827537">
            <w:pPr>
              <w:spacing w:line="271" w:lineRule="auto"/>
              <w:jc w:val="center"/>
              <w:rPr>
                <w:rFonts w:eastAsia="Arial"/>
                <w:sz w:val="22"/>
                <w:szCs w:val="22"/>
              </w:rPr>
            </w:pPr>
            <w:r w:rsidRPr="00FD2F93">
              <w:rPr>
                <w:rFonts w:eastAsia="Arial"/>
                <w:sz w:val="22"/>
                <w:szCs w:val="22"/>
              </w:rPr>
              <w:t>Docens</w:t>
            </w:r>
          </w:p>
        </w:tc>
        <w:tc>
          <w:tcPr>
            <w:tcW w:w="1749" w:type="dxa"/>
          </w:tcPr>
          <w:p w14:paraId="51E8E4CA" w14:textId="77777777" w:rsidR="00FD2F93" w:rsidRPr="00FD2F93" w:rsidRDefault="00FD2F93" w:rsidP="00827537">
            <w:pPr>
              <w:spacing w:line="271" w:lineRule="auto"/>
              <w:jc w:val="center"/>
              <w:rPr>
                <w:rFonts w:eastAsia="Arial"/>
                <w:sz w:val="22"/>
                <w:szCs w:val="22"/>
              </w:rPr>
            </w:pPr>
            <w:r w:rsidRPr="00FD2F93">
              <w:rPr>
                <w:rFonts w:eastAsia="Arial"/>
                <w:sz w:val="22"/>
                <w:szCs w:val="22"/>
              </w:rPr>
              <w:t>Adjunktus</w:t>
            </w:r>
          </w:p>
        </w:tc>
        <w:tc>
          <w:tcPr>
            <w:tcW w:w="1749" w:type="dxa"/>
          </w:tcPr>
          <w:p w14:paraId="6E9E0713" w14:textId="77777777" w:rsidR="00FD2F93" w:rsidRPr="00FD2F93" w:rsidRDefault="00FD2F93" w:rsidP="00827537">
            <w:pPr>
              <w:spacing w:line="271" w:lineRule="auto"/>
              <w:jc w:val="center"/>
              <w:rPr>
                <w:rFonts w:eastAsia="Arial"/>
                <w:sz w:val="22"/>
                <w:szCs w:val="22"/>
              </w:rPr>
            </w:pPr>
            <w:r w:rsidRPr="00FD2F93">
              <w:rPr>
                <w:rFonts w:eastAsia="Arial"/>
                <w:sz w:val="22"/>
                <w:szCs w:val="22"/>
              </w:rPr>
              <w:t>Tanársegéd</w:t>
            </w:r>
          </w:p>
        </w:tc>
      </w:tr>
      <w:tr w:rsidR="00FD2F93" w14:paraId="525A6581" w14:textId="77777777" w:rsidTr="00827537">
        <w:tc>
          <w:tcPr>
            <w:tcW w:w="1783" w:type="dxa"/>
            <w:vAlign w:val="bottom"/>
          </w:tcPr>
          <w:p w14:paraId="07D436BB"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3 pont</w:t>
            </w:r>
          </w:p>
        </w:tc>
        <w:tc>
          <w:tcPr>
            <w:tcW w:w="1749" w:type="dxa"/>
            <w:vAlign w:val="bottom"/>
          </w:tcPr>
          <w:p w14:paraId="73446950"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 xml:space="preserve"> 150</w:t>
            </w:r>
          </w:p>
        </w:tc>
        <w:tc>
          <w:tcPr>
            <w:tcW w:w="1748" w:type="dxa"/>
            <w:vAlign w:val="bottom"/>
          </w:tcPr>
          <w:p w14:paraId="228929E9" w14:textId="77777777" w:rsidR="00FD2F93" w:rsidRPr="00BD15C8" w:rsidRDefault="00FD2F93" w:rsidP="00FD2F93">
            <w:pPr>
              <w:spacing w:line="235" w:lineRule="exac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125</w:t>
            </w:r>
          </w:p>
        </w:tc>
        <w:tc>
          <w:tcPr>
            <w:tcW w:w="1749" w:type="dxa"/>
            <w:vAlign w:val="bottom"/>
          </w:tcPr>
          <w:p w14:paraId="03198F43" w14:textId="77777777" w:rsidR="00FD2F93" w:rsidRPr="00BD15C8" w:rsidRDefault="00FD2F93" w:rsidP="00FD2F93">
            <w:pPr>
              <w:spacing w:line="239" w:lineRule="exact"/>
              <w:jc w:val="center"/>
              <w:rPr>
                <w:rFonts w:eastAsia="Arial"/>
                <w:w w:val="97"/>
                <w:sz w:val="22"/>
                <w:szCs w:val="22"/>
              </w:rPr>
            </w:pPr>
            <w:r w:rsidRPr="00BD15C8">
              <w:rPr>
                <w:rFonts w:eastAsia="Arial"/>
                <w:w w:val="97"/>
                <w:sz w:val="22"/>
                <w:szCs w:val="22"/>
              </w:rPr>
              <w:t xml:space="preserve">x </w:t>
            </w:r>
            <w:r>
              <w:rPr>
                <w:rFonts w:eastAsia="Arial"/>
                <w:sz w:val="22"/>
                <w:szCs w:val="22"/>
              </w:rPr>
              <w:t>≥</w:t>
            </w:r>
            <w:r w:rsidRPr="00BD15C8">
              <w:rPr>
                <w:rFonts w:eastAsia="Arial"/>
                <w:w w:val="97"/>
                <w:sz w:val="22"/>
                <w:szCs w:val="22"/>
              </w:rPr>
              <w:t xml:space="preserve"> 100</w:t>
            </w:r>
          </w:p>
        </w:tc>
        <w:tc>
          <w:tcPr>
            <w:tcW w:w="1749" w:type="dxa"/>
            <w:vAlign w:val="bottom"/>
          </w:tcPr>
          <w:p w14:paraId="0699B8FD"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 xml:space="preserve"> 80</w:t>
            </w:r>
          </w:p>
        </w:tc>
      </w:tr>
      <w:tr w:rsidR="00FD2F93" w14:paraId="1EAB3B15" w14:textId="77777777" w:rsidTr="00827537">
        <w:tc>
          <w:tcPr>
            <w:tcW w:w="1783" w:type="dxa"/>
            <w:vAlign w:val="bottom"/>
          </w:tcPr>
          <w:p w14:paraId="70F4DB0B"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2 pont</w:t>
            </w:r>
          </w:p>
        </w:tc>
        <w:tc>
          <w:tcPr>
            <w:tcW w:w="1749" w:type="dxa"/>
            <w:vAlign w:val="bottom"/>
          </w:tcPr>
          <w:p w14:paraId="7C843A11" w14:textId="77777777" w:rsidR="00FD2F93" w:rsidRPr="00BD15C8" w:rsidRDefault="00FD2F93" w:rsidP="00FD2F93">
            <w:pPr>
              <w:spacing w:line="239" w:lineRule="exact"/>
              <w:jc w:val="center"/>
              <w:rPr>
                <w:rFonts w:eastAsia="Arial"/>
                <w:w w:val="99"/>
                <w:sz w:val="22"/>
                <w:szCs w:val="22"/>
              </w:rPr>
            </w:pPr>
            <w:r w:rsidRPr="00BD15C8">
              <w:rPr>
                <w:rFonts w:eastAsia="Arial"/>
                <w:w w:val="99"/>
                <w:sz w:val="22"/>
                <w:szCs w:val="22"/>
              </w:rPr>
              <w:t>150</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100</w:t>
            </w:r>
          </w:p>
        </w:tc>
        <w:tc>
          <w:tcPr>
            <w:tcW w:w="1748" w:type="dxa"/>
            <w:vAlign w:val="bottom"/>
          </w:tcPr>
          <w:p w14:paraId="77B48ECA" w14:textId="77777777" w:rsidR="00FD2F93" w:rsidRPr="00BD15C8" w:rsidRDefault="00FD2F93" w:rsidP="00FD2F93">
            <w:pPr>
              <w:spacing w:line="235" w:lineRule="exact"/>
              <w:jc w:val="center"/>
              <w:rPr>
                <w:rFonts w:eastAsia="Arial"/>
                <w:w w:val="97"/>
                <w:sz w:val="22"/>
                <w:szCs w:val="22"/>
              </w:rPr>
            </w:pPr>
            <w:r w:rsidRPr="00BD15C8">
              <w:rPr>
                <w:rFonts w:eastAsia="Arial"/>
                <w:sz w:val="22"/>
                <w:szCs w:val="22"/>
              </w:rPr>
              <w:t>125</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75</w:t>
            </w:r>
          </w:p>
        </w:tc>
        <w:tc>
          <w:tcPr>
            <w:tcW w:w="1749" w:type="dxa"/>
            <w:vAlign w:val="bottom"/>
          </w:tcPr>
          <w:p w14:paraId="64D6DBE2" w14:textId="77777777" w:rsidR="00FD2F93" w:rsidRPr="00BD15C8" w:rsidRDefault="00FD2F93" w:rsidP="00FD2F93">
            <w:pPr>
              <w:spacing w:line="239" w:lineRule="exact"/>
              <w:jc w:val="center"/>
              <w:rPr>
                <w:rFonts w:eastAsia="Arial"/>
                <w:w w:val="99"/>
                <w:sz w:val="22"/>
                <w:szCs w:val="22"/>
              </w:rPr>
            </w:pPr>
            <w:r w:rsidRPr="00BD15C8">
              <w:rPr>
                <w:rFonts w:eastAsia="Arial"/>
                <w:w w:val="99"/>
                <w:sz w:val="22"/>
                <w:szCs w:val="22"/>
              </w:rPr>
              <w:t>100</w:t>
            </w:r>
            <w:proofErr w:type="gramStart"/>
            <w:r w:rsidRPr="00BD15C8">
              <w:rPr>
                <w:rFonts w:eastAsia="Arial"/>
                <w:w w:val="99"/>
                <w:sz w:val="22"/>
                <w:szCs w:val="22"/>
              </w:rPr>
              <w:t>&gt;x</w:t>
            </w:r>
            <w:proofErr w:type="gramEnd"/>
            <w:r w:rsidRPr="00BD15C8">
              <w:rPr>
                <w:rFonts w:eastAsia="Arial"/>
                <w:w w:val="99"/>
                <w:sz w:val="22"/>
                <w:szCs w:val="22"/>
              </w:rPr>
              <w:t xml:space="preserve"> </w:t>
            </w:r>
            <w:r>
              <w:rPr>
                <w:rFonts w:eastAsia="Arial"/>
                <w:sz w:val="22"/>
                <w:szCs w:val="22"/>
              </w:rPr>
              <w:t>≥</w:t>
            </w:r>
            <w:r w:rsidRPr="00BD15C8">
              <w:rPr>
                <w:rFonts w:eastAsia="Arial"/>
                <w:w w:val="99"/>
                <w:sz w:val="22"/>
                <w:szCs w:val="22"/>
              </w:rPr>
              <w:t xml:space="preserve"> 60</w:t>
            </w:r>
          </w:p>
        </w:tc>
        <w:tc>
          <w:tcPr>
            <w:tcW w:w="1749" w:type="dxa"/>
            <w:vAlign w:val="bottom"/>
          </w:tcPr>
          <w:p w14:paraId="21BE5AB9"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80</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40</w:t>
            </w:r>
          </w:p>
        </w:tc>
      </w:tr>
      <w:tr w:rsidR="00FD2F93" w14:paraId="5020719E" w14:textId="77777777" w:rsidTr="00827537">
        <w:tc>
          <w:tcPr>
            <w:tcW w:w="1783" w:type="dxa"/>
            <w:vAlign w:val="bottom"/>
          </w:tcPr>
          <w:p w14:paraId="2A06603C"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1 pont</w:t>
            </w:r>
          </w:p>
        </w:tc>
        <w:tc>
          <w:tcPr>
            <w:tcW w:w="1749" w:type="dxa"/>
            <w:vAlign w:val="bottom"/>
          </w:tcPr>
          <w:p w14:paraId="51A69BD6"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100</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50</w:t>
            </w:r>
          </w:p>
        </w:tc>
        <w:tc>
          <w:tcPr>
            <w:tcW w:w="1748" w:type="dxa"/>
            <w:vAlign w:val="bottom"/>
          </w:tcPr>
          <w:p w14:paraId="7FB549DD" w14:textId="77777777" w:rsidR="00FD2F93" w:rsidRPr="00BD15C8" w:rsidRDefault="00FD2F93" w:rsidP="00FD2F93">
            <w:pPr>
              <w:spacing w:line="235" w:lineRule="exact"/>
              <w:jc w:val="center"/>
              <w:rPr>
                <w:rFonts w:eastAsia="Arial"/>
                <w:w w:val="97"/>
                <w:sz w:val="22"/>
                <w:szCs w:val="22"/>
              </w:rPr>
            </w:pPr>
            <w:r w:rsidRPr="00BD15C8">
              <w:rPr>
                <w:rFonts w:eastAsia="Arial"/>
                <w:sz w:val="22"/>
                <w:szCs w:val="22"/>
              </w:rPr>
              <w:t>75</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w:t>
            </w:r>
            <w:r>
              <w:rPr>
                <w:rFonts w:eastAsia="Arial"/>
                <w:sz w:val="22"/>
                <w:szCs w:val="22"/>
              </w:rPr>
              <w:t>40</w:t>
            </w:r>
          </w:p>
        </w:tc>
        <w:tc>
          <w:tcPr>
            <w:tcW w:w="1749" w:type="dxa"/>
            <w:vAlign w:val="bottom"/>
          </w:tcPr>
          <w:p w14:paraId="68DF9D6B"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60</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30</w:t>
            </w:r>
          </w:p>
        </w:tc>
        <w:tc>
          <w:tcPr>
            <w:tcW w:w="1749" w:type="dxa"/>
            <w:vAlign w:val="bottom"/>
          </w:tcPr>
          <w:p w14:paraId="65A6EEB5" w14:textId="77777777" w:rsidR="00FD2F93" w:rsidRPr="00BD15C8" w:rsidRDefault="00FD2F93" w:rsidP="00FD2F93">
            <w:pPr>
              <w:spacing w:line="239" w:lineRule="exact"/>
              <w:jc w:val="center"/>
              <w:rPr>
                <w:rFonts w:eastAsia="Arial"/>
                <w:sz w:val="22"/>
                <w:szCs w:val="22"/>
              </w:rPr>
            </w:pPr>
            <w:r w:rsidRPr="00BD15C8">
              <w:rPr>
                <w:rFonts w:eastAsia="Arial"/>
                <w:sz w:val="22"/>
                <w:szCs w:val="22"/>
              </w:rPr>
              <w:t>40</w:t>
            </w:r>
            <w:proofErr w:type="gramStart"/>
            <w:r w:rsidRPr="00BD15C8">
              <w:rPr>
                <w:rFonts w:eastAsia="Arial"/>
                <w:sz w:val="22"/>
                <w:szCs w:val="22"/>
              </w:rPr>
              <w:t>&gt;x</w:t>
            </w:r>
            <w:proofErr w:type="gramEnd"/>
            <w:r w:rsidRPr="00BD15C8">
              <w:rPr>
                <w:rFonts w:eastAsia="Arial"/>
                <w:sz w:val="22"/>
                <w:szCs w:val="22"/>
              </w:rPr>
              <w:t xml:space="preserve"> </w:t>
            </w:r>
            <w:r>
              <w:rPr>
                <w:rFonts w:eastAsia="Arial"/>
                <w:sz w:val="22"/>
                <w:szCs w:val="22"/>
              </w:rPr>
              <w:t>≥</w:t>
            </w:r>
            <w:r w:rsidRPr="00BD15C8">
              <w:rPr>
                <w:rFonts w:eastAsia="Arial"/>
                <w:sz w:val="22"/>
                <w:szCs w:val="22"/>
              </w:rPr>
              <w:t xml:space="preserve"> 25</w:t>
            </w:r>
          </w:p>
        </w:tc>
      </w:tr>
      <w:tr w:rsidR="00FD2F93" w14:paraId="6ED1B242" w14:textId="77777777" w:rsidTr="00827537">
        <w:tc>
          <w:tcPr>
            <w:tcW w:w="1783" w:type="dxa"/>
            <w:vAlign w:val="bottom"/>
          </w:tcPr>
          <w:p w14:paraId="07B38867" w14:textId="77777777" w:rsidR="00FD2F93" w:rsidRPr="00BD15C8" w:rsidRDefault="00FD2F93" w:rsidP="00FD2F93">
            <w:pPr>
              <w:spacing w:line="235" w:lineRule="exact"/>
              <w:jc w:val="center"/>
              <w:rPr>
                <w:rFonts w:eastAsia="Arial"/>
                <w:w w:val="99"/>
                <w:sz w:val="22"/>
                <w:szCs w:val="22"/>
              </w:rPr>
            </w:pPr>
            <w:r w:rsidRPr="00BD15C8">
              <w:rPr>
                <w:rFonts w:eastAsia="Arial"/>
                <w:w w:val="99"/>
                <w:sz w:val="22"/>
                <w:szCs w:val="22"/>
              </w:rPr>
              <w:t>0 pont</w:t>
            </w:r>
          </w:p>
        </w:tc>
        <w:tc>
          <w:tcPr>
            <w:tcW w:w="1749" w:type="dxa"/>
            <w:vAlign w:val="bottom"/>
          </w:tcPr>
          <w:p w14:paraId="0D848E45" w14:textId="77777777" w:rsidR="00FD2F93" w:rsidRPr="00BD15C8" w:rsidRDefault="00FD2F93" w:rsidP="00FD2F93">
            <w:pPr>
              <w:spacing w:line="239" w:lineRule="exact"/>
              <w:jc w:val="center"/>
              <w:rPr>
                <w:rFonts w:eastAsia="Arial"/>
                <w:sz w:val="22"/>
                <w:szCs w:val="22"/>
              </w:rPr>
            </w:pPr>
            <w:proofErr w:type="gramStart"/>
            <w:r w:rsidRPr="00BD15C8">
              <w:rPr>
                <w:rFonts w:eastAsia="Arial"/>
                <w:sz w:val="22"/>
                <w:szCs w:val="22"/>
              </w:rPr>
              <w:t>x&lt;</w:t>
            </w:r>
            <w:proofErr w:type="gramEnd"/>
            <w:r w:rsidRPr="00BD15C8">
              <w:rPr>
                <w:rFonts w:eastAsia="Arial"/>
                <w:sz w:val="22"/>
                <w:szCs w:val="22"/>
              </w:rPr>
              <w:t>50</w:t>
            </w:r>
          </w:p>
        </w:tc>
        <w:tc>
          <w:tcPr>
            <w:tcW w:w="1748" w:type="dxa"/>
            <w:vAlign w:val="bottom"/>
          </w:tcPr>
          <w:p w14:paraId="31529F0B" w14:textId="77777777" w:rsidR="00FD2F93" w:rsidRPr="00BD15C8" w:rsidRDefault="00FD2F93" w:rsidP="00FD2F93">
            <w:pPr>
              <w:spacing w:line="235" w:lineRule="exact"/>
              <w:jc w:val="center"/>
              <w:rPr>
                <w:rFonts w:eastAsia="Arial"/>
                <w:w w:val="96"/>
                <w:sz w:val="22"/>
                <w:szCs w:val="22"/>
              </w:rPr>
            </w:pPr>
            <w:proofErr w:type="gramStart"/>
            <w:r w:rsidRPr="00BD15C8">
              <w:rPr>
                <w:rFonts w:eastAsia="Arial"/>
                <w:w w:val="96"/>
                <w:sz w:val="22"/>
                <w:szCs w:val="22"/>
              </w:rPr>
              <w:t>x&lt;</w:t>
            </w:r>
            <w:proofErr w:type="gramEnd"/>
            <w:r>
              <w:rPr>
                <w:rFonts w:eastAsia="Arial"/>
                <w:w w:val="96"/>
                <w:sz w:val="22"/>
                <w:szCs w:val="22"/>
              </w:rPr>
              <w:t>40</w:t>
            </w:r>
          </w:p>
        </w:tc>
        <w:tc>
          <w:tcPr>
            <w:tcW w:w="1749" w:type="dxa"/>
            <w:vAlign w:val="bottom"/>
          </w:tcPr>
          <w:p w14:paraId="49AC48C1" w14:textId="77777777" w:rsidR="00FD2F93" w:rsidRPr="00BD15C8" w:rsidRDefault="00FD2F93" w:rsidP="00FD2F93">
            <w:pPr>
              <w:spacing w:line="239" w:lineRule="exact"/>
              <w:jc w:val="center"/>
              <w:rPr>
                <w:rFonts w:eastAsia="Arial"/>
                <w:sz w:val="22"/>
                <w:szCs w:val="22"/>
              </w:rPr>
            </w:pPr>
            <w:proofErr w:type="gramStart"/>
            <w:r w:rsidRPr="00BD15C8">
              <w:rPr>
                <w:rFonts w:eastAsia="Arial"/>
                <w:sz w:val="22"/>
                <w:szCs w:val="22"/>
              </w:rPr>
              <w:t>x&lt;</w:t>
            </w:r>
            <w:proofErr w:type="gramEnd"/>
            <w:r w:rsidRPr="00BD15C8">
              <w:rPr>
                <w:rFonts w:eastAsia="Arial"/>
                <w:sz w:val="22"/>
                <w:szCs w:val="22"/>
              </w:rPr>
              <w:t>30</w:t>
            </w:r>
          </w:p>
        </w:tc>
        <w:tc>
          <w:tcPr>
            <w:tcW w:w="1749" w:type="dxa"/>
            <w:vAlign w:val="bottom"/>
          </w:tcPr>
          <w:p w14:paraId="716FF332" w14:textId="77777777" w:rsidR="00FD2F93" w:rsidRPr="00BD15C8" w:rsidRDefault="00FD2F93" w:rsidP="00FD2F93">
            <w:pPr>
              <w:spacing w:line="239" w:lineRule="exact"/>
              <w:jc w:val="center"/>
              <w:rPr>
                <w:rFonts w:eastAsia="Arial"/>
                <w:sz w:val="22"/>
                <w:szCs w:val="22"/>
              </w:rPr>
            </w:pPr>
            <w:proofErr w:type="gramStart"/>
            <w:r w:rsidRPr="00BD15C8">
              <w:rPr>
                <w:rFonts w:eastAsia="Arial"/>
                <w:sz w:val="22"/>
                <w:szCs w:val="22"/>
              </w:rPr>
              <w:t>x&lt;</w:t>
            </w:r>
            <w:proofErr w:type="gramEnd"/>
            <w:r w:rsidRPr="00BD15C8">
              <w:rPr>
                <w:rFonts w:eastAsia="Arial"/>
                <w:sz w:val="22"/>
                <w:szCs w:val="22"/>
              </w:rPr>
              <w:t>25</w:t>
            </w:r>
          </w:p>
        </w:tc>
      </w:tr>
    </w:tbl>
    <w:p w14:paraId="7DB079CC" w14:textId="77777777" w:rsidR="00FD2F93" w:rsidRDefault="00FD2F93" w:rsidP="00FD2F93">
      <w:pPr>
        <w:spacing w:line="0" w:lineRule="atLeast"/>
        <w:ind w:left="284"/>
        <w:rPr>
          <w:rFonts w:eastAsia="Arial"/>
          <w:i/>
          <w:sz w:val="22"/>
          <w:szCs w:val="22"/>
        </w:rPr>
      </w:pPr>
    </w:p>
    <w:p w14:paraId="763D6FA2" w14:textId="77777777" w:rsidR="00FD0545" w:rsidRPr="005231EF" w:rsidRDefault="00FD0545" w:rsidP="00FD0545">
      <w:pPr>
        <w:spacing w:line="271" w:lineRule="auto"/>
        <w:ind w:firstLine="351"/>
        <w:rPr>
          <w:rFonts w:eastAsia="Arial"/>
          <w:i/>
          <w:sz w:val="22"/>
          <w:szCs w:val="22"/>
        </w:rPr>
      </w:pPr>
      <w:r w:rsidRPr="005231EF">
        <w:rPr>
          <w:rFonts w:eastAsia="Arial"/>
          <w:i/>
          <w:sz w:val="22"/>
          <w:szCs w:val="22"/>
        </w:rPr>
        <w:t xml:space="preserve">Pályázatos/K+F TÉR pontok </w:t>
      </w:r>
      <w:proofErr w:type="spellStart"/>
      <w:r w:rsidRPr="005231EF">
        <w:rPr>
          <w:rFonts w:eastAsia="Arial"/>
          <w:i/>
          <w:sz w:val="22"/>
          <w:szCs w:val="22"/>
        </w:rPr>
        <w:t>Intézetektő</w:t>
      </w:r>
      <w:r>
        <w:rPr>
          <w:rFonts w:eastAsia="Arial"/>
          <w:i/>
          <w:sz w:val="22"/>
          <w:szCs w:val="22"/>
        </w:rPr>
        <w:t>l</w:t>
      </w:r>
      <w:proofErr w:type="spellEnd"/>
      <w:r>
        <w:rPr>
          <w:rFonts w:eastAsia="Arial"/>
          <w:i/>
          <w:sz w:val="22"/>
          <w:szCs w:val="22"/>
        </w:rPr>
        <w:t xml:space="preserve"> független </w:t>
      </w:r>
      <w:proofErr w:type="gramStart"/>
      <w:r>
        <w:rPr>
          <w:rFonts w:eastAsia="Arial"/>
          <w:i/>
          <w:sz w:val="22"/>
          <w:szCs w:val="22"/>
        </w:rPr>
        <w:t>konverziója</w:t>
      </w:r>
      <w:proofErr w:type="gramEnd"/>
      <w:r>
        <w:rPr>
          <w:rFonts w:eastAsia="Arial"/>
          <w:i/>
          <w:sz w:val="22"/>
          <w:szCs w:val="22"/>
        </w:rPr>
        <w:t xml:space="preserve"> pályáza</w:t>
      </w:r>
      <w:r w:rsidRPr="005231EF">
        <w:rPr>
          <w:rFonts w:eastAsia="Arial"/>
          <w:i/>
          <w:sz w:val="22"/>
          <w:szCs w:val="22"/>
        </w:rPr>
        <w:t>tos értékelési pontokká</w:t>
      </w:r>
    </w:p>
    <w:p w14:paraId="2DF082AD" w14:textId="77777777" w:rsidR="00FD0545" w:rsidRPr="00BD15C8" w:rsidRDefault="00FD0545" w:rsidP="00FD0545">
      <w:pPr>
        <w:spacing w:line="218" w:lineRule="exact"/>
        <w:rPr>
          <w:sz w:val="22"/>
          <w:szCs w:val="22"/>
        </w:rPr>
      </w:pPr>
    </w:p>
    <w:tbl>
      <w:tblPr>
        <w:tblW w:w="0" w:type="auto"/>
        <w:tblInd w:w="1270" w:type="dxa"/>
        <w:tblLayout w:type="fixed"/>
        <w:tblCellMar>
          <w:left w:w="0" w:type="dxa"/>
          <w:right w:w="0" w:type="dxa"/>
        </w:tblCellMar>
        <w:tblLook w:val="0000" w:firstRow="0" w:lastRow="0" w:firstColumn="0" w:lastColumn="0" w:noHBand="0" w:noVBand="0"/>
      </w:tblPr>
      <w:tblGrid>
        <w:gridCol w:w="4040"/>
        <w:gridCol w:w="2780"/>
      </w:tblGrid>
      <w:tr w:rsidR="00FD0545" w:rsidRPr="00BD15C8" w14:paraId="3F09D8A7" w14:textId="77777777" w:rsidTr="00026782">
        <w:trPr>
          <w:trHeight w:val="289"/>
        </w:trPr>
        <w:tc>
          <w:tcPr>
            <w:tcW w:w="4040" w:type="dxa"/>
            <w:tcBorders>
              <w:top w:val="single" w:sz="8" w:space="0" w:color="auto"/>
              <w:left w:val="single" w:sz="8" w:space="0" w:color="auto"/>
              <w:bottom w:val="single" w:sz="8" w:space="0" w:color="auto"/>
              <w:right w:val="single" w:sz="8" w:space="0" w:color="auto"/>
            </w:tcBorders>
            <w:shd w:val="clear" w:color="auto" w:fill="auto"/>
            <w:vAlign w:val="bottom"/>
          </w:tcPr>
          <w:p w14:paraId="7ED2052E"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Pályázatos/K+F TÉR pont értéke (x)</w:t>
            </w:r>
          </w:p>
        </w:tc>
        <w:tc>
          <w:tcPr>
            <w:tcW w:w="2780" w:type="dxa"/>
            <w:tcBorders>
              <w:top w:val="single" w:sz="8" w:space="0" w:color="auto"/>
              <w:bottom w:val="single" w:sz="8" w:space="0" w:color="auto"/>
              <w:right w:val="single" w:sz="8" w:space="0" w:color="auto"/>
            </w:tcBorders>
            <w:shd w:val="clear" w:color="auto" w:fill="auto"/>
            <w:vAlign w:val="bottom"/>
          </w:tcPr>
          <w:p w14:paraId="5A1DA9D9" w14:textId="77777777" w:rsidR="00FD0545" w:rsidRPr="00BD15C8" w:rsidRDefault="00FD0545" w:rsidP="00026782">
            <w:pPr>
              <w:spacing w:line="0" w:lineRule="atLeast"/>
              <w:jc w:val="center"/>
              <w:rPr>
                <w:rFonts w:eastAsia="Arial"/>
                <w:w w:val="94"/>
                <w:sz w:val="22"/>
                <w:szCs w:val="22"/>
              </w:rPr>
            </w:pPr>
            <w:r w:rsidRPr="00BD15C8">
              <w:rPr>
                <w:rFonts w:eastAsia="Arial"/>
                <w:w w:val="94"/>
                <w:sz w:val="22"/>
                <w:szCs w:val="22"/>
              </w:rPr>
              <w:t>Pályázatos értékelési pont</w:t>
            </w:r>
          </w:p>
        </w:tc>
      </w:tr>
      <w:tr w:rsidR="00FD0545" w:rsidRPr="00BD15C8" w14:paraId="247826D0" w14:textId="77777777" w:rsidTr="00026782">
        <w:trPr>
          <w:trHeight w:val="266"/>
        </w:trPr>
        <w:tc>
          <w:tcPr>
            <w:tcW w:w="4040" w:type="dxa"/>
            <w:tcBorders>
              <w:left w:val="single" w:sz="8" w:space="0" w:color="auto"/>
              <w:bottom w:val="single" w:sz="8" w:space="0" w:color="auto"/>
              <w:right w:val="single" w:sz="8" w:space="0" w:color="auto"/>
            </w:tcBorders>
            <w:shd w:val="clear" w:color="auto" w:fill="auto"/>
            <w:vAlign w:val="bottom"/>
          </w:tcPr>
          <w:p w14:paraId="77C94AF1"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 xml:space="preserve">x </w:t>
            </w:r>
            <w:r>
              <w:rPr>
                <w:rFonts w:eastAsia="Arial"/>
                <w:sz w:val="22"/>
                <w:szCs w:val="22"/>
              </w:rPr>
              <w:t>≥</w:t>
            </w:r>
            <w:r w:rsidRPr="00BD15C8">
              <w:rPr>
                <w:rFonts w:eastAsia="Arial"/>
                <w:sz w:val="22"/>
                <w:szCs w:val="22"/>
              </w:rPr>
              <w:t xml:space="preserve"> 30</w:t>
            </w:r>
          </w:p>
        </w:tc>
        <w:tc>
          <w:tcPr>
            <w:tcW w:w="2780" w:type="dxa"/>
            <w:tcBorders>
              <w:bottom w:val="single" w:sz="8" w:space="0" w:color="auto"/>
              <w:right w:val="single" w:sz="8" w:space="0" w:color="auto"/>
            </w:tcBorders>
            <w:shd w:val="clear" w:color="auto" w:fill="auto"/>
            <w:vAlign w:val="bottom"/>
          </w:tcPr>
          <w:p w14:paraId="004CFC50"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3 pont</w:t>
            </w:r>
          </w:p>
        </w:tc>
      </w:tr>
      <w:tr w:rsidR="00FD0545" w:rsidRPr="00BD15C8" w14:paraId="1F4546AA" w14:textId="77777777" w:rsidTr="00026782">
        <w:trPr>
          <w:trHeight w:val="266"/>
        </w:trPr>
        <w:tc>
          <w:tcPr>
            <w:tcW w:w="4040" w:type="dxa"/>
            <w:tcBorders>
              <w:left w:val="single" w:sz="8" w:space="0" w:color="auto"/>
              <w:bottom w:val="single" w:sz="8" w:space="0" w:color="auto"/>
              <w:right w:val="single" w:sz="8" w:space="0" w:color="auto"/>
            </w:tcBorders>
            <w:shd w:val="clear" w:color="auto" w:fill="auto"/>
            <w:vAlign w:val="bottom"/>
          </w:tcPr>
          <w:p w14:paraId="3075B150" w14:textId="77777777" w:rsidR="00FD0545" w:rsidRPr="00BD15C8" w:rsidRDefault="00FD0545" w:rsidP="00026782">
            <w:pPr>
              <w:spacing w:line="0" w:lineRule="atLeast"/>
              <w:jc w:val="center"/>
              <w:rPr>
                <w:rFonts w:eastAsia="Arial"/>
                <w:sz w:val="22"/>
                <w:szCs w:val="22"/>
              </w:rPr>
            </w:pPr>
            <w:proofErr w:type="gramStart"/>
            <w:r w:rsidRPr="00BD15C8">
              <w:rPr>
                <w:rFonts w:eastAsia="Arial"/>
                <w:sz w:val="22"/>
                <w:szCs w:val="22"/>
              </w:rPr>
              <w:t>30</w:t>
            </w:r>
            <w:r>
              <w:rPr>
                <w:rFonts w:eastAsia="Arial"/>
                <w:sz w:val="22"/>
                <w:szCs w:val="22"/>
              </w:rPr>
              <w:t xml:space="preserve"> </w:t>
            </w:r>
            <w:r w:rsidRPr="00BD15C8">
              <w:rPr>
                <w:rFonts w:eastAsia="Arial"/>
                <w:sz w:val="22"/>
                <w:szCs w:val="22"/>
              </w:rPr>
              <w:t>&gt;x</w:t>
            </w:r>
            <w:proofErr w:type="gramEnd"/>
            <w:r>
              <w:rPr>
                <w:rFonts w:eastAsia="Arial"/>
                <w:sz w:val="22"/>
                <w:szCs w:val="22"/>
              </w:rPr>
              <w:t xml:space="preserve"> ≥ </w:t>
            </w:r>
            <w:r w:rsidRPr="00BD15C8">
              <w:rPr>
                <w:rFonts w:eastAsia="Arial"/>
                <w:sz w:val="22"/>
                <w:szCs w:val="22"/>
              </w:rPr>
              <w:t>15</w:t>
            </w:r>
          </w:p>
        </w:tc>
        <w:tc>
          <w:tcPr>
            <w:tcW w:w="2780" w:type="dxa"/>
            <w:tcBorders>
              <w:bottom w:val="single" w:sz="8" w:space="0" w:color="auto"/>
              <w:right w:val="single" w:sz="8" w:space="0" w:color="auto"/>
            </w:tcBorders>
            <w:shd w:val="clear" w:color="auto" w:fill="auto"/>
            <w:vAlign w:val="bottom"/>
          </w:tcPr>
          <w:p w14:paraId="2E201152"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2 pont</w:t>
            </w:r>
          </w:p>
        </w:tc>
      </w:tr>
      <w:tr w:rsidR="00FD0545" w:rsidRPr="00BD15C8" w14:paraId="6392EBC6" w14:textId="77777777" w:rsidTr="00026782">
        <w:trPr>
          <w:trHeight w:val="266"/>
        </w:trPr>
        <w:tc>
          <w:tcPr>
            <w:tcW w:w="4040" w:type="dxa"/>
            <w:tcBorders>
              <w:left w:val="single" w:sz="8" w:space="0" w:color="auto"/>
              <w:bottom w:val="single" w:sz="8" w:space="0" w:color="auto"/>
              <w:right w:val="single" w:sz="8" w:space="0" w:color="auto"/>
            </w:tcBorders>
            <w:shd w:val="clear" w:color="auto" w:fill="auto"/>
            <w:vAlign w:val="bottom"/>
          </w:tcPr>
          <w:p w14:paraId="3FB4B35C" w14:textId="77777777" w:rsidR="00FD0545" w:rsidRPr="00BD15C8" w:rsidRDefault="00FD0545" w:rsidP="00026782">
            <w:pPr>
              <w:spacing w:line="0" w:lineRule="atLeast"/>
              <w:jc w:val="center"/>
              <w:rPr>
                <w:rFonts w:eastAsia="Arial"/>
                <w:sz w:val="22"/>
                <w:szCs w:val="22"/>
              </w:rPr>
            </w:pPr>
            <w:proofErr w:type="gramStart"/>
            <w:r w:rsidRPr="00BD15C8">
              <w:rPr>
                <w:rFonts w:eastAsia="Arial"/>
                <w:sz w:val="22"/>
                <w:szCs w:val="22"/>
              </w:rPr>
              <w:t>15</w:t>
            </w:r>
            <w:r>
              <w:rPr>
                <w:rFonts w:eastAsia="Arial"/>
                <w:sz w:val="22"/>
                <w:szCs w:val="22"/>
              </w:rPr>
              <w:t xml:space="preserve"> </w:t>
            </w:r>
            <w:r w:rsidRPr="00BD15C8">
              <w:rPr>
                <w:rFonts w:eastAsia="Arial"/>
                <w:sz w:val="22"/>
                <w:szCs w:val="22"/>
              </w:rPr>
              <w:t>&gt;</w:t>
            </w:r>
            <w:proofErr w:type="gramEnd"/>
            <w:r>
              <w:rPr>
                <w:rFonts w:eastAsia="Arial"/>
                <w:sz w:val="22"/>
                <w:szCs w:val="22"/>
              </w:rPr>
              <w:t xml:space="preserve"> </w:t>
            </w:r>
            <w:r w:rsidRPr="00BD15C8">
              <w:rPr>
                <w:rFonts w:eastAsia="Arial"/>
                <w:sz w:val="22"/>
                <w:szCs w:val="22"/>
              </w:rPr>
              <w:t>x</w:t>
            </w:r>
            <w:r>
              <w:rPr>
                <w:rFonts w:eastAsia="Arial"/>
                <w:sz w:val="22"/>
                <w:szCs w:val="22"/>
              </w:rPr>
              <w:t xml:space="preserve"> </w:t>
            </w:r>
            <w:r w:rsidRPr="00BD15C8">
              <w:rPr>
                <w:rFonts w:eastAsia="Arial"/>
                <w:sz w:val="22"/>
                <w:szCs w:val="22"/>
              </w:rPr>
              <w:t>&gt;</w:t>
            </w:r>
            <w:r>
              <w:rPr>
                <w:rFonts w:eastAsia="Arial"/>
                <w:sz w:val="22"/>
                <w:szCs w:val="22"/>
              </w:rPr>
              <w:t xml:space="preserve"> </w:t>
            </w:r>
            <w:r w:rsidRPr="00BD15C8">
              <w:rPr>
                <w:rFonts w:eastAsia="Arial"/>
                <w:sz w:val="22"/>
                <w:szCs w:val="22"/>
              </w:rPr>
              <w:t>0</w:t>
            </w:r>
          </w:p>
        </w:tc>
        <w:tc>
          <w:tcPr>
            <w:tcW w:w="2780" w:type="dxa"/>
            <w:tcBorders>
              <w:bottom w:val="single" w:sz="8" w:space="0" w:color="auto"/>
              <w:right w:val="single" w:sz="8" w:space="0" w:color="auto"/>
            </w:tcBorders>
            <w:shd w:val="clear" w:color="auto" w:fill="auto"/>
            <w:vAlign w:val="bottom"/>
          </w:tcPr>
          <w:p w14:paraId="1251B4D4" w14:textId="77777777" w:rsidR="00FD0545" w:rsidRPr="00BD15C8" w:rsidRDefault="00FD0545" w:rsidP="00026782">
            <w:pPr>
              <w:spacing w:line="0" w:lineRule="atLeast"/>
              <w:jc w:val="center"/>
              <w:rPr>
                <w:rFonts w:eastAsia="Arial"/>
                <w:sz w:val="22"/>
                <w:szCs w:val="22"/>
              </w:rPr>
            </w:pPr>
            <w:r w:rsidRPr="00BD15C8">
              <w:rPr>
                <w:rFonts w:eastAsia="Arial"/>
                <w:sz w:val="22"/>
                <w:szCs w:val="22"/>
              </w:rPr>
              <w:t>1 pont</w:t>
            </w:r>
          </w:p>
        </w:tc>
      </w:tr>
    </w:tbl>
    <w:p w14:paraId="166C0511" w14:textId="77777777" w:rsidR="00FD0545" w:rsidRDefault="00FD0545" w:rsidP="00893D5B"/>
    <w:p w14:paraId="490B1380" w14:textId="77777777" w:rsidR="00FD0545" w:rsidRDefault="00FD0545">
      <w:pPr>
        <w:spacing w:after="160" w:line="259" w:lineRule="auto"/>
      </w:pPr>
      <w:r>
        <w:br w:type="page"/>
      </w:r>
    </w:p>
    <w:p w14:paraId="48F7E36D" w14:textId="77777777" w:rsidR="00FD0545" w:rsidRPr="00E13CE5" w:rsidRDefault="00FD0545" w:rsidP="00FD0545">
      <w:pPr>
        <w:pStyle w:val="Cmsor1"/>
      </w:pPr>
      <w:bookmarkStart w:id="387" w:name="_Toc432753654"/>
      <w:bookmarkStart w:id="388" w:name="_Toc444603588"/>
      <w:bookmarkStart w:id="389" w:name="_Toc445200846"/>
      <w:bookmarkStart w:id="390" w:name="_Toc21961982"/>
      <w:bookmarkStart w:id="391" w:name="_Toc58569590"/>
      <w:r w:rsidRPr="00E13CE5">
        <w:lastRenderedPageBreak/>
        <w:t>2. számú melléklet</w:t>
      </w:r>
      <w:bookmarkEnd w:id="387"/>
      <w:bookmarkEnd w:id="388"/>
      <w:bookmarkEnd w:id="389"/>
      <w:bookmarkEnd w:id="390"/>
      <w:bookmarkEnd w:id="391"/>
    </w:p>
    <w:p w14:paraId="68DCA2D7" w14:textId="77777777" w:rsidR="00FD0545" w:rsidRPr="00E13CE5" w:rsidRDefault="00FD0545" w:rsidP="00FD0545">
      <w:pPr>
        <w:tabs>
          <w:tab w:val="left" w:pos="9781"/>
        </w:tabs>
        <w:ind w:right="-144"/>
        <w:jc w:val="both"/>
        <w:rPr>
          <w:sz w:val="22"/>
          <w:szCs w:val="22"/>
        </w:rPr>
      </w:pPr>
    </w:p>
    <w:p w14:paraId="735FEE90"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9781"/>
        </w:tabs>
        <w:ind w:right="-144"/>
        <w:jc w:val="center"/>
        <w:rPr>
          <w:b/>
          <w:sz w:val="22"/>
          <w:szCs w:val="22"/>
        </w:rPr>
      </w:pPr>
      <w:r w:rsidRPr="00E13CE5">
        <w:rPr>
          <w:b/>
          <w:sz w:val="22"/>
          <w:szCs w:val="22"/>
        </w:rPr>
        <w:t>Javaslat</w:t>
      </w:r>
    </w:p>
    <w:p w14:paraId="4250100F"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9781"/>
        </w:tabs>
        <w:ind w:right="-144"/>
        <w:jc w:val="center"/>
        <w:rPr>
          <w:b/>
          <w:sz w:val="22"/>
          <w:szCs w:val="22"/>
        </w:rPr>
      </w:pPr>
      <w:proofErr w:type="gramStart"/>
      <w:r w:rsidRPr="00E13CE5">
        <w:rPr>
          <w:b/>
          <w:sz w:val="22"/>
          <w:szCs w:val="22"/>
        </w:rPr>
        <w:t>közalkalmazotti</w:t>
      </w:r>
      <w:proofErr w:type="gramEnd"/>
      <w:r w:rsidRPr="00E13CE5">
        <w:rPr>
          <w:b/>
          <w:sz w:val="22"/>
          <w:szCs w:val="22"/>
        </w:rPr>
        <w:t xml:space="preserve"> jogviszonnyal járó cím adományozására</w:t>
      </w:r>
    </w:p>
    <w:p w14:paraId="1484F222" w14:textId="77777777" w:rsidR="00FD0545" w:rsidRPr="00E13CE5" w:rsidRDefault="00FD0545" w:rsidP="00FD0545">
      <w:pPr>
        <w:tabs>
          <w:tab w:val="left" w:pos="9781"/>
        </w:tabs>
        <w:ind w:right="-144"/>
        <w:jc w:val="both"/>
        <w:rPr>
          <w:sz w:val="22"/>
          <w:szCs w:val="22"/>
        </w:rPr>
      </w:pPr>
    </w:p>
    <w:p w14:paraId="4B49BE4B"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849"/>
        <w:gridCol w:w="5698"/>
      </w:tblGrid>
      <w:tr w:rsidR="00FD0545" w:rsidRPr="00E13CE5" w14:paraId="583291F9" w14:textId="77777777" w:rsidTr="00026782">
        <w:tc>
          <w:tcPr>
            <w:tcW w:w="9286" w:type="dxa"/>
            <w:gridSpan w:val="3"/>
          </w:tcPr>
          <w:p w14:paraId="67162912" w14:textId="77777777" w:rsidR="00FD0545" w:rsidRPr="00E13CE5" w:rsidRDefault="00FD0545" w:rsidP="00026782">
            <w:pPr>
              <w:tabs>
                <w:tab w:val="left" w:pos="9781"/>
              </w:tabs>
              <w:ind w:right="-144"/>
              <w:jc w:val="center"/>
              <w:rPr>
                <w:b/>
                <w:sz w:val="22"/>
                <w:szCs w:val="22"/>
              </w:rPr>
            </w:pPr>
            <w:r w:rsidRPr="00E13CE5">
              <w:rPr>
                <w:b/>
                <w:sz w:val="22"/>
                <w:szCs w:val="22"/>
              </w:rPr>
              <w:t xml:space="preserve">I. </w:t>
            </w:r>
            <w:proofErr w:type="gramStart"/>
            <w:r w:rsidRPr="00E13CE5">
              <w:rPr>
                <w:b/>
                <w:sz w:val="22"/>
                <w:szCs w:val="22"/>
              </w:rPr>
              <w:t>A</w:t>
            </w:r>
            <w:proofErr w:type="gramEnd"/>
            <w:r w:rsidRPr="00E13CE5">
              <w:rPr>
                <w:b/>
                <w:sz w:val="22"/>
                <w:szCs w:val="22"/>
              </w:rPr>
              <w:t xml:space="preserve"> felterjesztett személy adatai</w:t>
            </w:r>
          </w:p>
        </w:tc>
      </w:tr>
      <w:tr w:rsidR="00FD0545" w:rsidRPr="00E13CE5" w14:paraId="31291D79" w14:textId="77777777" w:rsidTr="00026782">
        <w:tc>
          <w:tcPr>
            <w:tcW w:w="9286" w:type="dxa"/>
            <w:gridSpan w:val="3"/>
          </w:tcPr>
          <w:p w14:paraId="2716CFA8" w14:textId="77777777" w:rsidR="00FD0545" w:rsidRPr="00E13CE5" w:rsidRDefault="00FD0545" w:rsidP="00026782">
            <w:pPr>
              <w:tabs>
                <w:tab w:val="left" w:pos="9781"/>
              </w:tabs>
              <w:ind w:right="-144"/>
              <w:jc w:val="center"/>
              <w:rPr>
                <w:b/>
                <w:sz w:val="22"/>
                <w:szCs w:val="22"/>
              </w:rPr>
            </w:pPr>
            <w:r w:rsidRPr="00E13CE5">
              <w:rPr>
                <w:b/>
                <w:sz w:val="22"/>
                <w:szCs w:val="22"/>
              </w:rPr>
              <w:t>Személyes adatok</w:t>
            </w:r>
          </w:p>
        </w:tc>
      </w:tr>
      <w:tr w:rsidR="00FD0545" w:rsidRPr="00E13CE5" w14:paraId="1C866DE9" w14:textId="77777777" w:rsidTr="00026782">
        <w:tc>
          <w:tcPr>
            <w:tcW w:w="516" w:type="dxa"/>
          </w:tcPr>
          <w:p w14:paraId="115C82B4" w14:textId="77777777" w:rsidR="00FD0545" w:rsidRPr="00E13CE5" w:rsidRDefault="00FD0545" w:rsidP="00026782">
            <w:pPr>
              <w:tabs>
                <w:tab w:val="left" w:pos="9781"/>
              </w:tabs>
              <w:ind w:right="-144"/>
              <w:jc w:val="both"/>
              <w:rPr>
                <w:b/>
                <w:sz w:val="22"/>
                <w:szCs w:val="22"/>
              </w:rPr>
            </w:pPr>
            <w:r w:rsidRPr="00E13CE5">
              <w:rPr>
                <w:b/>
                <w:sz w:val="22"/>
                <w:szCs w:val="22"/>
              </w:rPr>
              <w:t>1.</w:t>
            </w:r>
          </w:p>
        </w:tc>
        <w:tc>
          <w:tcPr>
            <w:tcW w:w="2857" w:type="dxa"/>
          </w:tcPr>
          <w:p w14:paraId="250EDB68" w14:textId="77777777" w:rsidR="00FD0545" w:rsidRPr="00E13CE5" w:rsidRDefault="00FD0545" w:rsidP="00026782">
            <w:pPr>
              <w:tabs>
                <w:tab w:val="left" w:pos="9781"/>
              </w:tabs>
              <w:ind w:right="-144"/>
              <w:jc w:val="both"/>
              <w:rPr>
                <w:b/>
                <w:sz w:val="22"/>
                <w:szCs w:val="22"/>
              </w:rPr>
            </w:pPr>
            <w:r w:rsidRPr="00E13CE5">
              <w:rPr>
                <w:b/>
                <w:sz w:val="22"/>
                <w:szCs w:val="22"/>
              </w:rPr>
              <w:t>Név:</w:t>
            </w:r>
          </w:p>
        </w:tc>
        <w:tc>
          <w:tcPr>
            <w:tcW w:w="5913" w:type="dxa"/>
          </w:tcPr>
          <w:p w14:paraId="4603D81B" w14:textId="77777777" w:rsidR="00FD0545" w:rsidRPr="00E13CE5" w:rsidRDefault="00FD0545" w:rsidP="00026782">
            <w:pPr>
              <w:tabs>
                <w:tab w:val="left" w:pos="9781"/>
              </w:tabs>
              <w:ind w:right="-144"/>
              <w:jc w:val="both"/>
              <w:rPr>
                <w:sz w:val="22"/>
                <w:szCs w:val="22"/>
              </w:rPr>
            </w:pPr>
          </w:p>
        </w:tc>
      </w:tr>
      <w:tr w:rsidR="00FD0545" w:rsidRPr="00E13CE5" w14:paraId="2FD0DC09" w14:textId="77777777" w:rsidTr="00026782">
        <w:tc>
          <w:tcPr>
            <w:tcW w:w="516" w:type="dxa"/>
          </w:tcPr>
          <w:p w14:paraId="6C333EE9" w14:textId="77777777" w:rsidR="00FD0545" w:rsidRPr="00E13CE5" w:rsidRDefault="00FD0545" w:rsidP="00026782">
            <w:pPr>
              <w:tabs>
                <w:tab w:val="left" w:pos="9781"/>
              </w:tabs>
              <w:ind w:right="-144"/>
              <w:jc w:val="both"/>
              <w:rPr>
                <w:b/>
                <w:sz w:val="22"/>
                <w:szCs w:val="22"/>
              </w:rPr>
            </w:pPr>
            <w:r w:rsidRPr="00E13CE5">
              <w:rPr>
                <w:b/>
                <w:sz w:val="22"/>
                <w:szCs w:val="22"/>
              </w:rPr>
              <w:t>2.</w:t>
            </w:r>
          </w:p>
        </w:tc>
        <w:tc>
          <w:tcPr>
            <w:tcW w:w="2857" w:type="dxa"/>
          </w:tcPr>
          <w:p w14:paraId="0501647D" w14:textId="77777777" w:rsidR="00FD0545" w:rsidRPr="00E13CE5" w:rsidRDefault="00FD0545" w:rsidP="00026782">
            <w:pPr>
              <w:tabs>
                <w:tab w:val="left" w:pos="9781"/>
              </w:tabs>
              <w:ind w:right="-144"/>
              <w:jc w:val="both"/>
              <w:rPr>
                <w:b/>
                <w:sz w:val="22"/>
                <w:szCs w:val="22"/>
              </w:rPr>
            </w:pPr>
            <w:r w:rsidRPr="00E13CE5">
              <w:rPr>
                <w:b/>
                <w:sz w:val="22"/>
                <w:szCs w:val="22"/>
              </w:rPr>
              <w:t>Születési hely, idő:</w:t>
            </w:r>
          </w:p>
        </w:tc>
        <w:tc>
          <w:tcPr>
            <w:tcW w:w="5913" w:type="dxa"/>
          </w:tcPr>
          <w:p w14:paraId="2178BBFF" w14:textId="77777777" w:rsidR="00FD0545" w:rsidRPr="00E13CE5" w:rsidRDefault="00FD0545" w:rsidP="00026782">
            <w:pPr>
              <w:tabs>
                <w:tab w:val="left" w:pos="9781"/>
              </w:tabs>
              <w:ind w:right="-144"/>
              <w:jc w:val="both"/>
              <w:rPr>
                <w:sz w:val="22"/>
                <w:szCs w:val="22"/>
              </w:rPr>
            </w:pPr>
          </w:p>
        </w:tc>
      </w:tr>
      <w:tr w:rsidR="00FD0545" w:rsidRPr="00E13CE5" w14:paraId="1DD109D7" w14:textId="77777777" w:rsidTr="00026782">
        <w:tc>
          <w:tcPr>
            <w:tcW w:w="516" w:type="dxa"/>
          </w:tcPr>
          <w:p w14:paraId="7A961A29" w14:textId="77777777" w:rsidR="00FD0545" w:rsidRPr="00E13CE5" w:rsidRDefault="00FD0545" w:rsidP="00026782">
            <w:pPr>
              <w:tabs>
                <w:tab w:val="left" w:pos="9781"/>
              </w:tabs>
              <w:ind w:right="-144"/>
              <w:jc w:val="both"/>
              <w:rPr>
                <w:b/>
                <w:sz w:val="22"/>
                <w:szCs w:val="22"/>
              </w:rPr>
            </w:pPr>
            <w:r w:rsidRPr="00E13CE5">
              <w:rPr>
                <w:b/>
                <w:sz w:val="22"/>
                <w:szCs w:val="22"/>
              </w:rPr>
              <w:t>3.</w:t>
            </w:r>
          </w:p>
        </w:tc>
        <w:tc>
          <w:tcPr>
            <w:tcW w:w="2857" w:type="dxa"/>
          </w:tcPr>
          <w:p w14:paraId="6B768F60" w14:textId="77777777" w:rsidR="00FD0545" w:rsidRPr="00E13CE5" w:rsidRDefault="00FD0545" w:rsidP="00026782">
            <w:pPr>
              <w:tabs>
                <w:tab w:val="left" w:pos="9781"/>
              </w:tabs>
              <w:ind w:right="-144"/>
              <w:jc w:val="both"/>
              <w:rPr>
                <w:b/>
                <w:sz w:val="22"/>
                <w:szCs w:val="22"/>
              </w:rPr>
            </w:pPr>
            <w:r w:rsidRPr="00E13CE5">
              <w:rPr>
                <w:b/>
                <w:sz w:val="22"/>
                <w:szCs w:val="22"/>
              </w:rPr>
              <w:t>Anyja neve:</w:t>
            </w:r>
          </w:p>
        </w:tc>
        <w:tc>
          <w:tcPr>
            <w:tcW w:w="5913" w:type="dxa"/>
          </w:tcPr>
          <w:p w14:paraId="3E675913" w14:textId="77777777" w:rsidR="00FD0545" w:rsidRPr="00E13CE5" w:rsidRDefault="00FD0545" w:rsidP="00026782">
            <w:pPr>
              <w:tabs>
                <w:tab w:val="left" w:pos="9781"/>
              </w:tabs>
              <w:ind w:right="-144"/>
              <w:jc w:val="both"/>
              <w:rPr>
                <w:sz w:val="22"/>
                <w:szCs w:val="22"/>
              </w:rPr>
            </w:pPr>
          </w:p>
        </w:tc>
      </w:tr>
      <w:tr w:rsidR="00FD0545" w:rsidRPr="00E13CE5" w14:paraId="72738104" w14:textId="77777777" w:rsidTr="00026782">
        <w:tc>
          <w:tcPr>
            <w:tcW w:w="516" w:type="dxa"/>
          </w:tcPr>
          <w:p w14:paraId="77735212" w14:textId="77777777" w:rsidR="00FD0545" w:rsidRPr="00E13CE5" w:rsidRDefault="00FD0545" w:rsidP="00026782">
            <w:pPr>
              <w:tabs>
                <w:tab w:val="left" w:pos="9781"/>
              </w:tabs>
              <w:ind w:right="-144"/>
              <w:jc w:val="both"/>
              <w:rPr>
                <w:b/>
                <w:sz w:val="22"/>
                <w:szCs w:val="22"/>
              </w:rPr>
            </w:pPr>
            <w:r w:rsidRPr="00E13CE5">
              <w:rPr>
                <w:b/>
                <w:sz w:val="22"/>
                <w:szCs w:val="22"/>
              </w:rPr>
              <w:t>4.</w:t>
            </w:r>
          </w:p>
        </w:tc>
        <w:tc>
          <w:tcPr>
            <w:tcW w:w="2857" w:type="dxa"/>
          </w:tcPr>
          <w:p w14:paraId="1E207BFF" w14:textId="77777777" w:rsidR="00FD0545" w:rsidRPr="00E13CE5" w:rsidRDefault="00FD0545" w:rsidP="00026782">
            <w:pPr>
              <w:tabs>
                <w:tab w:val="left" w:pos="9781"/>
              </w:tabs>
              <w:ind w:right="-144"/>
              <w:jc w:val="both"/>
              <w:rPr>
                <w:b/>
                <w:sz w:val="22"/>
                <w:szCs w:val="22"/>
              </w:rPr>
            </w:pPr>
            <w:r w:rsidRPr="00E13CE5">
              <w:rPr>
                <w:b/>
                <w:sz w:val="22"/>
                <w:szCs w:val="22"/>
              </w:rPr>
              <w:t>Címe:</w:t>
            </w:r>
          </w:p>
        </w:tc>
        <w:tc>
          <w:tcPr>
            <w:tcW w:w="5913" w:type="dxa"/>
          </w:tcPr>
          <w:p w14:paraId="5F419810" w14:textId="77777777" w:rsidR="00FD0545" w:rsidRPr="00E13CE5" w:rsidRDefault="00FD0545" w:rsidP="00026782">
            <w:pPr>
              <w:tabs>
                <w:tab w:val="left" w:pos="9781"/>
              </w:tabs>
              <w:ind w:right="-144"/>
              <w:jc w:val="both"/>
              <w:rPr>
                <w:sz w:val="22"/>
                <w:szCs w:val="22"/>
              </w:rPr>
            </w:pPr>
          </w:p>
        </w:tc>
      </w:tr>
      <w:tr w:rsidR="00FD0545" w:rsidRPr="00E13CE5" w14:paraId="20ECC20E" w14:textId="77777777" w:rsidTr="00026782">
        <w:tc>
          <w:tcPr>
            <w:tcW w:w="516" w:type="dxa"/>
          </w:tcPr>
          <w:p w14:paraId="5429632C" w14:textId="77777777" w:rsidR="00FD0545" w:rsidRPr="00E13CE5" w:rsidRDefault="00FD0545" w:rsidP="00026782">
            <w:pPr>
              <w:tabs>
                <w:tab w:val="left" w:pos="9781"/>
              </w:tabs>
              <w:ind w:right="-144"/>
              <w:jc w:val="both"/>
              <w:rPr>
                <w:b/>
                <w:sz w:val="22"/>
                <w:szCs w:val="22"/>
              </w:rPr>
            </w:pPr>
            <w:r w:rsidRPr="00E13CE5">
              <w:rPr>
                <w:b/>
                <w:sz w:val="22"/>
                <w:szCs w:val="22"/>
              </w:rPr>
              <w:t>5.</w:t>
            </w:r>
          </w:p>
        </w:tc>
        <w:tc>
          <w:tcPr>
            <w:tcW w:w="2857" w:type="dxa"/>
          </w:tcPr>
          <w:p w14:paraId="52CE7E67" w14:textId="77777777" w:rsidR="00FD0545" w:rsidRPr="00E13CE5" w:rsidRDefault="00FD0545" w:rsidP="00026782">
            <w:pPr>
              <w:tabs>
                <w:tab w:val="left" w:pos="9781"/>
              </w:tabs>
              <w:ind w:right="-144"/>
              <w:jc w:val="both"/>
              <w:rPr>
                <w:b/>
                <w:sz w:val="22"/>
                <w:szCs w:val="22"/>
              </w:rPr>
            </w:pPr>
            <w:r w:rsidRPr="00E13CE5">
              <w:rPr>
                <w:b/>
                <w:sz w:val="22"/>
                <w:szCs w:val="22"/>
              </w:rPr>
              <w:t>Telefonszáma:</w:t>
            </w:r>
          </w:p>
        </w:tc>
        <w:tc>
          <w:tcPr>
            <w:tcW w:w="5913" w:type="dxa"/>
          </w:tcPr>
          <w:p w14:paraId="56D41314" w14:textId="77777777" w:rsidR="00FD0545" w:rsidRPr="00E13CE5" w:rsidRDefault="00FD0545" w:rsidP="00026782">
            <w:pPr>
              <w:tabs>
                <w:tab w:val="left" w:pos="9781"/>
              </w:tabs>
              <w:ind w:right="-144"/>
              <w:jc w:val="both"/>
              <w:rPr>
                <w:sz w:val="22"/>
                <w:szCs w:val="22"/>
              </w:rPr>
            </w:pPr>
          </w:p>
        </w:tc>
      </w:tr>
      <w:tr w:rsidR="00FD0545" w:rsidRPr="00E13CE5" w14:paraId="07D7123C" w14:textId="77777777" w:rsidTr="00026782">
        <w:tc>
          <w:tcPr>
            <w:tcW w:w="9286" w:type="dxa"/>
            <w:gridSpan w:val="3"/>
          </w:tcPr>
          <w:p w14:paraId="35DD5A1E" w14:textId="77777777" w:rsidR="00FD0545" w:rsidRPr="00E13CE5" w:rsidRDefault="00FD0545" w:rsidP="00026782">
            <w:pPr>
              <w:tabs>
                <w:tab w:val="left" w:pos="9781"/>
              </w:tabs>
              <w:ind w:right="-144"/>
              <w:jc w:val="center"/>
              <w:rPr>
                <w:b/>
                <w:sz w:val="22"/>
                <w:szCs w:val="22"/>
              </w:rPr>
            </w:pPr>
            <w:r w:rsidRPr="00E13CE5">
              <w:rPr>
                <w:b/>
                <w:sz w:val="22"/>
                <w:szCs w:val="22"/>
              </w:rPr>
              <w:t>Munkahelyre vonatkozó adatok</w:t>
            </w:r>
          </w:p>
        </w:tc>
      </w:tr>
      <w:tr w:rsidR="00FD0545" w:rsidRPr="00E13CE5" w14:paraId="112A3EE7" w14:textId="77777777" w:rsidTr="00026782">
        <w:tc>
          <w:tcPr>
            <w:tcW w:w="516" w:type="dxa"/>
          </w:tcPr>
          <w:p w14:paraId="60E33966" w14:textId="77777777" w:rsidR="00FD0545" w:rsidRPr="00E13CE5" w:rsidRDefault="00FD0545" w:rsidP="00026782">
            <w:pPr>
              <w:tabs>
                <w:tab w:val="left" w:pos="9781"/>
              </w:tabs>
              <w:ind w:right="-144"/>
              <w:jc w:val="both"/>
              <w:rPr>
                <w:b/>
                <w:sz w:val="22"/>
                <w:szCs w:val="22"/>
              </w:rPr>
            </w:pPr>
            <w:r w:rsidRPr="00E13CE5">
              <w:rPr>
                <w:b/>
                <w:sz w:val="22"/>
                <w:szCs w:val="22"/>
              </w:rPr>
              <w:t>6.</w:t>
            </w:r>
          </w:p>
        </w:tc>
        <w:tc>
          <w:tcPr>
            <w:tcW w:w="2857" w:type="dxa"/>
          </w:tcPr>
          <w:p w14:paraId="081DE157" w14:textId="77777777" w:rsidR="00FD0545" w:rsidRPr="00E13CE5" w:rsidRDefault="00FD0545" w:rsidP="00026782">
            <w:pPr>
              <w:tabs>
                <w:tab w:val="left" w:pos="9781"/>
              </w:tabs>
              <w:ind w:right="-144"/>
              <w:jc w:val="both"/>
              <w:rPr>
                <w:b/>
                <w:sz w:val="22"/>
                <w:szCs w:val="22"/>
              </w:rPr>
            </w:pPr>
            <w:r w:rsidRPr="00E13CE5">
              <w:rPr>
                <w:b/>
                <w:sz w:val="22"/>
                <w:szCs w:val="22"/>
              </w:rPr>
              <w:t>Munkahelye:</w:t>
            </w:r>
          </w:p>
        </w:tc>
        <w:tc>
          <w:tcPr>
            <w:tcW w:w="5913" w:type="dxa"/>
          </w:tcPr>
          <w:p w14:paraId="7D5A6D91" w14:textId="77777777" w:rsidR="00FD0545" w:rsidRPr="00E13CE5" w:rsidRDefault="00FD0545" w:rsidP="00026782">
            <w:pPr>
              <w:tabs>
                <w:tab w:val="left" w:pos="9781"/>
              </w:tabs>
              <w:ind w:right="-144"/>
              <w:jc w:val="both"/>
              <w:rPr>
                <w:sz w:val="22"/>
                <w:szCs w:val="22"/>
              </w:rPr>
            </w:pPr>
          </w:p>
        </w:tc>
      </w:tr>
      <w:tr w:rsidR="00FD0545" w:rsidRPr="00E13CE5" w14:paraId="73A31158" w14:textId="77777777" w:rsidTr="00026782">
        <w:tc>
          <w:tcPr>
            <w:tcW w:w="516" w:type="dxa"/>
          </w:tcPr>
          <w:p w14:paraId="1CBBD4B3" w14:textId="77777777" w:rsidR="00FD0545" w:rsidRPr="00E13CE5" w:rsidRDefault="00FD0545" w:rsidP="00026782">
            <w:pPr>
              <w:tabs>
                <w:tab w:val="left" w:pos="9781"/>
              </w:tabs>
              <w:ind w:right="-144"/>
              <w:jc w:val="both"/>
              <w:rPr>
                <w:b/>
                <w:sz w:val="22"/>
                <w:szCs w:val="22"/>
              </w:rPr>
            </w:pPr>
            <w:r w:rsidRPr="00E13CE5">
              <w:rPr>
                <w:b/>
                <w:sz w:val="22"/>
                <w:szCs w:val="22"/>
              </w:rPr>
              <w:t>7.</w:t>
            </w:r>
          </w:p>
        </w:tc>
        <w:tc>
          <w:tcPr>
            <w:tcW w:w="2857" w:type="dxa"/>
          </w:tcPr>
          <w:p w14:paraId="6CDB9404" w14:textId="77777777" w:rsidR="00FD0545" w:rsidRPr="00E13CE5" w:rsidRDefault="00FD0545" w:rsidP="00026782">
            <w:pPr>
              <w:tabs>
                <w:tab w:val="left" w:pos="9781"/>
              </w:tabs>
              <w:ind w:right="-144"/>
              <w:jc w:val="both"/>
              <w:rPr>
                <w:b/>
                <w:sz w:val="22"/>
                <w:szCs w:val="22"/>
              </w:rPr>
            </w:pPr>
            <w:r w:rsidRPr="00E13CE5">
              <w:rPr>
                <w:b/>
                <w:sz w:val="22"/>
                <w:szCs w:val="22"/>
              </w:rPr>
              <w:t>Címe:</w:t>
            </w:r>
          </w:p>
        </w:tc>
        <w:tc>
          <w:tcPr>
            <w:tcW w:w="5913" w:type="dxa"/>
          </w:tcPr>
          <w:p w14:paraId="3ECA581C" w14:textId="77777777" w:rsidR="00FD0545" w:rsidRPr="00E13CE5" w:rsidRDefault="00FD0545" w:rsidP="00026782">
            <w:pPr>
              <w:tabs>
                <w:tab w:val="left" w:pos="9781"/>
              </w:tabs>
              <w:ind w:right="-144"/>
              <w:jc w:val="both"/>
              <w:rPr>
                <w:sz w:val="22"/>
                <w:szCs w:val="22"/>
              </w:rPr>
            </w:pPr>
          </w:p>
        </w:tc>
      </w:tr>
      <w:tr w:rsidR="00FD0545" w:rsidRPr="00E13CE5" w14:paraId="04BD89D5" w14:textId="77777777" w:rsidTr="00026782">
        <w:tc>
          <w:tcPr>
            <w:tcW w:w="516" w:type="dxa"/>
          </w:tcPr>
          <w:p w14:paraId="51DD61BE" w14:textId="77777777" w:rsidR="00FD0545" w:rsidRPr="00E13CE5" w:rsidRDefault="00FD0545" w:rsidP="00026782">
            <w:pPr>
              <w:tabs>
                <w:tab w:val="left" w:pos="9781"/>
              </w:tabs>
              <w:ind w:right="-144"/>
              <w:jc w:val="both"/>
              <w:rPr>
                <w:b/>
                <w:sz w:val="22"/>
                <w:szCs w:val="22"/>
              </w:rPr>
            </w:pPr>
            <w:r w:rsidRPr="00E13CE5">
              <w:rPr>
                <w:b/>
                <w:sz w:val="22"/>
                <w:szCs w:val="22"/>
              </w:rPr>
              <w:t>8.</w:t>
            </w:r>
          </w:p>
        </w:tc>
        <w:tc>
          <w:tcPr>
            <w:tcW w:w="2857" w:type="dxa"/>
          </w:tcPr>
          <w:p w14:paraId="34FB8AC5" w14:textId="77777777" w:rsidR="00FD0545" w:rsidRPr="00E13CE5" w:rsidRDefault="00FD0545" w:rsidP="00026782">
            <w:pPr>
              <w:tabs>
                <w:tab w:val="left" w:pos="9781"/>
              </w:tabs>
              <w:ind w:right="-144"/>
              <w:jc w:val="both"/>
              <w:rPr>
                <w:b/>
                <w:sz w:val="22"/>
                <w:szCs w:val="22"/>
              </w:rPr>
            </w:pPr>
            <w:r w:rsidRPr="00E13CE5">
              <w:rPr>
                <w:b/>
                <w:sz w:val="22"/>
                <w:szCs w:val="22"/>
              </w:rPr>
              <w:t>Telefonszáma:</w:t>
            </w:r>
          </w:p>
        </w:tc>
        <w:tc>
          <w:tcPr>
            <w:tcW w:w="5913" w:type="dxa"/>
          </w:tcPr>
          <w:p w14:paraId="31076BC1" w14:textId="77777777" w:rsidR="00FD0545" w:rsidRPr="00E13CE5" w:rsidRDefault="00FD0545" w:rsidP="00026782">
            <w:pPr>
              <w:tabs>
                <w:tab w:val="left" w:pos="9781"/>
              </w:tabs>
              <w:ind w:right="-144"/>
              <w:jc w:val="both"/>
              <w:rPr>
                <w:sz w:val="22"/>
                <w:szCs w:val="22"/>
              </w:rPr>
            </w:pPr>
          </w:p>
        </w:tc>
      </w:tr>
      <w:tr w:rsidR="00FD0545" w:rsidRPr="00E13CE5" w14:paraId="65987A45" w14:textId="77777777" w:rsidTr="00026782">
        <w:tc>
          <w:tcPr>
            <w:tcW w:w="516" w:type="dxa"/>
          </w:tcPr>
          <w:p w14:paraId="765D6520" w14:textId="77777777" w:rsidR="00FD0545" w:rsidRPr="00E13CE5" w:rsidRDefault="00FD0545" w:rsidP="00026782">
            <w:pPr>
              <w:tabs>
                <w:tab w:val="left" w:pos="9781"/>
              </w:tabs>
              <w:ind w:right="-144"/>
              <w:jc w:val="both"/>
              <w:rPr>
                <w:b/>
                <w:sz w:val="22"/>
                <w:szCs w:val="22"/>
              </w:rPr>
            </w:pPr>
            <w:r w:rsidRPr="00E13CE5">
              <w:rPr>
                <w:b/>
                <w:sz w:val="22"/>
                <w:szCs w:val="22"/>
              </w:rPr>
              <w:t>9.</w:t>
            </w:r>
          </w:p>
        </w:tc>
        <w:tc>
          <w:tcPr>
            <w:tcW w:w="2857" w:type="dxa"/>
          </w:tcPr>
          <w:p w14:paraId="77FD7807" w14:textId="77777777" w:rsidR="00FD0545" w:rsidRPr="00E13CE5" w:rsidRDefault="00FD0545" w:rsidP="00026782">
            <w:pPr>
              <w:tabs>
                <w:tab w:val="left" w:pos="9781"/>
              </w:tabs>
              <w:ind w:right="-144"/>
              <w:jc w:val="both"/>
              <w:rPr>
                <w:b/>
                <w:sz w:val="22"/>
                <w:szCs w:val="22"/>
              </w:rPr>
            </w:pPr>
            <w:r w:rsidRPr="00E13CE5">
              <w:rPr>
                <w:b/>
                <w:sz w:val="22"/>
                <w:szCs w:val="22"/>
              </w:rPr>
              <w:t>Beosztása:</w:t>
            </w:r>
          </w:p>
        </w:tc>
        <w:tc>
          <w:tcPr>
            <w:tcW w:w="5913" w:type="dxa"/>
          </w:tcPr>
          <w:p w14:paraId="51F2AB0A" w14:textId="77777777" w:rsidR="00FD0545" w:rsidRPr="00E13CE5" w:rsidRDefault="00FD0545" w:rsidP="00026782">
            <w:pPr>
              <w:tabs>
                <w:tab w:val="left" w:pos="9781"/>
              </w:tabs>
              <w:ind w:right="-144"/>
              <w:jc w:val="both"/>
              <w:rPr>
                <w:sz w:val="22"/>
                <w:szCs w:val="22"/>
              </w:rPr>
            </w:pPr>
          </w:p>
        </w:tc>
      </w:tr>
      <w:tr w:rsidR="00FD0545" w:rsidRPr="00E13CE5" w14:paraId="2CFB8957" w14:textId="77777777" w:rsidTr="00026782">
        <w:tc>
          <w:tcPr>
            <w:tcW w:w="516" w:type="dxa"/>
          </w:tcPr>
          <w:p w14:paraId="25978887" w14:textId="77777777" w:rsidR="00FD0545" w:rsidRPr="00E13CE5" w:rsidRDefault="00FD0545" w:rsidP="00026782">
            <w:pPr>
              <w:tabs>
                <w:tab w:val="left" w:pos="9781"/>
              </w:tabs>
              <w:ind w:right="-144"/>
              <w:jc w:val="both"/>
              <w:rPr>
                <w:b/>
                <w:sz w:val="22"/>
                <w:szCs w:val="22"/>
              </w:rPr>
            </w:pPr>
            <w:r w:rsidRPr="00E13CE5">
              <w:rPr>
                <w:b/>
                <w:sz w:val="22"/>
                <w:szCs w:val="22"/>
              </w:rPr>
              <w:t>10.</w:t>
            </w:r>
          </w:p>
        </w:tc>
        <w:tc>
          <w:tcPr>
            <w:tcW w:w="2857" w:type="dxa"/>
          </w:tcPr>
          <w:p w14:paraId="415D6641" w14:textId="77777777" w:rsidR="00FD0545" w:rsidRPr="00E13CE5" w:rsidRDefault="00FD0545" w:rsidP="00026782">
            <w:pPr>
              <w:tabs>
                <w:tab w:val="left" w:pos="9781"/>
              </w:tabs>
              <w:ind w:right="-144"/>
              <w:jc w:val="both"/>
              <w:rPr>
                <w:b/>
                <w:sz w:val="22"/>
                <w:szCs w:val="22"/>
              </w:rPr>
            </w:pPr>
            <w:r w:rsidRPr="00E13CE5">
              <w:rPr>
                <w:b/>
                <w:sz w:val="22"/>
                <w:szCs w:val="22"/>
              </w:rPr>
              <w:t>Tudományos fokozata:</w:t>
            </w:r>
          </w:p>
        </w:tc>
        <w:tc>
          <w:tcPr>
            <w:tcW w:w="5913" w:type="dxa"/>
          </w:tcPr>
          <w:p w14:paraId="3728A2D5" w14:textId="77777777" w:rsidR="00FD0545" w:rsidRPr="00E13CE5" w:rsidRDefault="00FD0545" w:rsidP="00026782">
            <w:pPr>
              <w:tabs>
                <w:tab w:val="left" w:pos="9781"/>
              </w:tabs>
              <w:ind w:right="-144"/>
              <w:jc w:val="both"/>
              <w:rPr>
                <w:sz w:val="22"/>
                <w:szCs w:val="22"/>
              </w:rPr>
            </w:pPr>
          </w:p>
        </w:tc>
      </w:tr>
      <w:tr w:rsidR="00FD0545" w:rsidRPr="00E13CE5" w14:paraId="4A5B2BAB" w14:textId="77777777" w:rsidTr="00026782">
        <w:tc>
          <w:tcPr>
            <w:tcW w:w="516" w:type="dxa"/>
          </w:tcPr>
          <w:p w14:paraId="48D09EC7" w14:textId="77777777" w:rsidR="00FD0545" w:rsidRPr="00E13CE5" w:rsidRDefault="00FD0545" w:rsidP="00026782">
            <w:pPr>
              <w:tabs>
                <w:tab w:val="left" w:pos="9781"/>
              </w:tabs>
              <w:ind w:right="-144"/>
              <w:jc w:val="both"/>
              <w:rPr>
                <w:b/>
                <w:sz w:val="22"/>
                <w:szCs w:val="22"/>
              </w:rPr>
            </w:pPr>
            <w:r w:rsidRPr="00E13CE5">
              <w:rPr>
                <w:b/>
                <w:sz w:val="22"/>
                <w:szCs w:val="22"/>
              </w:rPr>
              <w:t>11.</w:t>
            </w:r>
          </w:p>
        </w:tc>
        <w:tc>
          <w:tcPr>
            <w:tcW w:w="2857" w:type="dxa"/>
          </w:tcPr>
          <w:p w14:paraId="06681FC6" w14:textId="77777777" w:rsidR="00FD0545" w:rsidRPr="00E13CE5" w:rsidRDefault="00FD0545" w:rsidP="00026782">
            <w:pPr>
              <w:tabs>
                <w:tab w:val="left" w:pos="9781"/>
              </w:tabs>
              <w:ind w:right="-144"/>
              <w:jc w:val="both"/>
              <w:rPr>
                <w:b/>
                <w:sz w:val="22"/>
                <w:szCs w:val="22"/>
              </w:rPr>
            </w:pPr>
            <w:r w:rsidRPr="00E13CE5">
              <w:rPr>
                <w:b/>
                <w:sz w:val="22"/>
                <w:szCs w:val="22"/>
              </w:rPr>
              <w:t>Fizetési osztálya:</w:t>
            </w:r>
          </w:p>
        </w:tc>
        <w:tc>
          <w:tcPr>
            <w:tcW w:w="5913" w:type="dxa"/>
          </w:tcPr>
          <w:p w14:paraId="63979C7C" w14:textId="77777777" w:rsidR="00FD0545" w:rsidRPr="00E13CE5" w:rsidRDefault="00FD0545" w:rsidP="00026782">
            <w:pPr>
              <w:tabs>
                <w:tab w:val="left" w:pos="9781"/>
              </w:tabs>
              <w:ind w:right="-144"/>
              <w:jc w:val="both"/>
              <w:rPr>
                <w:sz w:val="22"/>
                <w:szCs w:val="22"/>
              </w:rPr>
            </w:pPr>
          </w:p>
        </w:tc>
      </w:tr>
      <w:tr w:rsidR="00FD0545" w:rsidRPr="00E13CE5" w14:paraId="5F2309AD" w14:textId="77777777" w:rsidTr="00026782">
        <w:tc>
          <w:tcPr>
            <w:tcW w:w="516" w:type="dxa"/>
          </w:tcPr>
          <w:p w14:paraId="26A72B2B" w14:textId="77777777" w:rsidR="00FD0545" w:rsidRPr="00E13CE5" w:rsidRDefault="00FD0545" w:rsidP="00026782">
            <w:pPr>
              <w:tabs>
                <w:tab w:val="left" w:pos="9781"/>
              </w:tabs>
              <w:ind w:right="-144"/>
              <w:jc w:val="both"/>
              <w:rPr>
                <w:b/>
                <w:sz w:val="22"/>
                <w:szCs w:val="22"/>
              </w:rPr>
            </w:pPr>
            <w:r w:rsidRPr="00E13CE5">
              <w:rPr>
                <w:b/>
                <w:sz w:val="22"/>
                <w:szCs w:val="22"/>
              </w:rPr>
              <w:t>12.</w:t>
            </w:r>
          </w:p>
        </w:tc>
        <w:tc>
          <w:tcPr>
            <w:tcW w:w="2857" w:type="dxa"/>
          </w:tcPr>
          <w:p w14:paraId="762FE79C" w14:textId="77777777" w:rsidR="00FD0545" w:rsidRPr="00E13CE5" w:rsidRDefault="00FD0545" w:rsidP="00026782">
            <w:pPr>
              <w:tabs>
                <w:tab w:val="left" w:pos="9781"/>
              </w:tabs>
              <w:ind w:right="-144"/>
              <w:jc w:val="both"/>
              <w:rPr>
                <w:b/>
                <w:sz w:val="22"/>
                <w:szCs w:val="22"/>
              </w:rPr>
            </w:pPr>
            <w:r w:rsidRPr="00E13CE5">
              <w:rPr>
                <w:b/>
                <w:sz w:val="22"/>
                <w:szCs w:val="22"/>
              </w:rPr>
              <w:t>Közalkalmazotti jogviszonyának kezdete:</w:t>
            </w:r>
          </w:p>
        </w:tc>
        <w:tc>
          <w:tcPr>
            <w:tcW w:w="5913" w:type="dxa"/>
          </w:tcPr>
          <w:p w14:paraId="26D54775" w14:textId="77777777" w:rsidR="00FD0545" w:rsidRPr="00E13CE5" w:rsidRDefault="00FD0545" w:rsidP="00026782">
            <w:pPr>
              <w:tabs>
                <w:tab w:val="left" w:pos="9781"/>
              </w:tabs>
              <w:ind w:right="-144"/>
              <w:jc w:val="both"/>
              <w:rPr>
                <w:sz w:val="22"/>
                <w:szCs w:val="22"/>
              </w:rPr>
            </w:pPr>
          </w:p>
        </w:tc>
      </w:tr>
      <w:tr w:rsidR="00FD0545" w:rsidRPr="00E13CE5" w14:paraId="02A83B04" w14:textId="77777777" w:rsidTr="00026782">
        <w:tc>
          <w:tcPr>
            <w:tcW w:w="9286" w:type="dxa"/>
            <w:gridSpan w:val="3"/>
          </w:tcPr>
          <w:p w14:paraId="5E371833" w14:textId="77777777" w:rsidR="00FD0545" w:rsidRPr="00E13CE5" w:rsidRDefault="00FD0545" w:rsidP="00026782">
            <w:pPr>
              <w:tabs>
                <w:tab w:val="left" w:pos="9781"/>
              </w:tabs>
              <w:ind w:right="-144"/>
              <w:jc w:val="center"/>
              <w:rPr>
                <w:b/>
                <w:sz w:val="22"/>
                <w:szCs w:val="22"/>
              </w:rPr>
            </w:pPr>
            <w:r w:rsidRPr="00E13CE5">
              <w:rPr>
                <w:b/>
                <w:sz w:val="22"/>
                <w:szCs w:val="22"/>
              </w:rPr>
              <w:t>Javasolt címre vonatkozó adatok</w:t>
            </w:r>
          </w:p>
        </w:tc>
      </w:tr>
      <w:tr w:rsidR="00FD0545" w:rsidRPr="00E13CE5" w14:paraId="62AEC89A" w14:textId="77777777" w:rsidTr="00026782">
        <w:tc>
          <w:tcPr>
            <w:tcW w:w="516" w:type="dxa"/>
          </w:tcPr>
          <w:p w14:paraId="0AECBDCE" w14:textId="77777777" w:rsidR="00FD0545" w:rsidRPr="00E13CE5" w:rsidRDefault="00FD0545" w:rsidP="00026782">
            <w:pPr>
              <w:tabs>
                <w:tab w:val="left" w:pos="9781"/>
              </w:tabs>
              <w:ind w:right="-144"/>
              <w:jc w:val="both"/>
              <w:rPr>
                <w:b/>
                <w:sz w:val="22"/>
                <w:szCs w:val="22"/>
              </w:rPr>
            </w:pPr>
            <w:r w:rsidRPr="00E13CE5">
              <w:rPr>
                <w:b/>
                <w:sz w:val="22"/>
                <w:szCs w:val="22"/>
              </w:rPr>
              <w:t>13.</w:t>
            </w:r>
          </w:p>
        </w:tc>
        <w:tc>
          <w:tcPr>
            <w:tcW w:w="2857" w:type="dxa"/>
          </w:tcPr>
          <w:p w14:paraId="373A47E7" w14:textId="77777777" w:rsidR="00FD0545" w:rsidRPr="00E13CE5" w:rsidRDefault="00FD0545" w:rsidP="00026782">
            <w:pPr>
              <w:tabs>
                <w:tab w:val="left" w:pos="9781"/>
              </w:tabs>
              <w:ind w:right="-144"/>
              <w:rPr>
                <w:b/>
                <w:sz w:val="22"/>
                <w:szCs w:val="22"/>
              </w:rPr>
            </w:pPr>
            <w:r w:rsidRPr="00E13CE5">
              <w:rPr>
                <w:b/>
                <w:sz w:val="22"/>
                <w:szCs w:val="22"/>
              </w:rPr>
              <w:t>Javasolt cím (</w:t>
            </w:r>
            <w:proofErr w:type="spellStart"/>
            <w:r w:rsidRPr="00E13CE5">
              <w:rPr>
                <w:b/>
                <w:sz w:val="22"/>
                <w:szCs w:val="22"/>
              </w:rPr>
              <w:t>munkatárs</w:t>
            </w:r>
            <w:proofErr w:type="gramStart"/>
            <w:r w:rsidRPr="00E13CE5">
              <w:rPr>
                <w:b/>
                <w:sz w:val="22"/>
                <w:szCs w:val="22"/>
              </w:rPr>
              <w:t>,főmunkatárs</w:t>
            </w:r>
            <w:proofErr w:type="spellEnd"/>
            <w:proofErr w:type="gramEnd"/>
            <w:r w:rsidRPr="00E13CE5">
              <w:rPr>
                <w:b/>
                <w:sz w:val="22"/>
                <w:szCs w:val="22"/>
              </w:rPr>
              <w:t>, tanácsos, főtanácsos):</w:t>
            </w:r>
          </w:p>
        </w:tc>
        <w:tc>
          <w:tcPr>
            <w:tcW w:w="5913" w:type="dxa"/>
          </w:tcPr>
          <w:p w14:paraId="51E53F00" w14:textId="77777777" w:rsidR="00FD0545" w:rsidRPr="00E13CE5" w:rsidRDefault="00FD0545" w:rsidP="00026782">
            <w:pPr>
              <w:tabs>
                <w:tab w:val="left" w:pos="9781"/>
              </w:tabs>
              <w:ind w:right="-144"/>
              <w:jc w:val="both"/>
              <w:rPr>
                <w:sz w:val="22"/>
                <w:szCs w:val="22"/>
              </w:rPr>
            </w:pPr>
          </w:p>
        </w:tc>
      </w:tr>
      <w:tr w:rsidR="00FD0545" w:rsidRPr="00E13CE5" w14:paraId="0B097D85" w14:textId="77777777" w:rsidTr="00026782">
        <w:tc>
          <w:tcPr>
            <w:tcW w:w="9286" w:type="dxa"/>
            <w:gridSpan w:val="3"/>
          </w:tcPr>
          <w:p w14:paraId="6652A179" w14:textId="77777777" w:rsidR="00FD0545" w:rsidRPr="00E13CE5" w:rsidRDefault="00FD0545" w:rsidP="00026782">
            <w:pPr>
              <w:tabs>
                <w:tab w:val="left" w:pos="9781"/>
              </w:tabs>
              <w:ind w:right="-144"/>
              <w:jc w:val="center"/>
              <w:rPr>
                <w:b/>
                <w:sz w:val="22"/>
                <w:szCs w:val="22"/>
              </w:rPr>
            </w:pPr>
            <w:r w:rsidRPr="00E13CE5">
              <w:rPr>
                <w:b/>
                <w:sz w:val="22"/>
                <w:szCs w:val="22"/>
              </w:rPr>
              <w:t>II. Indokolás</w:t>
            </w:r>
          </w:p>
        </w:tc>
      </w:tr>
      <w:tr w:rsidR="00FD0545" w:rsidRPr="00E13CE5" w14:paraId="13F261E6" w14:textId="77777777" w:rsidTr="00026782">
        <w:tc>
          <w:tcPr>
            <w:tcW w:w="516" w:type="dxa"/>
          </w:tcPr>
          <w:p w14:paraId="062113A3" w14:textId="77777777" w:rsidR="00FD0545" w:rsidRPr="00E13CE5" w:rsidRDefault="00FD0545" w:rsidP="00026782">
            <w:pPr>
              <w:tabs>
                <w:tab w:val="left" w:pos="9781"/>
              </w:tabs>
              <w:ind w:right="-144"/>
              <w:jc w:val="both"/>
              <w:rPr>
                <w:b/>
                <w:sz w:val="22"/>
                <w:szCs w:val="22"/>
              </w:rPr>
            </w:pPr>
            <w:r w:rsidRPr="00E13CE5">
              <w:rPr>
                <w:b/>
                <w:sz w:val="22"/>
                <w:szCs w:val="22"/>
              </w:rPr>
              <w:t>14.</w:t>
            </w:r>
          </w:p>
        </w:tc>
        <w:tc>
          <w:tcPr>
            <w:tcW w:w="2857" w:type="dxa"/>
          </w:tcPr>
          <w:p w14:paraId="3DFB1028" w14:textId="77777777" w:rsidR="00FD0545" w:rsidRPr="00E13CE5" w:rsidRDefault="00FD0545" w:rsidP="00026782">
            <w:pPr>
              <w:tabs>
                <w:tab w:val="left" w:pos="9781"/>
              </w:tabs>
              <w:ind w:right="-144"/>
              <w:rPr>
                <w:b/>
                <w:sz w:val="22"/>
                <w:szCs w:val="22"/>
              </w:rPr>
            </w:pPr>
            <w:r w:rsidRPr="00E13CE5">
              <w:rPr>
                <w:b/>
                <w:sz w:val="22"/>
                <w:szCs w:val="22"/>
              </w:rPr>
              <w:t>A cím adományozásának indokolása:</w:t>
            </w:r>
          </w:p>
          <w:p w14:paraId="63A7B45B" w14:textId="77777777" w:rsidR="00FD0545" w:rsidRPr="00E13CE5" w:rsidRDefault="00FD0545" w:rsidP="00026782">
            <w:pPr>
              <w:tabs>
                <w:tab w:val="left" w:pos="9781"/>
              </w:tabs>
              <w:ind w:right="-144"/>
              <w:rPr>
                <w:b/>
                <w:sz w:val="22"/>
                <w:szCs w:val="22"/>
              </w:rPr>
            </w:pPr>
          </w:p>
          <w:p w14:paraId="33BF017E" w14:textId="77777777" w:rsidR="00FD0545" w:rsidRPr="00E13CE5" w:rsidRDefault="00FD0545" w:rsidP="00026782">
            <w:pPr>
              <w:tabs>
                <w:tab w:val="left" w:pos="9781"/>
              </w:tabs>
              <w:ind w:right="-144"/>
              <w:rPr>
                <w:b/>
                <w:sz w:val="22"/>
                <w:szCs w:val="22"/>
              </w:rPr>
            </w:pPr>
          </w:p>
          <w:p w14:paraId="41A910F8" w14:textId="77777777" w:rsidR="00FD0545" w:rsidRPr="00E13CE5" w:rsidRDefault="00FD0545" w:rsidP="00026782">
            <w:pPr>
              <w:tabs>
                <w:tab w:val="left" w:pos="9781"/>
              </w:tabs>
              <w:ind w:right="-144"/>
              <w:rPr>
                <w:b/>
                <w:sz w:val="22"/>
                <w:szCs w:val="22"/>
              </w:rPr>
            </w:pPr>
          </w:p>
          <w:p w14:paraId="0DFCDDE7" w14:textId="77777777" w:rsidR="00FD0545" w:rsidRPr="00E13CE5" w:rsidRDefault="00FD0545" w:rsidP="00026782">
            <w:pPr>
              <w:tabs>
                <w:tab w:val="left" w:pos="9781"/>
              </w:tabs>
              <w:ind w:right="-144"/>
              <w:rPr>
                <w:b/>
                <w:sz w:val="22"/>
                <w:szCs w:val="22"/>
              </w:rPr>
            </w:pPr>
          </w:p>
          <w:p w14:paraId="38D9984C" w14:textId="77777777" w:rsidR="00FD0545" w:rsidRPr="00E13CE5" w:rsidRDefault="00FD0545" w:rsidP="00026782">
            <w:pPr>
              <w:tabs>
                <w:tab w:val="left" w:pos="9781"/>
              </w:tabs>
              <w:ind w:right="-144"/>
              <w:rPr>
                <w:b/>
                <w:sz w:val="22"/>
                <w:szCs w:val="22"/>
              </w:rPr>
            </w:pPr>
          </w:p>
          <w:p w14:paraId="0EB469FD" w14:textId="77777777" w:rsidR="00FD0545" w:rsidRPr="00E13CE5" w:rsidRDefault="00FD0545" w:rsidP="00026782">
            <w:pPr>
              <w:tabs>
                <w:tab w:val="left" w:pos="9781"/>
              </w:tabs>
              <w:ind w:right="-144"/>
              <w:rPr>
                <w:b/>
                <w:sz w:val="22"/>
                <w:szCs w:val="22"/>
              </w:rPr>
            </w:pPr>
          </w:p>
        </w:tc>
        <w:tc>
          <w:tcPr>
            <w:tcW w:w="5913" w:type="dxa"/>
          </w:tcPr>
          <w:p w14:paraId="3A52C23D" w14:textId="77777777" w:rsidR="00FD0545" w:rsidRPr="00E13CE5" w:rsidRDefault="00FD0545" w:rsidP="00026782">
            <w:pPr>
              <w:tabs>
                <w:tab w:val="left" w:pos="9781"/>
              </w:tabs>
              <w:ind w:right="-144"/>
              <w:jc w:val="both"/>
              <w:rPr>
                <w:sz w:val="22"/>
                <w:szCs w:val="22"/>
              </w:rPr>
            </w:pPr>
          </w:p>
        </w:tc>
      </w:tr>
      <w:tr w:rsidR="00FD0545" w:rsidRPr="00E13CE5" w14:paraId="76A8BF20" w14:textId="77777777" w:rsidTr="00026782">
        <w:tc>
          <w:tcPr>
            <w:tcW w:w="9286" w:type="dxa"/>
            <w:gridSpan w:val="3"/>
          </w:tcPr>
          <w:p w14:paraId="54A26FD2" w14:textId="77777777" w:rsidR="00FD0545" w:rsidRPr="00E13CE5" w:rsidRDefault="00FD0545" w:rsidP="00026782">
            <w:pPr>
              <w:tabs>
                <w:tab w:val="left" w:pos="9781"/>
              </w:tabs>
              <w:ind w:right="-144"/>
              <w:jc w:val="center"/>
              <w:rPr>
                <w:b/>
                <w:sz w:val="22"/>
                <w:szCs w:val="22"/>
              </w:rPr>
            </w:pPr>
            <w:r w:rsidRPr="00E13CE5">
              <w:rPr>
                <w:b/>
                <w:sz w:val="22"/>
                <w:szCs w:val="22"/>
              </w:rPr>
              <w:t>III. Szervezeti egységre vonatkozó adatok</w:t>
            </w:r>
          </w:p>
        </w:tc>
      </w:tr>
      <w:tr w:rsidR="00FD0545" w:rsidRPr="00E13CE5" w14:paraId="115DBC93" w14:textId="77777777" w:rsidTr="00026782">
        <w:tc>
          <w:tcPr>
            <w:tcW w:w="516" w:type="dxa"/>
          </w:tcPr>
          <w:p w14:paraId="42B927C9" w14:textId="77777777" w:rsidR="00FD0545" w:rsidRPr="00E13CE5" w:rsidRDefault="00FD0545" w:rsidP="00026782">
            <w:pPr>
              <w:tabs>
                <w:tab w:val="left" w:pos="9781"/>
              </w:tabs>
              <w:ind w:right="-144"/>
              <w:jc w:val="both"/>
              <w:rPr>
                <w:b/>
                <w:sz w:val="22"/>
                <w:szCs w:val="22"/>
              </w:rPr>
            </w:pPr>
            <w:r w:rsidRPr="00E13CE5">
              <w:rPr>
                <w:b/>
                <w:sz w:val="22"/>
                <w:szCs w:val="22"/>
              </w:rPr>
              <w:t>15.</w:t>
            </w:r>
          </w:p>
        </w:tc>
        <w:tc>
          <w:tcPr>
            <w:tcW w:w="2857" w:type="dxa"/>
          </w:tcPr>
          <w:p w14:paraId="543818EB" w14:textId="77777777" w:rsidR="00FD0545" w:rsidRPr="00E13CE5" w:rsidRDefault="00FD0545" w:rsidP="00026782">
            <w:pPr>
              <w:tabs>
                <w:tab w:val="left" w:pos="9781"/>
              </w:tabs>
              <w:ind w:right="-144"/>
              <w:rPr>
                <w:b/>
                <w:sz w:val="22"/>
                <w:szCs w:val="22"/>
              </w:rPr>
            </w:pPr>
            <w:r w:rsidRPr="00E13CE5">
              <w:rPr>
                <w:b/>
                <w:sz w:val="22"/>
                <w:szCs w:val="22"/>
              </w:rPr>
              <w:t>A szervezeti egység létszáma:</w:t>
            </w:r>
          </w:p>
        </w:tc>
        <w:tc>
          <w:tcPr>
            <w:tcW w:w="5913" w:type="dxa"/>
          </w:tcPr>
          <w:p w14:paraId="0720D37B" w14:textId="77777777" w:rsidR="00FD0545" w:rsidRPr="00E13CE5" w:rsidRDefault="00FD0545" w:rsidP="00026782">
            <w:pPr>
              <w:tabs>
                <w:tab w:val="left" w:pos="9781"/>
              </w:tabs>
              <w:ind w:right="-144"/>
              <w:jc w:val="both"/>
              <w:rPr>
                <w:sz w:val="22"/>
                <w:szCs w:val="22"/>
              </w:rPr>
            </w:pPr>
          </w:p>
        </w:tc>
      </w:tr>
      <w:tr w:rsidR="00FD0545" w:rsidRPr="00E13CE5" w14:paraId="41E7B22E" w14:textId="77777777" w:rsidTr="00026782">
        <w:tc>
          <w:tcPr>
            <w:tcW w:w="516" w:type="dxa"/>
          </w:tcPr>
          <w:p w14:paraId="5418114B" w14:textId="77777777" w:rsidR="00FD0545" w:rsidRPr="00E13CE5" w:rsidRDefault="00FD0545" w:rsidP="00026782">
            <w:pPr>
              <w:tabs>
                <w:tab w:val="left" w:pos="9781"/>
              </w:tabs>
              <w:ind w:right="-144"/>
              <w:jc w:val="both"/>
              <w:rPr>
                <w:b/>
                <w:sz w:val="22"/>
                <w:szCs w:val="22"/>
              </w:rPr>
            </w:pPr>
            <w:r w:rsidRPr="00E13CE5">
              <w:rPr>
                <w:b/>
                <w:sz w:val="22"/>
                <w:szCs w:val="22"/>
              </w:rPr>
              <w:t>16.</w:t>
            </w:r>
          </w:p>
        </w:tc>
        <w:tc>
          <w:tcPr>
            <w:tcW w:w="2857" w:type="dxa"/>
          </w:tcPr>
          <w:p w14:paraId="3A5C456F" w14:textId="77777777" w:rsidR="00FD0545" w:rsidRPr="00E13CE5" w:rsidRDefault="00FD0545" w:rsidP="00026782">
            <w:pPr>
              <w:tabs>
                <w:tab w:val="left" w:pos="9781"/>
              </w:tabs>
              <w:ind w:right="-144"/>
              <w:rPr>
                <w:b/>
                <w:sz w:val="22"/>
                <w:szCs w:val="22"/>
              </w:rPr>
            </w:pPr>
            <w:r w:rsidRPr="00E13CE5">
              <w:rPr>
                <w:b/>
                <w:sz w:val="22"/>
                <w:szCs w:val="22"/>
              </w:rPr>
              <w:t>A szervezeti egységben foglalkoztatott közalkalmazotti címmel rendelkezők száma:</w:t>
            </w:r>
          </w:p>
        </w:tc>
        <w:tc>
          <w:tcPr>
            <w:tcW w:w="5913" w:type="dxa"/>
          </w:tcPr>
          <w:p w14:paraId="00E08F57" w14:textId="77777777" w:rsidR="00FD0545" w:rsidRPr="00E13CE5" w:rsidRDefault="00FD0545" w:rsidP="00026782">
            <w:pPr>
              <w:tabs>
                <w:tab w:val="left" w:pos="9781"/>
              </w:tabs>
              <w:ind w:right="-144"/>
              <w:jc w:val="both"/>
              <w:rPr>
                <w:sz w:val="22"/>
                <w:szCs w:val="22"/>
              </w:rPr>
            </w:pPr>
          </w:p>
        </w:tc>
      </w:tr>
      <w:tr w:rsidR="00FD0545" w:rsidRPr="00E13CE5" w14:paraId="4D261A43" w14:textId="77777777" w:rsidTr="00026782">
        <w:tc>
          <w:tcPr>
            <w:tcW w:w="516" w:type="dxa"/>
          </w:tcPr>
          <w:p w14:paraId="70AB63AE" w14:textId="77777777" w:rsidR="00FD0545" w:rsidRPr="00E13CE5" w:rsidRDefault="00FD0545" w:rsidP="00026782">
            <w:pPr>
              <w:tabs>
                <w:tab w:val="left" w:pos="9781"/>
              </w:tabs>
              <w:ind w:right="-144"/>
              <w:jc w:val="both"/>
              <w:rPr>
                <w:b/>
                <w:sz w:val="22"/>
                <w:szCs w:val="22"/>
              </w:rPr>
            </w:pPr>
            <w:r w:rsidRPr="00E13CE5">
              <w:rPr>
                <w:b/>
                <w:sz w:val="22"/>
                <w:szCs w:val="22"/>
              </w:rPr>
              <w:t>17.</w:t>
            </w:r>
          </w:p>
        </w:tc>
        <w:tc>
          <w:tcPr>
            <w:tcW w:w="2857" w:type="dxa"/>
          </w:tcPr>
          <w:p w14:paraId="7A1BEEC3" w14:textId="77777777" w:rsidR="00FD0545" w:rsidRPr="00E13CE5" w:rsidRDefault="00FD0545" w:rsidP="00026782">
            <w:pPr>
              <w:tabs>
                <w:tab w:val="left" w:pos="9781"/>
              </w:tabs>
              <w:ind w:right="-144"/>
              <w:rPr>
                <w:b/>
                <w:sz w:val="22"/>
                <w:szCs w:val="22"/>
              </w:rPr>
            </w:pPr>
            <w:r w:rsidRPr="00E13CE5">
              <w:rPr>
                <w:b/>
                <w:sz w:val="22"/>
                <w:szCs w:val="22"/>
              </w:rPr>
              <w:t xml:space="preserve">A szervezeti </w:t>
            </w:r>
            <w:proofErr w:type="gramStart"/>
            <w:r w:rsidRPr="00E13CE5">
              <w:rPr>
                <w:b/>
                <w:sz w:val="22"/>
                <w:szCs w:val="22"/>
              </w:rPr>
              <w:t>egységben tárgyévben</w:t>
            </w:r>
            <w:proofErr w:type="gramEnd"/>
            <w:r w:rsidRPr="00E13CE5">
              <w:rPr>
                <w:b/>
                <w:sz w:val="22"/>
                <w:szCs w:val="22"/>
              </w:rPr>
              <w:t xml:space="preserve"> közalkalmazotti címben részesítettek száma:</w:t>
            </w:r>
          </w:p>
        </w:tc>
        <w:tc>
          <w:tcPr>
            <w:tcW w:w="5913" w:type="dxa"/>
          </w:tcPr>
          <w:p w14:paraId="1CA3A60E" w14:textId="77777777" w:rsidR="00FD0545" w:rsidRPr="00E13CE5" w:rsidRDefault="00FD0545" w:rsidP="00026782">
            <w:pPr>
              <w:tabs>
                <w:tab w:val="left" w:pos="9781"/>
              </w:tabs>
              <w:ind w:right="-144"/>
              <w:jc w:val="both"/>
              <w:rPr>
                <w:sz w:val="22"/>
                <w:szCs w:val="22"/>
              </w:rPr>
            </w:pPr>
          </w:p>
        </w:tc>
      </w:tr>
    </w:tbl>
    <w:p w14:paraId="49CA5880" w14:textId="77777777" w:rsidR="00FD0545" w:rsidRPr="00E13CE5" w:rsidRDefault="00FD0545" w:rsidP="00FD0545">
      <w:pPr>
        <w:tabs>
          <w:tab w:val="left" w:pos="9781"/>
        </w:tabs>
        <w:ind w:right="-144"/>
        <w:jc w:val="both"/>
        <w:rPr>
          <w:sz w:val="22"/>
          <w:szCs w:val="22"/>
        </w:rPr>
      </w:pPr>
    </w:p>
    <w:p w14:paraId="72B2105F" w14:textId="77777777" w:rsidR="00FD0545" w:rsidRPr="00E13CE5" w:rsidRDefault="00FD0545" w:rsidP="00FD0545">
      <w:pPr>
        <w:tabs>
          <w:tab w:val="left" w:pos="9781"/>
        </w:tabs>
        <w:ind w:right="-144"/>
        <w:jc w:val="both"/>
        <w:rPr>
          <w:sz w:val="22"/>
          <w:szCs w:val="22"/>
        </w:rPr>
      </w:pPr>
    </w:p>
    <w:p w14:paraId="342AFF9A" w14:textId="77777777" w:rsidR="00FD0545" w:rsidRPr="00E13CE5" w:rsidRDefault="00FD0545" w:rsidP="00FD0545">
      <w:pPr>
        <w:tabs>
          <w:tab w:val="left" w:pos="9781"/>
        </w:tabs>
        <w:ind w:right="-144"/>
        <w:jc w:val="both"/>
        <w:rPr>
          <w:sz w:val="22"/>
          <w:szCs w:val="22"/>
        </w:rPr>
      </w:pPr>
      <w:r w:rsidRPr="00E13CE5">
        <w:rPr>
          <w:sz w:val="22"/>
          <w:szCs w:val="22"/>
        </w:rPr>
        <w:t>Pécs, 201</w:t>
      </w:r>
      <w:proofErr w:type="gramStart"/>
      <w:r w:rsidRPr="00E13CE5">
        <w:rPr>
          <w:sz w:val="22"/>
          <w:szCs w:val="22"/>
        </w:rPr>
        <w:t>………………………...............</w:t>
      </w:r>
      <w:proofErr w:type="gramEnd"/>
    </w:p>
    <w:p w14:paraId="709C90C8" w14:textId="77777777" w:rsidR="00FD0545" w:rsidRPr="00E13CE5" w:rsidRDefault="00FD0545" w:rsidP="00FD0545">
      <w:pPr>
        <w:tabs>
          <w:tab w:val="left" w:pos="9781"/>
        </w:tabs>
        <w:ind w:right="-144"/>
        <w:jc w:val="both"/>
        <w:rPr>
          <w:sz w:val="22"/>
          <w:szCs w:val="22"/>
        </w:rPr>
      </w:pPr>
    </w:p>
    <w:p w14:paraId="416B40B1" w14:textId="77777777" w:rsidR="00FD0545" w:rsidRPr="00E13CE5" w:rsidRDefault="00FD0545" w:rsidP="00FD0545">
      <w:pPr>
        <w:tabs>
          <w:tab w:val="left" w:pos="9781"/>
        </w:tabs>
        <w:ind w:right="-144"/>
        <w:jc w:val="both"/>
        <w:rPr>
          <w:sz w:val="22"/>
          <w:szCs w:val="22"/>
        </w:rPr>
      </w:pPr>
      <w:r w:rsidRPr="00E13CE5">
        <w:rPr>
          <w:sz w:val="22"/>
          <w:szCs w:val="22"/>
        </w:rPr>
        <w:t xml:space="preserve">                                                                                                                                        </w:t>
      </w:r>
      <w:proofErr w:type="gramStart"/>
      <w:r w:rsidRPr="00E13CE5">
        <w:rPr>
          <w:sz w:val="22"/>
          <w:szCs w:val="22"/>
        </w:rPr>
        <w:t>felterjesztő</w:t>
      </w:r>
      <w:proofErr w:type="gramEnd"/>
    </w:p>
    <w:p w14:paraId="4A9D9FD7" w14:textId="77777777" w:rsidR="00FD0545" w:rsidRPr="00E13CE5" w:rsidRDefault="00FD0545" w:rsidP="00FD0545">
      <w:pPr>
        <w:tabs>
          <w:tab w:val="left" w:pos="9781"/>
        </w:tabs>
        <w:ind w:right="-144"/>
        <w:rPr>
          <w:sz w:val="22"/>
          <w:szCs w:val="22"/>
        </w:rPr>
      </w:pPr>
    </w:p>
    <w:p w14:paraId="1C09D745" w14:textId="77777777" w:rsidR="00FD0545" w:rsidRPr="00E13CE5" w:rsidRDefault="00FD0545" w:rsidP="00FD0545">
      <w:pPr>
        <w:pStyle w:val="Cmsor1"/>
      </w:pPr>
      <w:r w:rsidRPr="00E13CE5">
        <w:br w:type="page"/>
      </w:r>
      <w:bookmarkStart w:id="392" w:name="_Toc432753655"/>
      <w:bookmarkStart w:id="393" w:name="_Toc444603589"/>
      <w:bookmarkStart w:id="394" w:name="_Toc445200847"/>
      <w:bookmarkStart w:id="395" w:name="_Toc21961983"/>
      <w:bookmarkStart w:id="396" w:name="_Toc58569591"/>
      <w:r w:rsidRPr="00E13CE5">
        <w:lastRenderedPageBreak/>
        <w:t>3. számú melléklet</w:t>
      </w:r>
      <w:bookmarkEnd w:id="392"/>
      <w:bookmarkEnd w:id="393"/>
      <w:bookmarkEnd w:id="394"/>
      <w:bookmarkEnd w:id="395"/>
      <w:bookmarkEnd w:id="396"/>
      <w:r w:rsidRPr="00E13CE5">
        <w:t xml:space="preserve"> </w:t>
      </w:r>
    </w:p>
    <w:p w14:paraId="40943594" w14:textId="77777777" w:rsidR="00FD0545" w:rsidRPr="00E13CE5" w:rsidRDefault="00FD0545" w:rsidP="00FD0545">
      <w:r w:rsidRPr="00E13CE5">
        <w:t>Professzor Emeritus/Emerita megállapodások</w:t>
      </w:r>
    </w:p>
    <w:p w14:paraId="10D83B7F" w14:textId="77777777" w:rsidR="00FD0545" w:rsidRPr="00E13CE5" w:rsidRDefault="00FD0545" w:rsidP="00FD0545">
      <w:pPr>
        <w:tabs>
          <w:tab w:val="left" w:pos="9781"/>
        </w:tabs>
        <w:ind w:right="-144"/>
        <w:rPr>
          <w:b/>
          <w:i/>
          <w:sz w:val="22"/>
          <w:szCs w:val="22"/>
        </w:rPr>
      </w:pPr>
    </w:p>
    <w:p w14:paraId="526F2A9D" w14:textId="77777777" w:rsidR="00FD0545" w:rsidRPr="00E13CE5" w:rsidRDefault="00FD0545" w:rsidP="00FD0545">
      <w:pPr>
        <w:tabs>
          <w:tab w:val="left" w:pos="9781"/>
        </w:tabs>
        <w:ind w:right="-144"/>
        <w:jc w:val="center"/>
        <w:rPr>
          <w:b/>
          <w:sz w:val="22"/>
          <w:szCs w:val="22"/>
        </w:rPr>
      </w:pPr>
      <w:r w:rsidRPr="00E13CE5">
        <w:rPr>
          <w:b/>
          <w:sz w:val="22"/>
          <w:szCs w:val="22"/>
        </w:rPr>
        <w:t>3/A melléklet</w:t>
      </w:r>
      <w:r w:rsidRPr="00E13CE5">
        <w:rPr>
          <w:rStyle w:val="Lbjegyzet-hivatkozs"/>
          <w:b/>
          <w:sz w:val="22"/>
          <w:szCs w:val="22"/>
        </w:rPr>
        <w:footnoteReference w:id="494"/>
      </w:r>
    </w:p>
    <w:p w14:paraId="0DC29AB6" w14:textId="77777777" w:rsidR="00FD0545" w:rsidRPr="00E13CE5" w:rsidRDefault="00FD0545" w:rsidP="00FD0545">
      <w:pPr>
        <w:tabs>
          <w:tab w:val="left" w:pos="9781"/>
        </w:tabs>
        <w:ind w:right="-144"/>
        <w:jc w:val="center"/>
        <w:rPr>
          <w:b/>
          <w:sz w:val="22"/>
          <w:szCs w:val="22"/>
        </w:rPr>
      </w:pPr>
    </w:p>
    <w:p w14:paraId="7DB5EB24" w14:textId="77777777" w:rsidR="00FD0545" w:rsidRPr="00E13CE5" w:rsidRDefault="00FD0545" w:rsidP="00FD0545">
      <w:pPr>
        <w:pBdr>
          <w:top w:val="single" w:sz="4" w:space="1" w:color="auto"/>
          <w:left w:val="single" w:sz="4" w:space="4" w:color="auto"/>
          <w:bottom w:val="single" w:sz="4" w:space="1" w:color="auto"/>
          <w:right w:val="single" w:sz="4" w:space="4" w:color="auto"/>
        </w:pBdr>
        <w:shd w:val="clear" w:color="auto" w:fill="B3B3B3"/>
        <w:tabs>
          <w:tab w:val="left" w:pos="9781"/>
        </w:tabs>
        <w:ind w:right="-144"/>
        <w:jc w:val="center"/>
        <w:rPr>
          <w:b/>
          <w:sz w:val="22"/>
          <w:szCs w:val="22"/>
        </w:rPr>
      </w:pPr>
      <w:r w:rsidRPr="00E13CE5">
        <w:rPr>
          <w:b/>
          <w:sz w:val="22"/>
          <w:szCs w:val="22"/>
        </w:rPr>
        <w:t>Megállapodás a Professor Emeritus/ Emerita (továbbiakban együtt: Professor Emeritus) címmel járó tiszteletdíjról, egyéb juttatásról és önkéntes oktatói tevékenységről</w:t>
      </w:r>
    </w:p>
    <w:p w14:paraId="470AB8AB" w14:textId="77777777" w:rsidR="00FD0545" w:rsidRPr="00E13CE5" w:rsidRDefault="00FD0545" w:rsidP="00FD0545">
      <w:pPr>
        <w:tabs>
          <w:tab w:val="left" w:pos="9781"/>
        </w:tabs>
        <w:ind w:right="-14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910"/>
      </w:tblGrid>
      <w:tr w:rsidR="00FD0545" w:rsidRPr="00E13CE5" w14:paraId="4ADEC194" w14:textId="77777777" w:rsidTr="00026782">
        <w:tc>
          <w:tcPr>
            <w:tcW w:w="4606" w:type="dxa"/>
          </w:tcPr>
          <w:p w14:paraId="015B43E1" w14:textId="77777777" w:rsidR="00FD0545" w:rsidRPr="00E13CE5" w:rsidRDefault="00FD0545" w:rsidP="00026782">
            <w:pPr>
              <w:tabs>
                <w:tab w:val="left" w:pos="9781"/>
              </w:tabs>
              <w:ind w:right="-144"/>
              <w:jc w:val="both"/>
              <w:rPr>
                <w:b/>
                <w:sz w:val="22"/>
                <w:szCs w:val="22"/>
              </w:rPr>
            </w:pPr>
            <w:r w:rsidRPr="00E13CE5">
              <w:rPr>
                <w:b/>
                <w:sz w:val="22"/>
                <w:szCs w:val="22"/>
              </w:rPr>
              <w:t>A Professor Emeritus neve</w:t>
            </w:r>
          </w:p>
        </w:tc>
        <w:tc>
          <w:tcPr>
            <w:tcW w:w="5708" w:type="dxa"/>
          </w:tcPr>
          <w:p w14:paraId="2547B45B" w14:textId="77777777" w:rsidR="00FD0545" w:rsidRPr="00E13CE5" w:rsidRDefault="00FD0545" w:rsidP="00026782">
            <w:pPr>
              <w:tabs>
                <w:tab w:val="left" w:pos="9781"/>
              </w:tabs>
              <w:ind w:right="-144"/>
              <w:jc w:val="both"/>
              <w:rPr>
                <w:sz w:val="22"/>
                <w:szCs w:val="22"/>
              </w:rPr>
            </w:pPr>
          </w:p>
        </w:tc>
      </w:tr>
      <w:tr w:rsidR="00FD0545" w:rsidRPr="00E13CE5" w14:paraId="4E69699E" w14:textId="77777777" w:rsidTr="00026782">
        <w:tc>
          <w:tcPr>
            <w:tcW w:w="4606" w:type="dxa"/>
          </w:tcPr>
          <w:p w14:paraId="5EB52AC9" w14:textId="77777777" w:rsidR="00FD0545" w:rsidRPr="00E13CE5" w:rsidRDefault="00FD0545" w:rsidP="00026782">
            <w:pPr>
              <w:tabs>
                <w:tab w:val="left" w:pos="9781"/>
              </w:tabs>
              <w:ind w:right="-144"/>
              <w:jc w:val="both"/>
              <w:rPr>
                <w:b/>
                <w:sz w:val="22"/>
                <w:szCs w:val="22"/>
              </w:rPr>
            </w:pPr>
            <w:r w:rsidRPr="00E13CE5">
              <w:rPr>
                <w:b/>
                <w:sz w:val="22"/>
                <w:szCs w:val="22"/>
              </w:rPr>
              <w:t>Születési</w:t>
            </w:r>
            <w:r w:rsidRPr="00E13CE5">
              <w:rPr>
                <w:b/>
                <w:i/>
                <w:sz w:val="22"/>
                <w:szCs w:val="22"/>
              </w:rPr>
              <w:t xml:space="preserve"> </w:t>
            </w:r>
            <w:r w:rsidRPr="00E13CE5">
              <w:rPr>
                <w:b/>
                <w:sz w:val="22"/>
                <w:szCs w:val="22"/>
              </w:rPr>
              <w:t>neve</w:t>
            </w:r>
          </w:p>
        </w:tc>
        <w:tc>
          <w:tcPr>
            <w:tcW w:w="5708" w:type="dxa"/>
          </w:tcPr>
          <w:p w14:paraId="67374546" w14:textId="77777777" w:rsidR="00FD0545" w:rsidRPr="00E13CE5" w:rsidRDefault="00FD0545" w:rsidP="00026782">
            <w:pPr>
              <w:tabs>
                <w:tab w:val="left" w:pos="9781"/>
              </w:tabs>
              <w:ind w:right="-144"/>
              <w:jc w:val="both"/>
              <w:rPr>
                <w:sz w:val="22"/>
                <w:szCs w:val="22"/>
              </w:rPr>
            </w:pPr>
          </w:p>
        </w:tc>
      </w:tr>
      <w:tr w:rsidR="00FD0545" w:rsidRPr="00E13CE5" w14:paraId="1FEED09A" w14:textId="77777777" w:rsidTr="00026782">
        <w:tc>
          <w:tcPr>
            <w:tcW w:w="4606" w:type="dxa"/>
          </w:tcPr>
          <w:p w14:paraId="3D05AE69" w14:textId="77777777" w:rsidR="00FD0545" w:rsidRPr="00E13CE5" w:rsidRDefault="00FD0545" w:rsidP="00026782">
            <w:pPr>
              <w:tabs>
                <w:tab w:val="left" w:pos="9781"/>
              </w:tabs>
              <w:ind w:right="-144"/>
              <w:jc w:val="both"/>
              <w:rPr>
                <w:b/>
                <w:sz w:val="22"/>
                <w:szCs w:val="22"/>
              </w:rPr>
            </w:pPr>
            <w:r w:rsidRPr="00E13CE5">
              <w:rPr>
                <w:b/>
                <w:sz w:val="22"/>
                <w:szCs w:val="22"/>
              </w:rPr>
              <w:t>Születési helye, ideje</w:t>
            </w:r>
          </w:p>
        </w:tc>
        <w:tc>
          <w:tcPr>
            <w:tcW w:w="5708" w:type="dxa"/>
          </w:tcPr>
          <w:p w14:paraId="1E00CE15" w14:textId="77777777" w:rsidR="00FD0545" w:rsidRPr="00E13CE5" w:rsidRDefault="00FD0545" w:rsidP="00026782">
            <w:pPr>
              <w:tabs>
                <w:tab w:val="left" w:pos="9781"/>
              </w:tabs>
              <w:ind w:right="-144"/>
              <w:jc w:val="both"/>
              <w:rPr>
                <w:sz w:val="22"/>
                <w:szCs w:val="22"/>
              </w:rPr>
            </w:pPr>
          </w:p>
        </w:tc>
      </w:tr>
      <w:tr w:rsidR="00FD0545" w:rsidRPr="00E13CE5" w14:paraId="4824C9C4" w14:textId="77777777" w:rsidTr="00026782">
        <w:tc>
          <w:tcPr>
            <w:tcW w:w="4606" w:type="dxa"/>
          </w:tcPr>
          <w:p w14:paraId="27C556AC" w14:textId="77777777" w:rsidR="00FD0545" w:rsidRPr="00E13CE5" w:rsidRDefault="00FD0545" w:rsidP="00026782">
            <w:pPr>
              <w:tabs>
                <w:tab w:val="left" w:pos="9781"/>
              </w:tabs>
              <w:ind w:right="-144"/>
              <w:jc w:val="both"/>
              <w:rPr>
                <w:b/>
                <w:sz w:val="22"/>
                <w:szCs w:val="22"/>
              </w:rPr>
            </w:pPr>
            <w:r w:rsidRPr="00E13CE5">
              <w:rPr>
                <w:b/>
                <w:sz w:val="22"/>
                <w:szCs w:val="22"/>
              </w:rPr>
              <w:t>Anyja neve</w:t>
            </w:r>
          </w:p>
        </w:tc>
        <w:tc>
          <w:tcPr>
            <w:tcW w:w="5708" w:type="dxa"/>
          </w:tcPr>
          <w:p w14:paraId="589ADD33" w14:textId="77777777" w:rsidR="00FD0545" w:rsidRPr="00E13CE5" w:rsidRDefault="00FD0545" w:rsidP="00026782">
            <w:pPr>
              <w:tabs>
                <w:tab w:val="left" w:pos="9781"/>
              </w:tabs>
              <w:ind w:right="-144"/>
              <w:jc w:val="both"/>
              <w:rPr>
                <w:sz w:val="22"/>
                <w:szCs w:val="22"/>
              </w:rPr>
            </w:pPr>
          </w:p>
        </w:tc>
      </w:tr>
      <w:tr w:rsidR="00FD0545" w:rsidRPr="00E13CE5" w14:paraId="1EAA96ED" w14:textId="77777777" w:rsidTr="00026782">
        <w:tc>
          <w:tcPr>
            <w:tcW w:w="4606" w:type="dxa"/>
          </w:tcPr>
          <w:p w14:paraId="465D2EAF" w14:textId="77777777" w:rsidR="00FD0545" w:rsidRPr="00E13CE5" w:rsidRDefault="00FD0545" w:rsidP="00026782">
            <w:pPr>
              <w:tabs>
                <w:tab w:val="left" w:pos="9781"/>
              </w:tabs>
              <w:ind w:right="-144"/>
              <w:jc w:val="both"/>
              <w:rPr>
                <w:b/>
                <w:sz w:val="22"/>
                <w:szCs w:val="22"/>
              </w:rPr>
            </w:pPr>
            <w:r w:rsidRPr="00E13CE5">
              <w:rPr>
                <w:b/>
                <w:sz w:val="22"/>
                <w:szCs w:val="22"/>
              </w:rPr>
              <w:t>Állandó lakcíme</w:t>
            </w:r>
          </w:p>
        </w:tc>
        <w:tc>
          <w:tcPr>
            <w:tcW w:w="5708" w:type="dxa"/>
          </w:tcPr>
          <w:p w14:paraId="7FD4B82D" w14:textId="77777777" w:rsidR="00FD0545" w:rsidRPr="00E13CE5" w:rsidRDefault="00FD0545" w:rsidP="00026782">
            <w:pPr>
              <w:tabs>
                <w:tab w:val="left" w:pos="9781"/>
              </w:tabs>
              <w:ind w:right="-144"/>
              <w:jc w:val="both"/>
              <w:rPr>
                <w:sz w:val="22"/>
                <w:szCs w:val="22"/>
              </w:rPr>
            </w:pPr>
          </w:p>
        </w:tc>
      </w:tr>
      <w:tr w:rsidR="00FD0545" w:rsidRPr="00E13CE5" w14:paraId="77D4E55D" w14:textId="77777777" w:rsidTr="00026782">
        <w:tc>
          <w:tcPr>
            <w:tcW w:w="4606" w:type="dxa"/>
          </w:tcPr>
          <w:p w14:paraId="116CD040"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5708" w:type="dxa"/>
          </w:tcPr>
          <w:p w14:paraId="167DEC09" w14:textId="77777777" w:rsidR="00FD0545" w:rsidRPr="00E13CE5" w:rsidRDefault="00FD0545" w:rsidP="00026782">
            <w:pPr>
              <w:tabs>
                <w:tab w:val="left" w:pos="9781"/>
              </w:tabs>
              <w:ind w:right="-144"/>
              <w:jc w:val="both"/>
              <w:rPr>
                <w:sz w:val="22"/>
                <w:szCs w:val="22"/>
              </w:rPr>
            </w:pPr>
          </w:p>
        </w:tc>
      </w:tr>
      <w:tr w:rsidR="00FD0545" w:rsidRPr="00E13CE5" w14:paraId="3F770CCA" w14:textId="77777777" w:rsidTr="00026782">
        <w:tc>
          <w:tcPr>
            <w:tcW w:w="4606" w:type="dxa"/>
          </w:tcPr>
          <w:p w14:paraId="3D7027A8" w14:textId="77777777" w:rsidR="00FD0545" w:rsidRPr="00E13CE5" w:rsidRDefault="00FD0545" w:rsidP="00026782">
            <w:pPr>
              <w:tabs>
                <w:tab w:val="left" w:pos="9781"/>
              </w:tabs>
              <w:ind w:right="-144"/>
              <w:jc w:val="both"/>
              <w:rPr>
                <w:b/>
                <w:sz w:val="22"/>
                <w:szCs w:val="22"/>
              </w:rPr>
            </w:pPr>
            <w:r w:rsidRPr="00E13CE5">
              <w:rPr>
                <w:b/>
                <w:sz w:val="22"/>
                <w:szCs w:val="22"/>
              </w:rPr>
              <w:t>Oktatói azonosítója</w:t>
            </w:r>
          </w:p>
        </w:tc>
        <w:tc>
          <w:tcPr>
            <w:tcW w:w="5708" w:type="dxa"/>
          </w:tcPr>
          <w:p w14:paraId="12AE3013" w14:textId="77777777" w:rsidR="00FD0545" w:rsidRPr="00E13CE5" w:rsidRDefault="00FD0545" w:rsidP="00026782">
            <w:pPr>
              <w:tabs>
                <w:tab w:val="left" w:pos="9781"/>
              </w:tabs>
              <w:ind w:right="-144"/>
              <w:jc w:val="both"/>
              <w:rPr>
                <w:sz w:val="22"/>
                <w:szCs w:val="22"/>
              </w:rPr>
            </w:pPr>
          </w:p>
        </w:tc>
      </w:tr>
      <w:tr w:rsidR="00FD0545" w:rsidRPr="00E13CE5" w14:paraId="6AE78DE6" w14:textId="77777777" w:rsidTr="00026782">
        <w:tc>
          <w:tcPr>
            <w:tcW w:w="4606" w:type="dxa"/>
          </w:tcPr>
          <w:p w14:paraId="55326A96" w14:textId="77777777" w:rsidR="00FD0545" w:rsidRPr="00E13CE5" w:rsidRDefault="00FD0545" w:rsidP="00026782">
            <w:pPr>
              <w:tabs>
                <w:tab w:val="left" w:pos="9781"/>
              </w:tabs>
              <w:ind w:right="-144"/>
              <w:jc w:val="both"/>
              <w:rPr>
                <w:b/>
                <w:sz w:val="22"/>
                <w:szCs w:val="22"/>
              </w:rPr>
            </w:pPr>
            <w:r w:rsidRPr="00E13CE5">
              <w:rPr>
                <w:b/>
                <w:sz w:val="22"/>
                <w:szCs w:val="22"/>
              </w:rPr>
              <w:t>A címet adományozó szenátusi határozat száma</w:t>
            </w:r>
          </w:p>
        </w:tc>
        <w:tc>
          <w:tcPr>
            <w:tcW w:w="5708" w:type="dxa"/>
          </w:tcPr>
          <w:p w14:paraId="0A2FE818" w14:textId="77777777" w:rsidR="00FD0545" w:rsidRPr="00E13CE5" w:rsidRDefault="00FD0545" w:rsidP="00026782">
            <w:pPr>
              <w:tabs>
                <w:tab w:val="left" w:pos="9781"/>
              </w:tabs>
              <w:ind w:right="-144"/>
              <w:jc w:val="both"/>
              <w:rPr>
                <w:sz w:val="22"/>
                <w:szCs w:val="22"/>
              </w:rPr>
            </w:pPr>
          </w:p>
        </w:tc>
      </w:tr>
    </w:tbl>
    <w:p w14:paraId="503B9EB3" w14:textId="77777777" w:rsidR="00FD0545" w:rsidRPr="00E13CE5" w:rsidRDefault="00FD0545" w:rsidP="00FD0545">
      <w:pPr>
        <w:tabs>
          <w:tab w:val="left" w:pos="9781"/>
        </w:tabs>
        <w:ind w:right="-144"/>
        <w:jc w:val="both"/>
        <w:rPr>
          <w:sz w:val="22"/>
          <w:szCs w:val="22"/>
        </w:rPr>
      </w:pPr>
    </w:p>
    <w:p w14:paraId="1A441378" w14:textId="77777777" w:rsidR="00FD0545" w:rsidRPr="00E13CE5" w:rsidRDefault="00FD0545" w:rsidP="00FD0545">
      <w:pPr>
        <w:tabs>
          <w:tab w:val="left" w:pos="9781"/>
        </w:tabs>
        <w:ind w:right="-144"/>
        <w:jc w:val="both"/>
        <w:rPr>
          <w:sz w:val="22"/>
          <w:szCs w:val="22"/>
        </w:rPr>
      </w:pPr>
      <w:proofErr w:type="gramStart"/>
      <w:r w:rsidRPr="00E13CE5">
        <w:rPr>
          <w:sz w:val="22"/>
          <w:szCs w:val="22"/>
        </w:rPr>
        <w:t>másrészről</w:t>
      </w:r>
      <w:proofErr w:type="gramEnd"/>
    </w:p>
    <w:p w14:paraId="40AB9F49"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101"/>
      </w:tblGrid>
      <w:tr w:rsidR="00FD0545" w:rsidRPr="00E13CE5" w14:paraId="4545C2E4" w14:textId="77777777" w:rsidTr="00026782">
        <w:tc>
          <w:tcPr>
            <w:tcW w:w="3287" w:type="dxa"/>
          </w:tcPr>
          <w:p w14:paraId="130A924F" w14:textId="77777777" w:rsidR="00FD0545" w:rsidRPr="00E13CE5" w:rsidRDefault="00FD0545" w:rsidP="00026782">
            <w:pPr>
              <w:tabs>
                <w:tab w:val="left" w:pos="9781"/>
              </w:tabs>
              <w:ind w:right="-144"/>
              <w:jc w:val="both"/>
              <w:rPr>
                <w:b/>
                <w:sz w:val="22"/>
                <w:szCs w:val="22"/>
              </w:rPr>
            </w:pPr>
            <w:r w:rsidRPr="00E13CE5">
              <w:rPr>
                <w:b/>
                <w:sz w:val="22"/>
                <w:szCs w:val="22"/>
              </w:rPr>
              <w:t>Munkáltató:</w:t>
            </w:r>
          </w:p>
        </w:tc>
        <w:tc>
          <w:tcPr>
            <w:tcW w:w="7027" w:type="dxa"/>
          </w:tcPr>
          <w:p w14:paraId="179B8B90" w14:textId="77777777" w:rsidR="00FD0545" w:rsidRPr="00E13CE5" w:rsidRDefault="00FD0545" w:rsidP="00026782">
            <w:pPr>
              <w:tabs>
                <w:tab w:val="left" w:pos="9781"/>
              </w:tabs>
              <w:ind w:right="-144"/>
              <w:jc w:val="both"/>
              <w:rPr>
                <w:sz w:val="22"/>
                <w:szCs w:val="22"/>
              </w:rPr>
            </w:pPr>
            <w:r w:rsidRPr="00E13CE5">
              <w:rPr>
                <w:sz w:val="22"/>
                <w:szCs w:val="22"/>
              </w:rPr>
              <w:t>Pécsi Tudományegyetem</w:t>
            </w:r>
          </w:p>
        </w:tc>
      </w:tr>
      <w:tr w:rsidR="00FD0545" w:rsidRPr="00E13CE5" w14:paraId="58D5A300" w14:textId="77777777" w:rsidTr="00026782">
        <w:tc>
          <w:tcPr>
            <w:tcW w:w="3287" w:type="dxa"/>
          </w:tcPr>
          <w:p w14:paraId="20528BC8"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7027" w:type="dxa"/>
          </w:tcPr>
          <w:p w14:paraId="19C9412A" w14:textId="77777777" w:rsidR="00FD0545" w:rsidRPr="00E13CE5" w:rsidRDefault="00FD0545" w:rsidP="00026782">
            <w:pPr>
              <w:tabs>
                <w:tab w:val="left" w:pos="9781"/>
              </w:tabs>
              <w:ind w:right="-144"/>
              <w:jc w:val="both"/>
              <w:rPr>
                <w:sz w:val="22"/>
                <w:szCs w:val="22"/>
              </w:rPr>
            </w:pPr>
            <w:r w:rsidRPr="00E13CE5">
              <w:rPr>
                <w:sz w:val="22"/>
                <w:szCs w:val="22"/>
              </w:rPr>
              <w:t>15329798202</w:t>
            </w:r>
          </w:p>
        </w:tc>
      </w:tr>
      <w:tr w:rsidR="00FD0545" w:rsidRPr="00E13CE5" w14:paraId="5FE289F0" w14:textId="77777777" w:rsidTr="00026782">
        <w:tc>
          <w:tcPr>
            <w:tcW w:w="3287" w:type="dxa"/>
          </w:tcPr>
          <w:p w14:paraId="16DB206D" w14:textId="77777777" w:rsidR="00FD0545" w:rsidRPr="00E13CE5" w:rsidRDefault="00FD0545" w:rsidP="00026782">
            <w:pPr>
              <w:tabs>
                <w:tab w:val="left" w:pos="9781"/>
              </w:tabs>
              <w:ind w:right="-144"/>
              <w:jc w:val="both"/>
              <w:rPr>
                <w:b/>
                <w:sz w:val="22"/>
                <w:szCs w:val="22"/>
              </w:rPr>
            </w:pPr>
            <w:r w:rsidRPr="00E13CE5">
              <w:rPr>
                <w:b/>
                <w:sz w:val="22"/>
                <w:szCs w:val="22"/>
              </w:rPr>
              <w:t>Intézményi azonosítója</w:t>
            </w:r>
          </w:p>
        </w:tc>
        <w:tc>
          <w:tcPr>
            <w:tcW w:w="7027" w:type="dxa"/>
          </w:tcPr>
          <w:p w14:paraId="6F77BEE0" w14:textId="77777777" w:rsidR="00FD0545" w:rsidRPr="00E13CE5" w:rsidRDefault="00FD0545" w:rsidP="00026782">
            <w:pPr>
              <w:tabs>
                <w:tab w:val="left" w:pos="9781"/>
              </w:tabs>
              <w:ind w:right="-144"/>
              <w:jc w:val="both"/>
              <w:rPr>
                <w:sz w:val="22"/>
                <w:szCs w:val="22"/>
              </w:rPr>
            </w:pPr>
            <w:r w:rsidRPr="00E13CE5">
              <w:rPr>
                <w:sz w:val="22"/>
                <w:szCs w:val="22"/>
              </w:rPr>
              <w:t>FI 58544</w:t>
            </w:r>
          </w:p>
        </w:tc>
      </w:tr>
      <w:tr w:rsidR="00FD0545" w:rsidRPr="00E13CE5" w14:paraId="3107367B" w14:textId="77777777" w:rsidTr="00026782">
        <w:tc>
          <w:tcPr>
            <w:tcW w:w="3287" w:type="dxa"/>
          </w:tcPr>
          <w:p w14:paraId="10D2B20E" w14:textId="77777777" w:rsidR="00FD0545" w:rsidRPr="00E13CE5" w:rsidRDefault="00FD0545" w:rsidP="00026782">
            <w:pPr>
              <w:tabs>
                <w:tab w:val="left" w:pos="9781"/>
              </w:tabs>
              <w:ind w:right="-144"/>
              <w:jc w:val="both"/>
              <w:rPr>
                <w:b/>
                <w:sz w:val="22"/>
                <w:szCs w:val="22"/>
              </w:rPr>
            </w:pPr>
            <w:r w:rsidRPr="00E13CE5">
              <w:rPr>
                <w:b/>
                <w:sz w:val="22"/>
                <w:szCs w:val="22"/>
              </w:rPr>
              <w:t>Szervezeti egység:</w:t>
            </w:r>
          </w:p>
        </w:tc>
        <w:tc>
          <w:tcPr>
            <w:tcW w:w="7027" w:type="dxa"/>
          </w:tcPr>
          <w:p w14:paraId="7E056BD8" w14:textId="77777777" w:rsidR="00FD0545" w:rsidRPr="00E13CE5" w:rsidRDefault="00FD0545" w:rsidP="00026782">
            <w:pPr>
              <w:tabs>
                <w:tab w:val="left" w:pos="9781"/>
              </w:tabs>
              <w:ind w:right="-144"/>
              <w:jc w:val="both"/>
              <w:rPr>
                <w:sz w:val="22"/>
                <w:szCs w:val="22"/>
              </w:rPr>
            </w:pPr>
          </w:p>
        </w:tc>
      </w:tr>
      <w:tr w:rsidR="00FD0545" w:rsidRPr="00E13CE5" w14:paraId="09EC268A" w14:textId="77777777" w:rsidTr="00026782">
        <w:tc>
          <w:tcPr>
            <w:tcW w:w="3287" w:type="dxa"/>
          </w:tcPr>
          <w:p w14:paraId="7CC1CDA5" w14:textId="77777777" w:rsidR="00FD0545" w:rsidRPr="00E13CE5" w:rsidRDefault="00FD0545" w:rsidP="00026782">
            <w:pPr>
              <w:tabs>
                <w:tab w:val="left" w:pos="9781"/>
              </w:tabs>
              <w:ind w:right="-144"/>
              <w:jc w:val="both"/>
              <w:rPr>
                <w:b/>
                <w:sz w:val="22"/>
                <w:szCs w:val="22"/>
              </w:rPr>
            </w:pPr>
            <w:r w:rsidRPr="00E13CE5">
              <w:rPr>
                <w:b/>
                <w:sz w:val="22"/>
                <w:szCs w:val="22"/>
              </w:rPr>
              <w:t>Címe:</w:t>
            </w:r>
          </w:p>
        </w:tc>
        <w:tc>
          <w:tcPr>
            <w:tcW w:w="7027" w:type="dxa"/>
          </w:tcPr>
          <w:p w14:paraId="31FB1F4A" w14:textId="77777777" w:rsidR="00FD0545" w:rsidRPr="00E13CE5" w:rsidRDefault="00FD0545" w:rsidP="00026782">
            <w:pPr>
              <w:tabs>
                <w:tab w:val="left" w:pos="9781"/>
              </w:tabs>
              <w:ind w:right="-144"/>
              <w:jc w:val="both"/>
              <w:rPr>
                <w:sz w:val="22"/>
                <w:szCs w:val="22"/>
              </w:rPr>
            </w:pPr>
          </w:p>
        </w:tc>
      </w:tr>
    </w:tbl>
    <w:p w14:paraId="438F28A4" w14:textId="77777777" w:rsidR="00FD0545" w:rsidRPr="00E13CE5" w:rsidRDefault="00FD0545" w:rsidP="00FD0545">
      <w:pPr>
        <w:tabs>
          <w:tab w:val="left" w:pos="9781"/>
        </w:tabs>
        <w:ind w:right="-144"/>
        <w:jc w:val="both"/>
        <w:rPr>
          <w:sz w:val="22"/>
          <w:szCs w:val="22"/>
        </w:rPr>
      </w:pPr>
    </w:p>
    <w:p w14:paraId="6616F15E" w14:textId="77777777" w:rsidR="00FD0545" w:rsidRPr="00E13CE5" w:rsidRDefault="00FD0545" w:rsidP="00FD0545">
      <w:pPr>
        <w:tabs>
          <w:tab w:val="left" w:pos="9781"/>
        </w:tabs>
        <w:ind w:right="-144"/>
        <w:jc w:val="both"/>
        <w:rPr>
          <w:sz w:val="22"/>
          <w:szCs w:val="22"/>
        </w:rPr>
      </w:pPr>
      <w:proofErr w:type="gramStart"/>
      <w:r w:rsidRPr="00E13CE5">
        <w:rPr>
          <w:sz w:val="22"/>
          <w:szCs w:val="22"/>
        </w:rPr>
        <w:t>mint</w:t>
      </w:r>
      <w:proofErr w:type="gramEnd"/>
      <w:r w:rsidRPr="00E13CE5">
        <w:rPr>
          <w:sz w:val="22"/>
          <w:szCs w:val="22"/>
        </w:rPr>
        <w:t xml:space="preserve"> Egyetem között alulírott helyen és napon az alább meghatározott feltételek szerint.</w:t>
      </w:r>
    </w:p>
    <w:p w14:paraId="1936A287" w14:textId="77777777" w:rsidR="00FD0545" w:rsidRPr="00E13CE5" w:rsidRDefault="00FD0545" w:rsidP="00FD0545">
      <w:pPr>
        <w:tabs>
          <w:tab w:val="left" w:pos="9781"/>
        </w:tabs>
        <w:ind w:right="-144"/>
        <w:jc w:val="both"/>
        <w:rPr>
          <w:sz w:val="22"/>
          <w:szCs w:val="22"/>
        </w:rPr>
      </w:pPr>
    </w:p>
    <w:p w14:paraId="6005E6CA" w14:textId="77777777" w:rsidR="00FD0545" w:rsidRPr="00E13CE5" w:rsidRDefault="00FD0545" w:rsidP="00FD0545">
      <w:pPr>
        <w:tabs>
          <w:tab w:val="left" w:pos="9781"/>
        </w:tabs>
        <w:ind w:right="-144"/>
        <w:jc w:val="both"/>
        <w:rPr>
          <w:sz w:val="22"/>
          <w:szCs w:val="22"/>
        </w:rPr>
      </w:pPr>
      <w:r w:rsidRPr="00E13CE5">
        <w:rPr>
          <w:sz w:val="22"/>
          <w:szCs w:val="22"/>
        </w:rPr>
        <w:t>A Nemzeti Felsőoktatásról szóló 2011. évi CCIV. törvény, valamint a Pécsi Tudományegyetem foglalkoztatási követelményrendszere alapján az Egyetem és a Professor Emeritus a Szenátus által adományozott Professor Emeritus címmel járó jogokat, juttatásokat és feladatokat az alábbiak szerint határozza meg.</w:t>
      </w:r>
    </w:p>
    <w:p w14:paraId="5D73B3BD" w14:textId="77777777" w:rsidR="00FD0545" w:rsidRPr="00E13CE5" w:rsidRDefault="00FD0545" w:rsidP="00FD0545">
      <w:pPr>
        <w:tabs>
          <w:tab w:val="left" w:pos="9781"/>
        </w:tabs>
        <w:ind w:right="-144"/>
        <w:jc w:val="both"/>
        <w:rPr>
          <w:sz w:val="22"/>
          <w:szCs w:val="22"/>
        </w:rPr>
      </w:pPr>
    </w:p>
    <w:p w14:paraId="3AC34A21" w14:textId="77777777" w:rsidR="00FD0545" w:rsidRPr="00E13CE5" w:rsidRDefault="00FD0545" w:rsidP="00FD0545">
      <w:pPr>
        <w:tabs>
          <w:tab w:val="left" w:pos="9781"/>
        </w:tabs>
        <w:ind w:right="-144"/>
        <w:jc w:val="center"/>
        <w:rPr>
          <w:b/>
          <w:sz w:val="22"/>
          <w:szCs w:val="22"/>
        </w:rPr>
      </w:pPr>
      <w:r w:rsidRPr="00E13CE5">
        <w:rPr>
          <w:b/>
          <w:sz w:val="22"/>
          <w:szCs w:val="22"/>
        </w:rPr>
        <w:t>A Professor Emeritus jogai</w:t>
      </w:r>
    </w:p>
    <w:p w14:paraId="70FFA01D" w14:textId="77777777" w:rsidR="00FD0545" w:rsidRPr="00E13CE5" w:rsidRDefault="00FD0545" w:rsidP="00FD0545">
      <w:pPr>
        <w:tabs>
          <w:tab w:val="left" w:pos="9781"/>
        </w:tabs>
        <w:ind w:right="-144"/>
        <w:jc w:val="center"/>
        <w:rPr>
          <w:sz w:val="22"/>
          <w:szCs w:val="22"/>
        </w:rPr>
      </w:pPr>
    </w:p>
    <w:p w14:paraId="19AE675B" w14:textId="77777777" w:rsidR="00FD0545" w:rsidRPr="00E13CE5" w:rsidRDefault="00FD0545" w:rsidP="00FD0545">
      <w:pPr>
        <w:tabs>
          <w:tab w:val="left" w:pos="9781"/>
        </w:tabs>
        <w:ind w:right="-144"/>
        <w:jc w:val="both"/>
        <w:rPr>
          <w:sz w:val="22"/>
          <w:szCs w:val="22"/>
        </w:rPr>
      </w:pPr>
      <w:smartTag w:uri="urn:schemas-microsoft-com:office:smarttags" w:element="metricconverter">
        <w:smartTagPr>
          <w:attr w:name="ProductID" w:val="1. a"/>
        </w:smartTagPr>
        <w:r w:rsidRPr="00E13CE5">
          <w:rPr>
            <w:sz w:val="22"/>
            <w:szCs w:val="22"/>
          </w:rPr>
          <w:t>1. A</w:t>
        </w:r>
      </w:smartTag>
      <w:r w:rsidRPr="00E13CE5">
        <w:rPr>
          <w:sz w:val="22"/>
          <w:szCs w:val="22"/>
        </w:rPr>
        <w:t xml:space="preserve"> Professor Emeritus jogosult:</w:t>
      </w:r>
    </w:p>
    <w:p w14:paraId="52BFDA69" w14:textId="77777777" w:rsidR="00FD0545" w:rsidRPr="00E13CE5" w:rsidRDefault="00FD0545" w:rsidP="00FD0545">
      <w:pPr>
        <w:tabs>
          <w:tab w:val="left" w:pos="9781"/>
        </w:tabs>
        <w:ind w:left="540" w:right="-144"/>
        <w:jc w:val="both"/>
        <w:rPr>
          <w:sz w:val="22"/>
          <w:szCs w:val="22"/>
        </w:rPr>
      </w:pPr>
    </w:p>
    <w:p w14:paraId="252ACB82" w14:textId="77777777" w:rsidR="00FD0545" w:rsidRPr="00E13CE5" w:rsidRDefault="00FD0545" w:rsidP="00FD0545">
      <w:pPr>
        <w:tabs>
          <w:tab w:val="left" w:pos="9781"/>
        </w:tabs>
        <w:ind w:left="540" w:right="-144"/>
        <w:jc w:val="both"/>
        <w:rPr>
          <w:sz w:val="22"/>
          <w:szCs w:val="22"/>
        </w:rPr>
      </w:pPr>
      <w:r w:rsidRPr="00E13CE5">
        <w:rPr>
          <w:sz w:val="22"/>
          <w:szCs w:val="22"/>
        </w:rPr>
        <w:t>a) a Professor Emeritus cím határozatlan ideig történő viselésére,</w:t>
      </w:r>
    </w:p>
    <w:p w14:paraId="75CDFA23" w14:textId="77777777" w:rsidR="00FD0545" w:rsidRPr="00E13CE5" w:rsidRDefault="00FD0545" w:rsidP="00FD0545">
      <w:pPr>
        <w:tabs>
          <w:tab w:val="left" w:pos="9781"/>
        </w:tabs>
        <w:ind w:left="540" w:right="-144"/>
        <w:jc w:val="both"/>
        <w:rPr>
          <w:sz w:val="22"/>
          <w:szCs w:val="22"/>
        </w:rPr>
      </w:pPr>
      <w:r w:rsidRPr="00E13CE5">
        <w:rPr>
          <w:sz w:val="22"/>
          <w:szCs w:val="22"/>
        </w:rPr>
        <w:t>b) a kar szervezeti és működési szabályzatában meghatározottak szerint kari bizottsági tagságra,</w:t>
      </w:r>
    </w:p>
    <w:p w14:paraId="7A020E97" w14:textId="77777777" w:rsidR="00FD0545" w:rsidRPr="00E13CE5" w:rsidRDefault="00FD0545" w:rsidP="00FD0545">
      <w:pPr>
        <w:tabs>
          <w:tab w:val="left" w:pos="9781"/>
        </w:tabs>
        <w:ind w:left="540" w:right="-144"/>
        <w:jc w:val="both"/>
        <w:rPr>
          <w:sz w:val="22"/>
          <w:szCs w:val="22"/>
        </w:rPr>
      </w:pPr>
      <w:r w:rsidRPr="00E13CE5">
        <w:rPr>
          <w:sz w:val="22"/>
          <w:szCs w:val="22"/>
        </w:rPr>
        <w:t>c) az egyetemi bizottsági tagságra, az Egyetem, illetve a kar szervezeti és működési szabályzatában meghatározottak szerint,</w:t>
      </w:r>
    </w:p>
    <w:p w14:paraId="3BF6BD0D" w14:textId="77777777" w:rsidR="00FD0545" w:rsidRPr="00E13CE5" w:rsidRDefault="00FD0545" w:rsidP="00FD0545">
      <w:pPr>
        <w:tabs>
          <w:tab w:val="left" w:pos="9781"/>
        </w:tabs>
        <w:ind w:left="540" w:right="-144"/>
        <w:jc w:val="both"/>
        <w:rPr>
          <w:sz w:val="22"/>
          <w:szCs w:val="22"/>
        </w:rPr>
      </w:pPr>
      <w:r w:rsidRPr="00E13CE5">
        <w:rPr>
          <w:sz w:val="22"/>
          <w:szCs w:val="22"/>
        </w:rPr>
        <w:t>d) az egyetemi és a kari infrastruktúra használatára,</w:t>
      </w:r>
    </w:p>
    <w:p w14:paraId="03BF81DB" w14:textId="77777777" w:rsidR="00FD0545" w:rsidRPr="00E13CE5" w:rsidRDefault="00FD0545" w:rsidP="00FD0545">
      <w:pPr>
        <w:tabs>
          <w:tab w:val="left" w:pos="9781"/>
        </w:tabs>
        <w:ind w:left="540" w:right="-144"/>
        <w:jc w:val="both"/>
        <w:rPr>
          <w:sz w:val="22"/>
          <w:szCs w:val="22"/>
        </w:rPr>
      </w:pPr>
      <w:r w:rsidRPr="00E13CE5">
        <w:rPr>
          <w:sz w:val="22"/>
          <w:szCs w:val="22"/>
        </w:rPr>
        <w:t>e) az egyetemi és kari oktatási, tudományos, valamint közéleti tevékenységben részt venni.</w:t>
      </w:r>
    </w:p>
    <w:p w14:paraId="64E551C6" w14:textId="77777777" w:rsidR="00FD0545" w:rsidRPr="00E13CE5" w:rsidRDefault="00FD0545" w:rsidP="00FD0545">
      <w:pPr>
        <w:tabs>
          <w:tab w:val="left" w:pos="9781"/>
        </w:tabs>
        <w:ind w:left="540" w:right="-144"/>
        <w:jc w:val="both"/>
        <w:rPr>
          <w:sz w:val="22"/>
          <w:szCs w:val="22"/>
        </w:rPr>
      </w:pPr>
      <w:r w:rsidRPr="00E13CE5">
        <w:rPr>
          <w:sz w:val="22"/>
          <w:szCs w:val="22"/>
        </w:rPr>
        <w:t>f) a karon folyó oktatási tevékenységben önkéntesként az alábbiak szerint részt venni:</w:t>
      </w:r>
    </w:p>
    <w:p w14:paraId="4C7F0101"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28"/>
        <w:gridCol w:w="3009"/>
      </w:tblGrid>
      <w:tr w:rsidR="00FD0545" w:rsidRPr="00E13CE5" w14:paraId="2BFCC95A" w14:textId="77777777" w:rsidTr="00026782">
        <w:tc>
          <w:tcPr>
            <w:tcW w:w="3070" w:type="dxa"/>
          </w:tcPr>
          <w:p w14:paraId="3F5668AB" w14:textId="77777777" w:rsidR="00FD0545" w:rsidRPr="00E13CE5" w:rsidRDefault="00FD0545" w:rsidP="00026782">
            <w:pPr>
              <w:tabs>
                <w:tab w:val="left" w:pos="9781"/>
              </w:tabs>
              <w:ind w:right="-144"/>
              <w:jc w:val="both"/>
              <w:rPr>
                <w:sz w:val="22"/>
                <w:szCs w:val="22"/>
              </w:rPr>
            </w:pPr>
            <w:r w:rsidRPr="00E13CE5">
              <w:rPr>
                <w:sz w:val="22"/>
                <w:szCs w:val="22"/>
              </w:rPr>
              <w:t>Képzés megnevezése</w:t>
            </w:r>
            <w:r w:rsidRPr="00E13CE5">
              <w:rPr>
                <w:sz w:val="22"/>
                <w:szCs w:val="22"/>
                <w:vertAlign w:val="superscript"/>
              </w:rPr>
              <w:footnoteReference w:id="495"/>
            </w:r>
          </w:p>
          <w:p w14:paraId="70FA31C6" w14:textId="77777777" w:rsidR="00FD0545" w:rsidRPr="00E13CE5" w:rsidRDefault="00FD0545" w:rsidP="00026782">
            <w:pPr>
              <w:tabs>
                <w:tab w:val="left" w:pos="9781"/>
              </w:tabs>
              <w:ind w:right="-144"/>
              <w:jc w:val="both"/>
              <w:rPr>
                <w:sz w:val="22"/>
                <w:szCs w:val="22"/>
              </w:rPr>
            </w:pPr>
          </w:p>
        </w:tc>
        <w:tc>
          <w:tcPr>
            <w:tcW w:w="3071" w:type="dxa"/>
          </w:tcPr>
          <w:p w14:paraId="495467F9" w14:textId="77777777" w:rsidR="00FD0545" w:rsidRPr="00E13CE5" w:rsidRDefault="00FD0545" w:rsidP="00026782">
            <w:pPr>
              <w:tabs>
                <w:tab w:val="left" w:pos="9781"/>
              </w:tabs>
              <w:ind w:right="-144"/>
              <w:jc w:val="both"/>
              <w:rPr>
                <w:sz w:val="22"/>
                <w:szCs w:val="22"/>
              </w:rPr>
            </w:pPr>
            <w:r w:rsidRPr="00E13CE5">
              <w:rPr>
                <w:sz w:val="22"/>
                <w:szCs w:val="22"/>
              </w:rPr>
              <w:t>Tantárgy/kurzus megnevezése</w:t>
            </w:r>
          </w:p>
        </w:tc>
        <w:tc>
          <w:tcPr>
            <w:tcW w:w="3071" w:type="dxa"/>
          </w:tcPr>
          <w:p w14:paraId="46259CCA" w14:textId="77777777" w:rsidR="00FD0545" w:rsidRPr="00E13CE5" w:rsidRDefault="00FD0545" w:rsidP="00026782">
            <w:pPr>
              <w:tabs>
                <w:tab w:val="left" w:pos="9781"/>
              </w:tabs>
              <w:ind w:right="-144"/>
              <w:jc w:val="both"/>
              <w:rPr>
                <w:sz w:val="22"/>
                <w:szCs w:val="22"/>
              </w:rPr>
            </w:pPr>
            <w:r w:rsidRPr="00E13CE5">
              <w:rPr>
                <w:sz w:val="22"/>
                <w:szCs w:val="22"/>
              </w:rPr>
              <w:t>Tanítási idő (heti óraszám)</w:t>
            </w:r>
          </w:p>
        </w:tc>
      </w:tr>
      <w:tr w:rsidR="00FD0545" w:rsidRPr="00E13CE5" w14:paraId="75651F14" w14:textId="77777777" w:rsidTr="00026782">
        <w:tc>
          <w:tcPr>
            <w:tcW w:w="3070" w:type="dxa"/>
          </w:tcPr>
          <w:p w14:paraId="1BC53E9D" w14:textId="77777777" w:rsidR="00FD0545" w:rsidRPr="00E13CE5" w:rsidRDefault="00FD0545" w:rsidP="00026782">
            <w:pPr>
              <w:tabs>
                <w:tab w:val="left" w:pos="9781"/>
              </w:tabs>
              <w:ind w:right="-144"/>
              <w:jc w:val="both"/>
              <w:rPr>
                <w:sz w:val="22"/>
                <w:szCs w:val="22"/>
              </w:rPr>
            </w:pPr>
          </w:p>
        </w:tc>
        <w:tc>
          <w:tcPr>
            <w:tcW w:w="3071" w:type="dxa"/>
          </w:tcPr>
          <w:p w14:paraId="78FFDA5C" w14:textId="77777777" w:rsidR="00FD0545" w:rsidRPr="00E13CE5" w:rsidRDefault="00FD0545" w:rsidP="00026782">
            <w:pPr>
              <w:tabs>
                <w:tab w:val="left" w:pos="9781"/>
              </w:tabs>
              <w:ind w:right="-144"/>
              <w:jc w:val="both"/>
              <w:rPr>
                <w:sz w:val="22"/>
                <w:szCs w:val="22"/>
              </w:rPr>
            </w:pPr>
          </w:p>
        </w:tc>
        <w:tc>
          <w:tcPr>
            <w:tcW w:w="3071" w:type="dxa"/>
          </w:tcPr>
          <w:p w14:paraId="0A68E6A6" w14:textId="77777777" w:rsidR="00FD0545" w:rsidRPr="00E13CE5" w:rsidRDefault="00FD0545" w:rsidP="00026782">
            <w:pPr>
              <w:tabs>
                <w:tab w:val="left" w:pos="9781"/>
              </w:tabs>
              <w:ind w:right="-144"/>
              <w:jc w:val="both"/>
              <w:rPr>
                <w:sz w:val="22"/>
                <w:szCs w:val="22"/>
              </w:rPr>
            </w:pPr>
          </w:p>
        </w:tc>
      </w:tr>
      <w:tr w:rsidR="00FD0545" w:rsidRPr="00E13CE5" w14:paraId="736AE579" w14:textId="77777777" w:rsidTr="00026782">
        <w:tc>
          <w:tcPr>
            <w:tcW w:w="3070" w:type="dxa"/>
          </w:tcPr>
          <w:p w14:paraId="43664BFC" w14:textId="77777777" w:rsidR="00FD0545" w:rsidRPr="00E13CE5" w:rsidRDefault="00FD0545" w:rsidP="00026782">
            <w:pPr>
              <w:tabs>
                <w:tab w:val="left" w:pos="9781"/>
              </w:tabs>
              <w:ind w:right="-144"/>
              <w:jc w:val="both"/>
              <w:rPr>
                <w:sz w:val="22"/>
                <w:szCs w:val="22"/>
              </w:rPr>
            </w:pPr>
          </w:p>
        </w:tc>
        <w:tc>
          <w:tcPr>
            <w:tcW w:w="3071" w:type="dxa"/>
          </w:tcPr>
          <w:p w14:paraId="467DD6FE" w14:textId="77777777" w:rsidR="00FD0545" w:rsidRPr="00E13CE5" w:rsidRDefault="00FD0545" w:rsidP="00026782">
            <w:pPr>
              <w:tabs>
                <w:tab w:val="left" w:pos="9781"/>
              </w:tabs>
              <w:ind w:right="-144"/>
              <w:jc w:val="both"/>
              <w:rPr>
                <w:sz w:val="22"/>
                <w:szCs w:val="22"/>
              </w:rPr>
            </w:pPr>
          </w:p>
        </w:tc>
        <w:tc>
          <w:tcPr>
            <w:tcW w:w="3071" w:type="dxa"/>
          </w:tcPr>
          <w:p w14:paraId="64AD9CF2" w14:textId="77777777" w:rsidR="00FD0545" w:rsidRPr="00E13CE5" w:rsidRDefault="00FD0545" w:rsidP="00026782">
            <w:pPr>
              <w:tabs>
                <w:tab w:val="left" w:pos="9781"/>
              </w:tabs>
              <w:ind w:right="-144"/>
              <w:jc w:val="both"/>
              <w:rPr>
                <w:sz w:val="22"/>
                <w:szCs w:val="22"/>
              </w:rPr>
            </w:pPr>
          </w:p>
        </w:tc>
      </w:tr>
    </w:tbl>
    <w:p w14:paraId="66F252EF" w14:textId="77777777" w:rsidR="00FD0545" w:rsidRPr="00E13CE5" w:rsidRDefault="00FD0545" w:rsidP="00FD0545">
      <w:pPr>
        <w:tabs>
          <w:tab w:val="left" w:pos="9781"/>
        </w:tabs>
        <w:ind w:right="-144"/>
        <w:jc w:val="both"/>
        <w:rPr>
          <w:sz w:val="22"/>
          <w:szCs w:val="22"/>
        </w:rPr>
      </w:pPr>
    </w:p>
    <w:p w14:paraId="79647DF3" w14:textId="77777777" w:rsidR="00FD0545" w:rsidRPr="00E13CE5" w:rsidRDefault="00FD0545" w:rsidP="00FD0545">
      <w:pPr>
        <w:tabs>
          <w:tab w:val="left" w:pos="9781"/>
        </w:tabs>
        <w:ind w:right="-144"/>
        <w:jc w:val="both"/>
        <w:rPr>
          <w:sz w:val="22"/>
          <w:szCs w:val="22"/>
        </w:rPr>
      </w:pPr>
      <w:r w:rsidRPr="00E13CE5">
        <w:rPr>
          <w:sz w:val="22"/>
          <w:szCs w:val="22"/>
        </w:rPr>
        <w:lastRenderedPageBreak/>
        <w:t>2. A Professor Emeritus a karon folyó tudományos (kutatási) tevékenységben legjobb tudása szerint részt vesz, a karon foglalkoztatott kutatók munkáját segíti, az Egyetem és a Kar tudományos életében jogosultrészt venni.</w:t>
      </w:r>
    </w:p>
    <w:p w14:paraId="1F40DF65" w14:textId="77777777" w:rsidR="00FD0545" w:rsidRPr="00E13CE5" w:rsidRDefault="00FD0545" w:rsidP="00FD0545">
      <w:pPr>
        <w:tabs>
          <w:tab w:val="left" w:pos="9781"/>
        </w:tabs>
        <w:ind w:right="-144"/>
        <w:jc w:val="center"/>
        <w:rPr>
          <w:b/>
          <w:sz w:val="22"/>
          <w:szCs w:val="22"/>
        </w:rPr>
      </w:pPr>
    </w:p>
    <w:p w14:paraId="16C6F2F2" w14:textId="77777777" w:rsidR="00FD0545" w:rsidRPr="00E13CE5" w:rsidRDefault="00FD0545" w:rsidP="00FD0545">
      <w:pPr>
        <w:tabs>
          <w:tab w:val="left" w:pos="9781"/>
        </w:tabs>
        <w:ind w:right="-144"/>
        <w:jc w:val="center"/>
        <w:rPr>
          <w:b/>
          <w:sz w:val="22"/>
          <w:szCs w:val="22"/>
        </w:rPr>
      </w:pPr>
      <w:r w:rsidRPr="00E13CE5">
        <w:rPr>
          <w:b/>
          <w:sz w:val="22"/>
          <w:szCs w:val="22"/>
        </w:rPr>
        <w:t>A Professor Emeritust megillető juttatások</w:t>
      </w:r>
      <w:r w:rsidRPr="00E13CE5">
        <w:rPr>
          <w:rStyle w:val="Lbjegyzet-hivatkozs"/>
          <w:b/>
          <w:sz w:val="22"/>
          <w:szCs w:val="22"/>
        </w:rPr>
        <w:footnoteReference w:id="496"/>
      </w:r>
    </w:p>
    <w:p w14:paraId="6962EBCD" w14:textId="77777777" w:rsidR="00FD0545" w:rsidRPr="00E13CE5" w:rsidRDefault="00FD0545" w:rsidP="00FD0545">
      <w:pPr>
        <w:tabs>
          <w:tab w:val="left" w:pos="9781"/>
        </w:tabs>
        <w:ind w:right="-144"/>
        <w:rPr>
          <w:sz w:val="22"/>
          <w:szCs w:val="22"/>
        </w:rPr>
      </w:pPr>
    </w:p>
    <w:p w14:paraId="12FD1907" w14:textId="77777777" w:rsidR="00FD0545" w:rsidRPr="00E13CE5" w:rsidRDefault="00FD0545" w:rsidP="00FD0545">
      <w:pPr>
        <w:tabs>
          <w:tab w:val="left" w:pos="9781"/>
        </w:tabs>
        <w:ind w:right="-144"/>
        <w:rPr>
          <w:sz w:val="22"/>
          <w:szCs w:val="22"/>
        </w:rPr>
      </w:pPr>
      <w:r w:rsidRPr="00E13CE5">
        <w:rPr>
          <w:sz w:val="22"/>
          <w:szCs w:val="22"/>
        </w:rPr>
        <w:t xml:space="preserve">3.1. </w:t>
      </w:r>
      <w:r w:rsidRPr="00E13CE5">
        <w:rPr>
          <w:rStyle w:val="Lbjegyzet-hivatkozs"/>
          <w:sz w:val="22"/>
          <w:szCs w:val="22"/>
        </w:rPr>
        <w:footnoteReference w:id="497"/>
      </w:r>
      <w:r w:rsidRPr="00E13CE5">
        <w:rPr>
          <w:sz w:val="22"/>
          <w:szCs w:val="22"/>
        </w:rPr>
        <w:t xml:space="preserve"> A Professor Emeritust</w:t>
      </w:r>
      <w:r w:rsidRPr="00E13CE5">
        <w:rPr>
          <w:sz w:val="22"/>
          <w:szCs w:val="22"/>
          <w:vertAlign w:val="superscript"/>
        </w:rPr>
        <w:t xml:space="preserve"> </w:t>
      </w:r>
      <w:r w:rsidRPr="00E13CE5">
        <w:rPr>
          <w:sz w:val="22"/>
          <w:szCs w:val="22"/>
        </w:rPr>
        <w:t>az egyetemi tanári munkakör 1. fizetési fokozatának garantált illetményére megállapított összeg 30 %-</w:t>
      </w:r>
      <w:proofErr w:type="spellStart"/>
      <w:r w:rsidRPr="00E13CE5">
        <w:rPr>
          <w:sz w:val="22"/>
          <w:szCs w:val="22"/>
        </w:rPr>
        <w:t>ának</w:t>
      </w:r>
      <w:proofErr w:type="spellEnd"/>
      <w:r w:rsidRPr="00E13CE5">
        <w:rPr>
          <w:sz w:val="22"/>
          <w:szCs w:val="22"/>
        </w:rPr>
        <w:t xml:space="preserve"> megfelelő juttatás (tiszteletdíj) illeti meg</w:t>
      </w:r>
      <w:r w:rsidRPr="00E13CE5">
        <w:rPr>
          <w:b/>
          <w:i/>
          <w:sz w:val="22"/>
          <w:szCs w:val="22"/>
        </w:rPr>
        <w:t xml:space="preserve">, </w:t>
      </w:r>
      <w:r w:rsidRPr="00E13CE5">
        <w:rPr>
          <w:sz w:val="22"/>
          <w:szCs w:val="22"/>
        </w:rPr>
        <w:t>20….év ………………..hónap…………………napjától kezdődő hatállyal, amely adóköteles jövedelem.</w:t>
      </w:r>
    </w:p>
    <w:p w14:paraId="12B5D732" w14:textId="77777777" w:rsidR="00FD0545" w:rsidRPr="00E13CE5" w:rsidRDefault="00FD0545" w:rsidP="00FD0545">
      <w:pPr>
        <w:tabs>
          <w:tab w:val="left" w:pos="9781"/>
        </w:tabs>
        <w:ind w:right="-144"/>
        <w:jc w:val="both"/>
        <w:rPr>
          <w:b/>
          <w:i/>
          <w:sz w:val="22"/>
          <w:szCs w:val="22"/>
        </w:rPr>
      </w:pPr>
    </w:p>
    <w:p w14:paraId="650D4EBC" w14:textId="77777777" w:rsidR="00FD0545" w:rsidRPr="00E13CE5" w:rsidRDefault="00FD0545" w:rsidP="00FD0545">
      <w:pPr>
        <w:tabs>
          <w:tab w:val="left" w:pos="9781"/>
        </w:tabs>
        <w:ind w:right="-144"/>
        <w:jc w:val="both"/>
        <w:rPr>
          <w:sz w:val="22"/>
          <w:szCs w:val="22"/>
        </w:rPr>
      </w:pPr>
    </w:p>
    <w:p w14:paraId="4A927DA1" w14:textId="77777777" w:rsidR="00FD0545" w:rsidRPr="00E13CE5" w:rsidRDefault="00FD0545" w:rsidP="00FD0545">
      <w:pPr>
        <w:tabs>
          <w:tab w:val="left" w:pos="9781"/>
        </w:tabs>
        <w:ind w:right="-144"/>
        <w:jc w:val="both"/>
        <w:rPr>
          <w:strike/>
          <w:sz w:val="22"/>
          <w:szCs w:val="22"/>
        </w:rPr>
      </w:pPr>
      <w:r w:rsidRPr="00E13CE5">
        <w:rPr>
          <w:sz w:val="22"/>
          <w:szCs w:val="22"/>
        </w:rPr>
        <w:t xml:space="preserve">3.2. A Professor Emeritusnak a megállapodás 3. 1. pontja alapján biztosított juttatás fedezetét a cím adományozására javaslatot tevő Kar költségvetése biztosítja. </w:t>
      </w:r>
    </w:p>
    <w:p w14:paraId="70EA6293" w14:textId="77777777" w:rsidR="00FD0545" w:rsidRPr="00E13CE5" w:rsidRDefault="00FD0545" w:rsidP="00FD0545">
      <w:pPr>
        <w:tabs>
          <w:tab w:val="left" w:pos="5547"/>
        </w:tabs>
        <w:ind w:right="-144"/>
        <w:jc w:val="both"/>
        <w:rPr>
          <w:sz w:val="22"/>
          <w:szCs w:val="22"/>
        </w:rPr>
      </w:pPr>
    </w:p>
    <w:p w14:paraId="6AD4A07A" w14:textId="77777777" w:rsidR="00FD0545" w:rsidRPr="00E13CE5" w:rsidRDefault="00FD0545" w:rsidP="00FD0545">
      <w:pPr>
        <w:tabs>
          <w:tab w:val="left" w:pos="9781"/>
        </w:tabs>
        <w:ind w:right="-144"/>
        <w:jc w:val="center"/>
        <w:rPr>
          <w:b/>
          <w:sz w:val="22"/>
          <w:szCs w:val="22"/>
        </w:rPr>
      </w:pPr>
      <w:r w:rsidRPr="00E13CE5">
        <w:rPr>
          <w:b/>
          <w:sz w:val="22"/>
          <w:szCs w:val="22"/>
        </w:rPr>
        <w:t>A megállapodás hatálya</w:t>
      </w:r>
    </w:p>
    <w:p w14:paraId="7A1D6AEB" w14:textId="77777777" w:rsidR="00FD0545" w:rsidRPr="00E13CE5" w:rsidRDefault="00FD0545" w:rsidP="00FD0545">
      <w:pPr>
        <w:tabs>
          <w:tab w:val="left" w:pos="9781"/>
        </w:tabs>
        <w:ind w:right="-144"/>
        <w:jc w:val="center"/>
        <w:rPr>
          <w:sz w:val="22"/>
          <w:szCs w:val="22"/>
        </w:rPr>
      </w:pPr>
    </w:p>
    <w:p w14:paraId="559BAA49" w14:textId="77777777" w:rsidR="00FD0545" w:rsidRPr="00E13CE5" w:rsidRDefault="00FD0545" w:rsidP="00FD0545">
      <w:pPr>
        <w:tabs>
          <w:tab w:val="left" w:pos="9781"/>
        </w:tabs>
        <w:ind w:right="-144"/>
        <w:jc w:val="both"/>
        <w:rPr>
          <w:sz w:val="22"/>
          <w:szCs w:val="22"/>
        </w:rPr>
      </w:pPr>
      <w:r w:rsidRPr="00E13CE5">
        <w:rPr>
          <w:sz w:val="22"/>
          <w:szCs w:val="22"/>
        </w:rPr>
        <w:t>4.1. Jelen megállapodást Felek ………….. időtartamra (legfeljebb öt évre) kötik, a Professor Emeritus a megállapodás 3. 1. pontja szerinti juttatásra ezen időtartam alatt jogosult.</w:t>
      </w:r>
    </w:p>
    <w:p w14:paraId="4FE0A888" w14:textId="77777777" w:rsidR="00FD0545" w:rsidRPr="00E13CE5" w:rsidRDefault="00FD0545" w:rsidP="00FD0545">
      <w:pPr>
        <w:tabs>
          <w:tab w:val="left" w:pos="9781"/>
        </w:tabs>
        <w:ind w:right="-144"/>
        <w:jc w:val="both"/>
        <w:rPr>
          <w:sz w:val="22"/>
          <w:szCs w:val="22"/>
        </w:rPr>
      </w:pPr>
    </w:p>
    <w:p w14:paraId="78AE4677" w14:textId="77777777" w:rsidR="00FD0545" w:rsidRPr="00E13CE5" w:rsidRDefault="00FD0545" w:rsidP="00FD0545">
      <w:pPr>
        <w:tabs>
          <w:tab w:val="left" w:pos="9781"/>
        </w:tabs>
        <w:ind w:right="-144"/>
        <w:jc w:val="both"/>
        <w:rPr>
          <w:sz w:val="22"/>
          <w:szCs w:val="22"/>
        </w:rPr>
      </w:pPr>
      <w:r w:rsidRPr="00E13CE5">
        <w:rPr>
          <w:sz w:val="22"/>
          <w:szCs w:val="22"/>
        </w:rPr>
        <w:t>4.2. Jelen megállapodást felek legfeljebb további 5 évvel írásban meghosszabbíthatják. A megállapodás meghosszabbítása esetén a Professor Emeritus jogait, kötelezettségeit, továbbá az őt megillető juttatásokat tanévenként felül kell vizsgálni.</w:t>
      </w:r>
    </w:p>
    <w:p w14:paraId="50D233FF" w14:textId="77777777" w:rsidR="00FD0545" w:rsidRPr="00E13CE5" w:rsidRDefault="00FD0545" w:rsidP="00FD0545">
      <w:pPr>
        <w:tabs>
          <w:tab w:val="left" w:pos="9781"/>
        </w:tabs>
        <w:ind w:right="-144"/>
        <w:jc w:val="both"/>
        <w:rPr>
          <w:sz w:val="22"/>
          <w:szCs w:val="22"/>
        </w:rPr>
      </w:pPr>
    </w:p>
    <w:p w14:paraId="2B21A5B7" w14:textId="77777777" w:rsidR="00FD0545" w:rsidRPr="00E13CE5" w:rsidRDefault="00FD0545" w:rsidP="00FD0545">
      <w:pPr>
        <w:tabs>
          <w:tab w:val="left" w:pos="9781"/>
        </w:tabs>
        <w:ind w:right="-144"/>
        <w:jc w:val="both"/>
        <w:rPr>
          <w:sz w:val="22"/>
          <w:szCs w:val="22"/>
        </w:rPr>
      </w:pPr>
      <w:r w:rsidRPr="00E13CE5">
        <w:rPr>
          <w:sz w:val="22"/>
          <w:szCs w:val="22"/>
        </w:rPr>
        <w:t>4.3. A Professor Emeritus cím használata a jogosultat akkor is megilleti, ha a juttatásra már nem jogosult.</w:t>
      </w:r>
    </w:p>
    <w:p w14:paraId="44DF1C6C" w14:textId="77777777" w:rsidR="00FD0545" w:rsidRPr="00E13CE5" w:rsidRDefault="00FD0545" w:rsidP="00FD0545">
      <w:pPr>
        <w:tabs>
          <w:tab w:val="left" w:pos="9781"/>
        </w:tabs>
        <w:ind w:right="-144"/>
        <w:jc w:val="both"/>
        <w:rPr>
          <w:sz w:val="22"/>
          <w:szCs w:val="22"/>
        </w:rPr>
      </w:pPr>
    </w:p>
    <w:p w14:paraId="3E5224E4" w14:textId="77777777" w:rsidR="00FD0545" w:rsidRPr="00E13CE5" w:rsidRDefault="00FD0545" w:rsidP="00FD0545">
      <w:pPr>
        <w:tabs>
          <w:tab w:val="left" w:pos="9781"/>
        </w:tabs>
        <w:ind w:right="-144"/>
        <w:jc w:val="both"/>
        <w:rPr>
          <w:sz w:val="22"/>
          <w:szCs w:val="22"/>
        </w:rPr>
      </w:pPr>
      <w:r w:rsidRPr="00E13CE5">
        <w:rPr>
          <w:sz w:val="22"/>
          <w:szCs w:val="22"/>
        </w:rPr>
        <w:t>4.4. Felek jelen megállapodást 3 hónapos felmondási idővel felmondhatják. A megállapodás felmondása esetén a Professor Emeritus a cím viselésére jogosult marad.</w:t>
      </w:r>
    </w:p>
    <w:p w14:paraId="705E0782" w14:textId="77777777" w:rsidR="00FD0545" w:rsidRPr="00E13CE5" w:rsidRDefault="00FD0545" w:rsidP="00FD0545">
      <w:pPr>
        <w:tabs>
          <w:tab w:val="left" w:pos="9781"/>
        </w:tabs>
        <w:ind w:right="-144"/>
        <w:jc w:val="both"/>
        <w:rPr>
          <w:sz w:val="22"/>
          <w:szCs w:val="22"/>
        </w:rPr>
      </w:pPr>
    </w:p>
    <w:p w14:paraId="6252E768" w14:textId="77777777" w:rsidR="00FD0545" w:rsidRPr="00E13CE5" w:rsidRDefault="00FD0545" w:rsidP="00FD0545">
      <w:pPr>
        <w:tabs>
          <w:tab w:val="left" w:pos="9781"/>
        </w:tabs>
        <w:ind w:right="-144"/>
        <w:jc w:val="both"/>
        <w:rPr>
          <w:sz w:val="22"/>
          <w:szCs w:val="22"/>
        </w:rPr>
      </w:pPr>
    </w:p>
    <w:p w14:paraId="21847140" w14:textId="77777777" w:rsidR="00FD0545" w:rsidRPr="00E13CE5" w:rsidRDefault="00FD0545" w:rsidP="00FD0545">
      <w:pPr>
        <w:tabs>
          <w:tab w:val="left" w:pos="9781"/>
        </w:tabs>
        <w:ind w:right="-144"/>
        <w:jc w:val="both"/>
        <w:rPr>
          <w:sz w:val="22"/>
          <w:szCs w:val="22"/>
        </w:rPr>
      </w:pPr>
    </w:p>
    <w:p w14:paraId="70F97060" w14:textId="77777777" w:rsidR="00FD0545" w:rsidRPr="00E13CE5" w:rsidRDefault="00FD0545" w:rsidP="00FD0545">
      <w:pPr>
        <w:tabs>
          <w:tab w:val="left" w:pos="9781"/>
        </w:tabs>
        <w:ind w:right="-144"/>
        <w:jc w:val="both"/>
        <w:rPr>
          <w:sz w:val="22"/>
          <w:szCs w:val="22"/>
        </w:rPr>
      </w:pPr>
    </w:p>
    <w:p w14:paraId="2C5901B2" w14:textId="77777777" w:rsidR="00FD0545" w:rsidRPr="00E13CE5" w:rsidRDefault="00FD0545" w:rsidP="00FD0545">
      <w:pPr>
        <w:tabs>
          <w:tab w:val="left" w:pos="9781"/>
        </w:tabs>
        <w:ind w:right="-144"/>
        <w:jc w:val="both"/>
        <w:rPr>
          <w:sz w:val="22"/>
          <w:szCs w:val="22"/>
        </w:rPr>
      </w:pPr>
    </w:p>
    <w:p w14:paraId="6DA2D603" w14:textId="77777777" w:rsidR="00FD0545" w:rsidRPr="00E13CE5" w:rsidRDefault="00FD0545" w:rsidP="00FD0545">
      <w:pPr>
        <w:tabs>
          <w:tab w:val="left" w:pos="9781"/>
        </w:tabs>
        <w:ind w:right="-144"/>
        <w:jc w:val="both"/>
        <w:rPr>
          <w:sz w:val="22"/>
          <w:szCs w:val="22"/>
        </w:rPr>
      </w:pPr>
      <w:r w:rsidRPr="00E13CE5">
        <w:rPr>
          <w:sz w:val="22"/>
          <w:szCs w:val="22"/>
        </w:rPr>
        <w:t>Pécs, 20…………………………………..</w:t>
      </w:r>
    </w:p>
    <w:p w14:paraId="1AF934D1" w14:textId="77777777" w:rsidR="00FD0545" w:rsidRPr="00E13CE5" w:rsidRDefault="00FD0545" w:rsidP="00FD0545">
      <w:pPr>
        <w:tabs>
          <w:tab w:val="left" w:pos="9781"/>
        </w:tabs>
        <w:ind w:right="-144"/>
        <w:jc w:val="both"/>
        <w:rPr>
          <w:sz w:val="22"/>
          <w:szCs w:val="22"/>
        </w:rPr>
      </w:pPr>
    </w:p>
    <w:p w14:paraId="656BF5FD" w14:textId="77777777" w:rsidR="00FD0545" w:rsidRPr="00E13CE5" w:rsidRDefault="00FD0545" w:rsidP="00FD0545">
      <w:pPr>
        <w:tabs>
          <w:tab w:val="left" w:pos="709"/>
          <w:tab w:val="left" w:pos="9781"/>
        </w:tabs>
        <w:ind w:right="-144"/>
        <w:rPr>
          <w:sz w:val="22"/>
          <w:szCs w:val="22"/>
        </w:rPr>
      </w:pPr>
    </w:p>
    <w:p w14:paraId="79C8D05C" w14:textId="77777777" w:rsidR="00FD0545" w:rsidRPr="00E13CE5" w:rsidRDefault="00FD0545" w:rsidP="00FD0545">
      <w:pPr>
        <w:tabs>
          <w:tab w:val="left" w:pos="709"/>
          <w:tab w:val="left" w:pos="9781"/>
        </w:tabs>
        <w:ind w:right="-144"/>
        <w:jc w:val="center"/>
        <w:rPr>
          <w:sz w:val="22"/>
          <w:szCs w:val="22"/>
        </w:rPr>
      </w:pPr>
    </w:p>
    <w:p w14:paraId="27EE5761" w14:textId="77777777" w:rsidR="00FD0545" w:rsidRPr="00E13CE5" w:rsidRDefault="00FD0545" w:rsidP="00FD0545">
      <w:pPr>
        <w:tabs>
          <w:tab w:val="left" w:pos="709"/>
          <w:tab w:val="left" w:pos="9781"/>
        </w:tabs>
        <w:ind w:right="-144"/>
        <w:jc w:val="center"/>
        <w:rPr>
          <w:sz w:val="22"/>
          <w:szCs w:val="22"/>
        </w:rPr>
      </w:pPr>
    </w:p>
    <w:p w14:paraId="7D9AE4C0" w14:textId="77777777" w:rsidR="00FD0545" w:rsidRPr="00E13CE5" w:rsidRDefault="00FD0545" w:rsidP="00FD0545">
      <w:pPr>
        <w:tabs>
          <w:tab w:val="left" w:pos="709"/>
          <w:tab w:val="left" w:pos="9781"/>
        </w:tabs>
        <w:ind w:right="-144"/>
        <w:jc w:val="center"/>
        <w:rPr>
          <w:sz w:val="22"/>
          <w:szCs w:val="22"/>
        </w:rPr>
      </w:pPr>
      <w:r w:rsidRPr="00E13CE5">
        <w:rPr>
          <w:sz w:val="22"/>
          <w:szCs w:val="22"/>
        </w:rPr>
        <w:t>……………………                                                                             …………………………….</w:t>
      </w:r>
    </w:p>
    <w:p w14:paraId="3A4682A6" w14:textId="77777777" w:rsidR="00FD0545" w:rsidRPr="00E13CE5" w:rsidRDefault="00FD0545" w:rsidP="00FD0545">
      <w:pPr>
        <w:tabs>
          <w:tab w:val="left" w:pos="9781"/>
          <w:tab w:val="left" w:pos="10395"/>
        </w:tabs>
        <w:ind w:right="-144"/>
        <w:jc w:val="center"/>
        <w:rPr>
          <w:rFonts w:eastAsia="Calibri"/>
          <w:sz w:val="22"/>
          <w:szCs w:val="22"/>
        </w:rPr>
      </w:pPr>
      <w:r w:rsidRPr="00E13CE5">
        <w:rPr>
          <w:sz w:val="22"/>
          <w:szCs w:val="22"/>
        </w:rPr>
        <w:t>Egyetem                                                                                     Professor Emeritus/Emerita</w:t>
      </w:r>
    </w:p>
    <w:p w14:paraId="3E0EFF89" w14:textId="77777777" w:rsidR="00FD0545" w:rsidRPr="00E13CE5" w:rsidRDefault="00FD0545" w:rsidP="00FD0545">
      <w:pPr>
        <w:tabs>
          <w:tab w:val="left" w:pos="9781"/>
        </w:tabs>
        <w:ind w:right="-144"/>
        <w:jc w:val="both"/>
        <w:rPr>
          <w:sz w:val="22"/>
          <w:szCs w:val="22"/>
        </w:rPr>
      </w:pPr>
    </w:p>
    <w:p w14:paraId="606DED74" w14:textId="77777777" w:rsidR="00FD0545" w:rsidRPr="00E13CE5" w:rsidRDefault="00FD0545" w:rsidP="00FD0545">
      <w:pPr>
        <w:tabs>
          <w:tab w:val="left" w:pos="9781"/>
        </w:tabs>
        <w:ind w:right="-144"/>
        <w:jc w:val="both"/>
        <w:rPr>
          <w:sz w:val="22"/>
          <w:szCs w:val="22"/>
        </w:rPr>
      </w:pPr>
    </w:p>
    <w:p w14:paraId="743B6E4D" w14:textId="77777777" w:rsidR="00FD0545" w:rsidRPr="00E13CE5" w:rsidRDefault="00FD0545" w:rsidP="00FD0545">
      <w:pPr>
        <w:tabs>
          <w:tab w:val="left" w:pos="9781"/>
        </w:tabs>
        <w:ind w:right="-144"/>
        <w:jc w:val="both"/>
        <w:rPr>
          <w:sz w:val="22"/>
          <w:szCs w:val="22"/>
        </w:rPr>
      </w:pPr>
    </w:p>
    <w:p w14:paraId="27038725" w14:textId="77777777" w:rsidR="00FD0545" w:rsidRPr="00E13CE5" w:rsidRDefault="00FD0545" w:rsidP="00FD0545">
      <w:pPr>
        <w:tabs>
          <w:tab w:val="left" w:pos="9781"/>
        </w:tabs>
        <w:ind w:right="-144"/>
        <w:jc w:val="both"/>
        <w:rPr>
          <w:sz w:val="22"/>
          <w:szCs w:val="22"/>
        </w:rPr>
      </w:pPr>
    </w:p>
    <w:p w14:paraId="4D6463FE" w14:textId="77777777" w:rsidR="00FD0545" w:rsidRPr="00E13CE5" w:rsidRDefault="00FD0545" w:rsidP="00FD0545">
      <w:pPr>
        <w:tabs>
          <w:tab w:val="left" w:pos="9781"/>
        </w:tabs>
        <w:ind w:right="-144"/>
        <w:jc w:val="both"/>
        <w:rPr>
          <w:sz w:val="22"/>
          <w:szCs w:val="22"/>
        </w:rPr>
      </w:pPr>
      <w:r w:rsidRPr="00E13CE5">
        <w:rPr>
          <w:sz w:val="22"/>
          <w:szCs w:val="22"/>
        </w:rPr>
        <w:t>……………………………..</w:t>
      </w:r>
    </w:p>
    <w:p w14:paraId="1F5CE10A" w14:textId="77777777" w:rsidR="00FD0545" w:rsidRPr="00E13CE5" w:rsidRDefault="00FD0545" w:rsidP="00FD0545">
      <w:pPr>
        <w:tabs>
          <w:tab w:val="left" w:pos="9781"/>
        </w:tabs>
        <w:ind w:right="-144"/>
        <w:jc w:val="both"/>
        <w:rPr>
          <w:sz w:val="22"/>
          <w:szCs w:val="22"/>
        </w:rPr>
      </w:pPr>
      <w:r w:rsidRPr="00E13CE5">
        <w:rPr>
          <w:sz w:val="22"/>
          <w:szCs w:val="22"/>
        </w:rPr>
        <w:t xml:space="preserve">      pénzügyi ellenjegyző</w:t>
      </w:r>
    </w:p>
    <w:p w14:paraId="49320756" w14:textId="77777777" w:rsidR="00FD0545" w:rsidRPr="00E13CE5" w:rsidRDefault="00FD0545" w:rsidP="00FD0545">
      <w:pPr>
        <w:tabs>
          <w:tab w:val="left" w:pos="9781"/>
        </w:tabs>
        <w:ind w:right="-144"/>
        <w:jc w:val="both"/>
        <w:rPr>
          <w:sz w:val="22"/>
          <w:szCs w:val="22"/>
        </w:rPr>
      </w:pPr>
    </w:p>
    <w:p w14:paraId="1F504BC1" w14:textId="22307D87" w:rsidR="00FD0545" w:rsidRPr="00E13CE5" w:rsidRDefault="00FD0545" w:rsidP="00FD0545">
      <w:pPr>
        <w:tabs>
          <w:tab w:val="left" w:pos="9781"/>
        </w:tabs>
        <w:ind w:right="-144"/>
        <w:jc w:val="both"/>
        <w:rPr>
          <w:sz w:val="22"/>
          <w:szCs w:val="22"/>
        </w:rPr>
      </w:pPr>
      <w:r w:rsidRPr="00E13CE5">
        <w:rPr>
          <w:sz w:val="22"/>
          <w:szCs w:val="22"/>
        </w:rPr>
        <w:t>Kötelező melléklet:</w:t>
      </w:r>
      <w:r w:rsidR="008F3214">
        <w:rPr>
          <w:sz w:val="22"/>
          <w:szCs w:val="22"/>
        </w:rPr>
        <w:t xml:space="preserve"> </w:t>
      </w:r>
      <w:r w:rsidRPr="00E13CE5">
        <w:rPr>
          <w:sz w:val="22"/>
          <w:szCs w:val="22"/>
        </w:rPr>
        <w:t xml:space="preserve">adóelőleg-nyilatkozat (a megállapodás megkötésekor, ezt követően évente január 15. napjáig benyújtandó a PTE </w:t>
      </w:r>
      <w:r w:rsidR="008F3214" w:rsidRPr="008F3214">
        <w:rPr>
          <w:b/>
          <w:bCs/>
          <w:i/>
          <w:iCs/>
          <w:sz w:val="22"/>
          <w:szCs w:val="22"/>
        </w:rPr>
        <w:t>Kancellári Hivatal</w:t>
      </w:r>
      <w:r w:rsidR="008F3214">
        <w:rPr>
          <w:sz w:val="22"/>
          <w:szCs w:val="22"/>
        </w:rPr>
        <w:t xml:space="preserve"> </w:t>
      </w:r>
      <w:r w:rsidRPr="00E13CE5">
        <w:rPr>
          <w:sz w:val="22"/>
          <w:szCs w:val="22"/>
        </w:rPr>
        <w:t xml:space="preserve">Humánpolitikai </w:t>
      </w:r>
      <w:r w:rsidRPr="008F3214">
        <w:rPr>
          <w:strike/>
          <w:sz w:val="22"/>
          <w:szCs w:val="22"/>
        </w:rPr>
        <w:t>Igazgatóságára</w:t>
      </w:r>
      <w:r w:rsidR="008F3214">
        <w:rPr>
          <w:strike/>
          <w:sz w:val="22"/>
          <w:szCs w:val="22"/>
        </w:rPr>
        <w:t xml:space="preserve"> </w:t>
      </w:r>
      <w:r w:rsidR="008F3214" w:rsidRPr="008F3214">
        <w:rPr>
          <w:b/>
          <w:bCs/>
          <w:i/>
          <w:iCs/>
          <w:sz w:val="22"/>
          <w:szCs w:val="22"/>
        </w:rPr>
        <w:t>Főosztályára</w:t>
      </w:r>
      <w:r w:rsidRPr="00E13CE5">
        <w:rPr>
          <w:sz w:val="22"/>
          <w:szCs w:val="22"/>
        </w:rPr>
        <w:t xml:space="preserve">. A nyomtatvány a </w:t>
      </w:r>
      <w:hyperlink r:id="rId20" w:history="1">
        <w:r w:rsidRPr="00E13CE5">
          <w:rPr>
            <w:rStyle w:val="Hiperhivatkozs"/>
            <w:color w:val="auto"/>
            <w:sz w:val="22"/>
            <w:szCs w:val="22"/>
          </w:rPr>
          <w:t>http://hr.pte.hu/</w:t>
        </w:r>
      </w:hyperlink>
      <w:r w:rsidRPr="00E13CE5">
        <w:rPr>
          <w:sz w:val="22"/>
          <w:szCs w:val="22"/>
        </w:rPr>
        <w:t xml:space="preserve"> címen a nyomtatványok között érhető el.)</w:t>
      </w:r>
    </w:p>
    <w:p w14:paraId="6676F8F6" w14:textId="77777777" w:rsidR="00FD0545" w:rsidRPr="00E13CE5" w:rsidRDefault="00FD0545" w:rsidP="00FD0545">
      <w:pPr>
        <w:tabs>
          <w:tab w:val="left" w:pos="9781"/>
        </w:tabs>
        <w:ind w:right="-144"/>
        <w:jc w:val="both"/>
        <w:rPr>
          <w:sz w:val="22"/>
          <w:szCs w:val="22"/>
        </w:rPr>
      </w:pPr>
      <w:r w:rsidRPr="00E13CE5">
        <w:rPr>
          <w:sz w:val="22"/>
          <w:szCs w:val="22"/>
        </w:rPr>
        <w:br w:type="page"/>
      </w:r>
    </w:p>
    <w:p w14:paraId="7D39EB00" w14:textId="77777777" w:rsidR="00FD0545" w:rsidRPr="00E13CE5" w:rsidRDefault="00FD0545" w:rsidP="00FD0545">
      <w:pPr>
        <w:jc w:val="center"/>
        <w:rPr>
          <w:b/>
        </w:rPr>
      </w:pPr>
      <w:r w:rsidRPr="00E13CE5">
        <w:rPr>
          <w:b/>
        </w:rPr>
        <w:lastRenderedPageBreak/>
        <w:t>3. B számú melléklet</w:t>
      </w:r>
    </w:p>
    <w:p w14:paraId="31F965F2" w14:textId="77777777" w:rsidR="00FD0545" w:rsidRPr="00E13CE5" w:rsidRDefault="00FD0545" w:rsidP="00FD0545">
      <w:pPr>
        <w:tabs>
          <w:tab w:val="left" w:pos="9781"/>
        </w:tabs>
        <w:ind w:right="-144"/>
        <w:rPr>
          <w:sz w:val="22"/>
          <w:szCs w:val="22"/>
        </w:rPr>
      </w:pPr>
    </w:p>
    <w:p w14:paraId="47C8D3FF" w14:textId="77777777" w:rsidR="00FD0545" w:rsidRPr="00E13CE5" w:rsidRDefault="00FD0545" w:rsidP="00FD0545">
      <w:pPr>
        <w:pBdr>
          <w:top w:val="single" w:sz="4" w:space="1" w:color="auto"/>
          <w:left w:val="single" w:sz="4" w:space="4" w:color="auto"/>
          <w:bottom w:val="single" w:sz="4" w:space="1" w:color="auto"/>
          <w:right w:val="single" w:sz="4" w:space="4" w:color="auto"/>
        </w:pBdr>
        <w:shd w:val="clear" w:color="auto" w:fill="B3B3B3"/>
        <w:tabs>
          <w:tab w:val="left" w:pos="9781"/>
        </w:tabs>
        <w:ind w:right="-144"/>
        <w:jc w:val="center"/>
        <w:rPr>
          <w:b/>
          <w:sz w:val="22"/>
          <w:szCs w:val="22"/>
        </w:rPr>
      </w:pPr>
      <w:r w:rsidRPr="00E13CE5">
        <w:rPr>
          <w:b/>
          <w:sz w:val="22"/>
          <w:szCs w:val="22"/>
        </w:rPr>
        <w:t>Megállapodás a Professor Emeritus/ Emerita (továbbiakban együtt: Professor Emeritus) címmel járó juttatásokról</w:t>
      </w:r>
    </w:p>
    <w:p w14:paraId="7E79CABB" w14:textId="77777777" w:rsidR="00FD0545" w:rsidRPr="00E13CE5" w:rsidRDefault="00FD0545" w:rsidP="00FD0545">
      <w:pPr>
        <w:tabs>
          <w:tab w:val="left" w:pos="9781"/>
        </w:tabs>
        <w:ind w:right="-144"/>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910"/>
      </w:tblGrid>
      <w:tr w:rsidR="00FD0545" w:rsidRPr="00E13CE5" w14:paraId="271284F7" w14:textId="77777777" w:rsidTr="00026782">
        <w:tc>
          <w:tcPr>
            <w:tcW w:w="4606" w:type="dxa"/>
          </w:tcPr>
          <w:p w14:paraId="216353C2" w14:textId="77777777" w:rsidR="00FD0545" w:rsidRPr="00E13CE5" w:rsidRDefault="00FD0545" w:rsidP="00026782">
            <w:pPr>
              <w:tabs>
                <w:tab w:val="left" w:pos="9781"/>
              </w:tabs>
              <w:ind w:right="-144"/>
              <w:jc w:val="both"/>
              <w:rPr>
                <w:b/>
                <w:sz w:val="22"/>
                <w:szCs w:val="22"/>
              </w:rPr>
            </w:pPr>
            <w:r w:rsidRPr="00E13CE5">
              <w:rPr>
                <w:b/>
                <w:sz w:val="22"/>
                <w:szCs w:val="22"/>
              </w:rPr>
              <w:t>A Professor Emeritus neve</w:t>
            </w:r>
          </w:p>
        </w:tc>
        <w:tc>
          <w:tcPr>
            <w:tcW w:w="5708" w:type="dxa"/>
          </w:tcPr>
          <w:p w14:paraId="7A90FBA3" w14:textId="77777777" w:rsidR="00FD0545" w:rsidRPr="00E13CE5" w:rsidRDefault="00FD0545" w:rsidP="00026782">
            <w:pPr>
              <w:tabs>
                <w:tab w:val="left" w:pos="9781"/>
              </w:tabs>
              <w:ind w:right="-144"/>
              <w:jc w:val="both"/>
              <w:rPr>
                <w:sz w:val="22"/>
                <w:szCs w:val="22"/>
              </w:rPr>
            </w:pPr>
          </w:p>
        </w:tc>
      </w:tr>
      <w:tr w:rsidR="00FD0545" w:rsidRPr="00E13CE5" w14:paraId="682DA601" w14:textId="77777777" w:rsidTr="00026782">
        <w:tc>
          <w:tcPr>
            <w:tcW w:w="4606" w:type="dxa"/>
          </w:tcPr>
          <w:p w14:paraId="0C83CF2D" w14:textId="77777777" w:rsidR="00FD0545" w:rsidRPr="00E13CE5" w:rsidRDefault="00FD0545" w:rsidP="00026782">
            <w:pPr>
              <w:tabs>
                <w:tab w:val="left" w:pos="9781"/>
              </w:tabs>
              <w:ind w:right="-144"/>
              <w:jc w:val="both"/>
              <w:rPr>
                <w:b/>
                <w:sz w:val="22"/>
                <w:szCs w:val="22"/>
              </w:rPr>
            </w:pPr>
            <w:r w:rsidRPr="00E13CE5">
              <w:rPr>
                <w:b/>
                <w:sz w:val="22"/>
                <w:szCs w:val="22"/>
              </w:rPr>
              <w:t>Születési neve</w:t>
            </w:r>
          </w:p>
        </w:tc>
        <w:tc>
          <w:tcPr>
            <w:tcW w:w="5708" w:type="dxa"/>
          </w:tcPr>
          <w:p w14:paraId="37AFA3DA" w14:textId="77777777" w:rsidR="00FD0545" w:rsidRPr="00E13CE5" w:rsidRDefault="00FD0545" w:rsidP="00026782">
            <w:pPr>
              <w:tabs>
                <w:tab w:val="left" w:pos="9781"/>
              </w:tabs>
              <w:ind w:right="-144"/>
              <w:jc w:val="both"/>
              <w:rPr>
                <w:sz w:val="22"/>
                <w:szCs w:val="22"/>
              </w:rPr>
            </w:pPr>
          </w:p>
        </w:tc>
      </w:tr>
      <w:tr w:rsidR="00FD0545" w:rsidRPr="00E13CE5" w14:paraId="37BFD42A" w14:textId="77777777" w:rsidTr="00026782">
        <w:tc>
          <w:tcPr>
            <w:tcW w:w="4606" w:type="dxa"/>
          </w:tcPr>
          <w:p w14:paraId="3A465CF7" w14:textId="77777777" w:rsidR="00FD0545" w:rsidRPr="00E13CE5" w:rsidRDefault="00FD0545" w:rsidP="00026782">
            <w:pPr>
              <w:tabs>
                <w:tab w:val="left" w:pos="9781"/>
              </w:tabs>
              <w:ind w:right="-144"/>
              <w:jc w:val="both"/>
              <w:rPr>
                <w:b/>
                <w:sz w:val="22"/>
                <w:szCs w:val="22"/>
              </w:rPr>
            </w:pPr>
            <w:r w:rsidRPr="00E13CE5">
              <w:rPr>
                <w:b/>
                <w:sz w:val="22"/>
                <w:szCs w:val="22"/>
              </w:rPr>
              <w:t>Születési helye, ideje</w:t>
            </w:r>
          </w:p>
        </w:tc>
        <w:tc>
          <w:tcPr>
            <w:tcW w:w="5708" w:type="dxa"/>
          </w:tcPr>
          <w:p w14:paraId="38693916" w14:textId="77777777" w:rsidR="00FD0545" w:rsidRPr="00E13CE5" w:rsidRDefault="00FD0545" w:rsidP="00026782">
            <w:pPr>
              <w:tabs>
                <w:tab w:val="left" w:pos="9781"/>
              </w:tabs>
              <w:ind w:right="-144"/>
              <w:jc w:val="both"/>
              <w:rPr>
                <w:sz w:val="22"/>
                <w:szCs w:val="22"/>
              </w:rPr>
            </w:pPr>
          </w:p>
        </w:tc>
      </w:tr>
      <w:tr w:rsidR="00FD0545" w:rsidRPr="00E13CE5" w14:paraId="03EA07B8" w14:textId="77777777" w:rsidTr="00026782">
        <w:tc>
          <w:tcPr>
            <w:tcW w:w="4606" w:type="dxa"/>
          </w:tcPr>
          <w:p w14:paraId="553B1A8F" w14:textId="77777777" w:rsidR="00FD0545" w:rsidRPr="00E13CE5" w:rsidRDefault="00FD0545" w:rsidP="00026782">
            <w:pPr>
              <w:tabs>
                <w:tab w:val="left" w:pos="9781"/>
              </w:tabs>
              <w:ind w:right="-144"/>
              <w:jc w:val="both"/>
              <w:rPr>
                <w:b/>
                <w:sz w:val="22"/>
                <w:szCs w:val="22"/>
              </w:rPr>
            </w:pPr>
            <w:r w:rsidRPr="00E13CE5">
              <w:rPr>
                <w:b/>
                <w:sz w:val="22"/>
                <w:szCs w:val="22"/>
              </w:rPr>
              <w:t>Anyja neve</w:t>
            </w:r>
          </w:p>
        </w:tc>
        <w:tc>
          <w:tcPr>
            <w:tcW w:w="5708" w:type="dxa"/>
          </w:tcPr>
          <w:p w14:paraId="5776CED8" w14:textId="77777777" w:rsidR="00FD0545" w:rsidRPr="00E13CE5" w:rsidRDefault="00FD0545" w:rsidP="00026782">
            <w:pPr>
              <w:tabs>
                <w:tab w:val="left" w:pos="9781"/>
              </w:tabs>
              <w:ind w:right="-144"/>
              <w:jc w:val="both"/>
              <w:rPr>
                <w:sz w:val="22"/>
                <w:szCs w:val="22"/>
              </w:rPr>
            </w:pPr>
          </w:p>
        </w:tc>
      </w:tr>
      <w:tr w:rsidR="00FD0545" w:rsidRPr="00E13CE5" w14:paraId="21CEA94D" w14:textId="77777777" w:rsidTr="00026782">
        <w:tc>
          <w:tcPr>
            <w:tcW w:w="4606" w:type="dxa"/>
          </w:tcPr>
          <w:p w14:paraId="4436C9C0" w14:textId="77777777" w:rsidR="00FD0545" w:rsidRPr="00E13CE5" w:rsidRDefault="00FD0545" w:rsidP="00026782">
            <w:pPr>
              <w:tabs>
                <w:tab w:val="left" w:pos="9781"/>
              </w:tabs>
              <w:ind w:right="-144"/>
              <w:jc w:val="both"/>
              <w:rPr>
                <w:b/>
                <w:sz w:val="22"/>
                <w:szCs w:val="22"/>
              </w:rPr>
            </w:pPr>
            <w:r w:rsidRPr="00E13CE5">
              <w:rPr>
                <w:b/>
                <w:sz w:val="22"/>
                <w:szCs w:val="22"/>
              </w:rPr>
              <w:t>Állandó lakcíme</w:t>
            </w:r>
          </w:p>
        </w:tc>
        <w:tc>
          <w:tcPr>
            <w:tcW w:w="5708" w:type="dxa"/>
          </w:tcPr>
          <w:p w14:paraId="04E6B587" w14:textId="77777777" w:rsidR="00FD0545" w:rsidRPr="00E13CE5" w:rsidRDefault="00FD0545" w:rsidP="00026782">
            <w:pPr>
              <w:tabs>
                <w:tab w:val="left" w:pos="9781"/>
              </w:tabs>
              <w:ind w:right="-144"/>
              <w:jc w:val="both"/>
              <w:rPr>
                <w:sz w:val="22"/>
                <w:szCs w:val="22"/>
              </w:rPr>
            </w:pPr>
          </w:p>
        </w:tc>
      </w:tr>
      <w:tr w:rsidR="00FD0545" w:rsidRPr="00E13CE5" w14:paraId="4D37905E" w14:textId="77777777" w:rsidTr="00026782">
        <w:tc>
          <w:tcPr>
            <w:tcW w:w="4606" w:type="dxa"/>
          </w:tcPr>
          <w:p w14:paraId="1041BDBA"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5708" w:type="dxa"/>
          </w:tcPr>
          <w:p w14:paraId="45183860" w14:textId="77777777" w:rsidR="00FD0545" w:rsidRPr="00E13CE5" w:rsidRDefault="00FD0545" w:rsidP="00026782">
            <w:pPr>
              <w:tabs>
                <w:tab w:val="left" w:pos="9781"/>
              </w:tabs>
              <w:ind w:right="-144"/>
              <w:jc w:val="both"/>
              <w:rPr>
                <w:sz w:val="22"/>
                <w:szCs w:val="22"/>
              </w:rPr>
            </w:pPr>
          </w:p>
        </w:tc>
      </w:tr>
      <w:tr w:rsidR="00FD0545" w:rsidRPr="00E13CE5" w14:paraId="2BFCEF6A" w14:textId="77777777" w:rsidTr="00026782">
        <w:tc>
          <w:tcPr>
            <w:tcW w:w="4606" w:type="dxa"/>
          </w:tcPr>
          <w:p w14:paraId="67AA49A7" w14:textId="77777777" w:rsidR="00FD0545" w:rsidRPr="00E13CE5" w:rsidRDefault="00FD0545" w:rsidP="00026782">
            <w:pPr>
              <w:tabs>
                <w:tab w:val="left" w:pos="9781"/>
              </w:tabs>
              <w:ind w:right="-144"/>
              <w:jc w:val="both"/>
              <w:rPr>
                <w:b/>
                <w:sz w:val="22"/>
                <w:szCs w:val="22"/>
              </w:rPr>
            </w:pPr>
            <w:r w:rsidRPr="00E13CE5">
              <w:rPr>
                <w:b/>
                <w:sz w:val="22"/>
                <w:szCs w:val="22"/>
              </w:rPr>
              <w:t>Oktatói azonosítója</w:t>
            </w:r>
          </w:p>
        </w:tc>
        <w:tc>
          <w:tcPr>
            <w:tcW w:w="5708" w:type="dxa"/>
          </w:tcPr>
          <w:p w14:paraId="0AD86DE7" w14:textId="77777777" w:rsidR="00FD0545" w:rsidRPr="00E13CE5" w:rsidRDefault="00FD0545" w:rsidP="00026782">
            <w:pPr>
              <w:tabs>
                <w:tab w:val="left" w:pos="9781"/>
              </w:tabs>
              <w:ind w:right="-144"/>
              <w:jc w:val="both"/>
              <w:rPr>
                <w:sz w:val="22"/>
                <w:szCs w:val="22"/>
              </w:rPr>
            </w:pPr>
          </w:p>
        </w:tc>
      </w:tr>
      <w:tr w:rsidR="00FD0545" w:rsidRPr="00E13CE5" w14:paraId="1374B529" w14:textId="77777777" w:rsidTr="00026782">
        <w:tc>
          <w:tcPr>
            <w:tcW w:w="4606" w:type="dxa"/>
          </w:tcPr>
          <w:p w14:paraId="21798DB3" w14:textId="77777777" w:rsidR="00FD0545" w:rsidRPr="00E13CE5" w:rsidRDefault="00FD0545" w:rsidP="00026782">
            <w:pPr>
              <w:tabs>
                <w:tab w:val="left" w:pos="9781"/>
              </w:tabs>
              <w:ind w:right="-144"/>
              <w:jc w:val="both"/>
              <w:rPr>
                <w:b/>
                <w:sz w:val="22"/>
                <w:szCs w:val="22"/>
              </w:rPr>
            </w:pPr>
            <w:r w:rsidRPr="00E13CE5">
              <w:rPr>
                <w:b/>
                <w:sz w:val="22"/>
                <w:szCs w:val="22"/>
              </w:rPr>
              <w:t>A címet adományozó szenátusi határozat száma</w:t>
            </w:r>
          </w:p>
        </w:tc>
        <w:tc>
          <w:tcPr>
            <w:tcW w:w="5708" w:type="dxa"/>
          </w:tcPr>
          <w:p w14:paraId="4F3DDDD9" w14:textId="77777777" w:rsidR="00FD0545" w:rsidRPr="00E13CE5" w:rsidRDefault="00FD0545" w:rsidP="00026782">
            <w:pPr>
              <w:tabs>
                <w:tab w:val="left" w:pos="9781"/>
              </w:tabs>
              <w:ind w:right="-144"/>
              <w:jc w:val="both"/>
              <w:rPr>
                <w:sz w:val="22"/>
                <w:szCs w:val="22"/>
              </w:rPr>
            </w:pPr>
          </w:p>
        </w:tc>
      </w:tr>
    </w:tbl>
    <w:p w14:paraId="7F56ABE0" w14:textId="77777777" w:rsidR="00FD0545" w:rsidRPr="00E13CE5" w:rsidRDefault="00FD0545" w:rsidP="00FD0545">
      <w:pPr>
        <w:tabs>
          <w:tab w:val="left" w:pos="9781"/>
        </w:tabs>
        <w:ind w:right="-144"/>
        <w:jc w:val="both"/>
        <w:rPr>
          <w:sz w:val="22"/>
          <w:szCs w:val="22"/>
        </w:rPr>
      </w:pPr>
    </w:p>
    <w:p w14:paraId="3B0CA33E" w14:textId="77777777" w:rsidR="00FD0545" w:rsidRPr="00E13CE5" w:rsidRDefault="00FD0545" w:rsidP="00FD0545">
      <w:pPr>
        <w:tabs>
          <w:tab w:val="left" w:pos="9781"/>
        </w:tabs>
        <w:ind w:right="-144"/>
        <w:jc w:val="both"/>
        <w:rPr>
          <w:sz w:val="22"/>
          <w:szCs w:val="22"/>
        </w:rPr>
      </w:pPr>
      <w:r w:rsidRPr="00E13CE5">
        <w:rPr>
          <w:sz w:val="22"/>
          <w:szCs w:val="22"/>
        </w:rPr>
        <w:t>másrészről</w:t>
      </w:r>
    </w:p>
    <w:p w14:paraId="6EDF4688"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101"/>
      </w:tblGrid>
      <w:tr w:rsidR="00FD0545" w:rsidRPr="00E13CE5" w14:paraId="14B2940D" w14:textId="77777777" w:rsidTr="00026782">
        <w:tc>
          <w:tcPr>
            <w:tcW w:w="3287" w:type="dxa"/>
          </w:tcPr>
          <w:p w14:paraId="06A1B46A" w14:textId="77777777" w:rsidR="00FD0545" w:rsidRPr="00E13CE5" w:rsidRDefault="00FD0545" w:rsidP="00026782">
            <w:pPr>
              <w:tabs>
                <w:tab w:val="left" w:pos="9781"/>
              </w:tabs>
              <w:ind w:right="-144"/>
              <w:jc w:val="both"/>
              <w:rPr>
                <w:b/>
                <w:sz w:val="22"/>
                <w:szCs w:val="22"/>
              </w:rPr>
            </w:pPr>
            <w:r w:rsidRPr="00E13CE5">
              <w:rPr>
                <w:b/>
                <w:sz w:val="22"/>
                <w:szCs w:val="22"/>
              </w:rPr>
              <w:t>Munkáltató:</w:t>
            </w:r>
          </w:p>
        </w:tc>
        <w:tc>
          <w:tcPr>
            <w:tcW w:w="7027" w:type="dxa"/>
          </w:tcPr>
          <w:p w14:paraId="0492F44B" w14:textId="77777777" w:rsidR="00FD0545" w:rsidRPr="00E13CE5" w:rsidRDefault="00FD0545" w:rsidP="00026782">
            <w:pPr>
              <w:tabs>
                <w:tab w:val="left" w:pos="9781"/>
              </w:tabs>
              <w:ind w:right="-144"/>
              <w:jc w:val="both"/>
              <w:rPr>
                <w:sz w:val="22"/>
                <w:szCs w:val="22"/>
              </w:rPr>
            </w:pPr>
            <w:r w:rsidRPr="00E13CE5">
              <w:rPr>
                <w:sz w:val="22"/>
                <w:szCs w:val="22"/>
              </w:rPr>
              <w:t>Pécsi Tudományegyetem</w:t>
            </w:r>
          </w:p>
        </w:tc>
      </w:tr>
      <w:tr w:rsidR="00FD0545" w:rsidRPr="00E13CE5" w14:paraId="64A6D963" w14:textId="77777777" w:rsidTr="00026782">
        <w:tc>
          <w:tcPr>
            <w:tcW w:w="3287" w:type="dxa"/>
          </w:tcPr>
          <w:p w14:paraId="21E6700C"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7027" w:type="dxa"/>
          </w:tcPr>
          <w:p w14:paraId="20652E1D" w14:textId="77777777" w:rsidR="00FD0545" w:rsidRPr="00E13CE5" w:rsidRDefault="00FD0545" w:rsidP="00026782">
            <w:pPr>
              <w:tabs>
                <w:tab w:val="left" w:pos="9781"/>
              </w:tabs>
              <w:ind w:right="-144"/>
              <w:jc w:val="both"/>
              <w:rPr>
                <w:sz w:val="22"/>
                <w:szCs w:val="22"/>
              </w:rPr>
            </w:pPr>
            <w:r w:rsidRPr="00E13CE5">
              <w:rPr>
                <w:sz w:val="22"/>
                <w:szCs w:val="22"/>
              </w:rPr>
              <w:t>15329798202</w:t>
            </w:r>
          </w:p>
        </w:tc>
      </w:tr>
      <w:tr w:rsidR="00FD0545" w:rsidRPr="00E13CE5" w14:paraId="267C1D00" w14:textId="77777777" w:rsidTr="00026782">
        <w:tc>
          <w:tcPr>
            <w:tcW w:w="3287" w:type="dxa"/>
          </w:tcPr>
          <w:p w14:paraId="6FEE9669" w14:textId="77777777" w:rsidR="00FD0545" w:rsidRPr="00E13CE5" w:rsidRDefault="00FD0545" w:rsidP="00026782">
            <w:pPr>
              <w:tabs>
                <w:tab w:val="left" w:pos="9781"/>
              </w:tabs>
              <w:ind w:right="-144"/>
              <w:jc w:val="both"/>
              <w:rPr>
                <w:b/>
                <w:sz w:val="22"/>
                <w:szCs w:val="22"/>
              </w:rPr>
            </w:pPr>
            <w:r w:rsidRPr="00E13CE5">
              <w:rPr>
                <w:b/>
                <w:sz w:val="22"/>
                <w:szCs w:val="22"/>
              </w:rPr>
              <w:t>Intézményi azonosítója</w:t>
            </w:r>
          </w:p>
        </w:tc>
        <w:tc>
          <w:tcPr>
            <w:tcW w:w="7027" w:type="dxa"/>
          </w:tcPr>
          <w:p w14:paraId="2F0D261E" w14:textId="77777777" w:rsidR="00FD0545" w:rsidRPr="00E13CE5" w:rsidRDefault="00FD0545" w:rsidP="00026782">
            <w:pPr>
              <w:tabs>
                <w:tab w:val="left" w:pos="9781"/>
              </w:tabs>
              <w:ind w:right="-144"/>
              <w:jc w:val="both"/>
              <w:rPr>
                <w:sz w:val="22"/>
                <w:szCs w:val="22"/>
              </w:rPr>
            </w:pPr>
            <w:r w:rsidRPr="00E13CE5">
              <w:rPr>
                <w:sz w:val="22"/>
                <w:szCs w:val="22"/>
              </w:rPr>
              <w:t>FI 58544</w:t>
            </w:r>
          </w:p>
        </w:tc>
      </w:tr>
      <w:tr w:rsidR="00FD0545" w:rsidRPr="00E13CE5" w14:paraId="31E3EAEF" w14:textId="77777777" w:rsidTr="00026782">
        <w:tc>
          <w:tcPr>
            <w:tcW w:w="3287" w:type="dxa"/>
          </w:tcPr>
          <w:p w14:paraId="02714326" w14:textId="77777777" w:rsidR="00FD0545" w:rsidRPr="00E13CE5" w:rsidRDefault="00FD0545" w:rsidP="00026782">
            <w:pPr>
              <w:tabs>
                <w:tab w:val="left" w:pos="9781"/>
              </w:tabs>
              <w:ind w:right="-144"/>
              <w:jc w:val="both"/>
              <w:rPr>
                <w:b/>
                <w:sz w:val="22"/>
                <w:szCs w:val="22"/>
              </w:rPr>
            </w:pPr>
            <w:r w:rsidRPr="00E13CE5">
              <w:rPr>
                <w:b/>
                <w:sz w:val="22"/>
                <w:szCs w:val="22"/>
              </w:rPr>
              <w:t>Szervezeti egység:</w:t>
            </w:r>
          </w:p>
        </w:tc>
        <w:tc>
          <w:tcPr>
            <w:tcW w:w="7027" w:type="dxa"/>
          </w:tcPr>
          <w:p w14:paraId="4E29BA7B" w14:textId="77777777" w:rsidR="00FD0545" w:rsidRPr="00E13CE5" w:rsidRDefault="00FD0545" w:rsidP="00026782">
            <w:pPr>
              <w:tabs>
                <w:tab w:val="left" w:pos="9781"/>
              </w:tabs>
              <w:ind w:right="-144"/>
              <w:jc w:val="both"/>
              <w:rPr>
                <w:sz w:val="22"/>
                <w:szCs w:val="22"/>
              </w:rPr>
            </w:pPr>
          </w:p>
        </w:tc>
      </w:tr>
      <w:tr w:rsidR="00FD0545" w:rsidRPr="00E13CE5" w14:paraId="4784C90E" w14:textId="77777777" w:rsidTr="00026782">
        <w:tc>
          <w:tcPr>
            <w:tcW w:w="3287" w:type="dxa"/>
          </w:tcPr>
          <w:p w14:paraId="0FB8B309" w14:textId="77777777" w:rsidR="00FD0545" w:rsidRPr="00E13CE5" w:rsidRDefault="00FD0545" w:rsidP="00026782">
            <w:pPr>
              <w:tabs>
                <w:tab w:val="left" w:pos="9781"/>
              </w:tabs>
              <w:ind w:right="-144"/>
              <w:jc w:val="both"/>
              <w:rPr>
                <w:b/>
                <w:sz w:val="22"/>
                <w:szCs w:val="22"/>
              </w:rPr>
            </w:pPr>
            <w:r w:rsidRPr="00E13CE5">
              <w:rPr>
                <w:b/>
                <w:sz w:val="22"/>
                <w:szCs w:val="22"/>
              </w:rPr>
              <w:t>Címe:</w:t>
            </w:r>
          </w:p>
        </w:tc>
        <w:tc>
          <w:tcPr>
            <w:tcW w:w="7027" w:type="dxa"/>
          </w:tcPr>
          <w:p w14:paraId="3BB91C70" w14:textId="77777777" w:rsidR="00FD0545" w:rsidRPr="00E13CE5" w:rsidRDefault="00FD0545" w:rsidP="00026782">
            <w:pPr>
              <w:tabs>
                <w:tab w:val="left" w:pos="9781"/>
              </w:tabs>
              <w:ind w:right="-144"/>
              <w:jc w:val="both"/>
              <w:rPr>
                <w:sz w:val="22"/>
                <w:szCs w:val="22"/>
              </w:rPr>
            </w:pPr>
          </w:p>
        </w:tc>
      </w:tr>
    </w:tbl>
    <w:p w14:paraId="4C220C28" w14:textId="77777777" w:rsidR="00FD0545" w:rsidRPr="00E13CE5" w:rsidRDefault="00FD0545" w:rsidP="00FD0545">
      <w:pPr>
        <w:tabs>
          <w:tab w:val="left" w:pos="9781"/>
        </w:tabs>
        <w:ind w:right="-144"/>
        <w:jc w:val="both"/>
        <w:rPr>
          <w:sz w:val="22"/>
          <w:szCs w:val="22"/>
        </w:rPr>
      </w:pPr>
    </w:p>
    <w:p w14:paraId="51392DDA" w14:textId="77777777" w:rsidR="00FD0545" w:rsidRPr="00E13CE5" w:rsidRDefault="00FD0545" w:rsidP="00FD0545">
      <w:pPr>
        <w:tabs>
          <w:tab w:val="left" w:pos="9781"/>
        </w:tabs>
        <w:ind w:right="-144"/>
        <w:jc w:val="both"/>
        <w:rPr>
          <w:sz w:val="22"/>
          <w:szCs w:val="22"/>
        </w:rPr>
      </w:pPr>
      <w:r w:rsidRPr="00E13CE5">
        <w:rPr>
          <w:sz w:val="22"/>
          <w:szCs w:val="22"/>
        </w:rPr>
        <w:t>mint Egyetem között alulírott helyen és napon az alább meghatározott feltételek szerint.</w:t>
      </w:r>
    </w:p>
    <w:p w14:paraId="19A0DD70" w14:textId="77777777" w:rsidR="00FD0545" w:rsidRPr="00E13CE5" w:rsidRDefault="00FD0545" w:rsidP="00FD0545">
      <w:pPr>
        <w:tabs>
          <w:tab w:val="left" w:pos="9781"/>
        </w:tabs>
        <w:ind w:right="-144"/>
        <w:jc w:val="both"/>
        <w:rPr>
          <w:sz w:val="22"/>
          <w:szCs w:val="22"/>
        </w:rPr>
      </w:pPr>
    </w:p>
    <w:p w14:paraId="4B5BD1FA" w14:textId="77777777" w:rsidR="00FD0545" w:rsidRPr="00E13CE5" w:rsidRDefault="00FD0545" w:rsidP="00FD0545">
      <w:pPr>
        <w:tabs>
          <w:tab w:val="left" w:pos="9781"/>
        </w:tabs>
        <w:ind w:right="-144"/>
        <w:jc w:val="both"/>
        <w:rPr>
          <w:sz w:val="22"/>
          <w:szCs w:val="22"/>
        </w:rPr>
      </w:pPr>
      <w:r w:rsidRPr="00E13CE5">
        <w:rPr>
          <w:sz w:val="22"/>
          <w:szCs w:val="22"/>
        </w:rPr>
        <w:t>A Nemzeti Felsőoktatásról szóló 2011. évi CCIV. törvény, valamint a Pécsi Tudományegyetem foglalkoztatási követelményrendszere alapján az Egyetem és a Professor Emeritus a Szenátus által adományozott Professor Emeritus címmel járó jogokat, juttatásokat és feladatokat az alábbiak szerint határozza meg.</w:t>
      </w:r>
    </w:p>
    <w:p w14:paraId="1C9337D1" w14:textId="77777777" w:rsidR="00FD0545" w:rsidRPr="00E13CE5" w:rsidRDefault="00FD0545" w:rsidP="00FD0545">
      <w:pPr>
        <w:tabs>
          <w:tab w:val="left" w:pos="9781"/>
        </w:tabs>
        <w:ind w:right="-144"/>
        <w:jc w:val="both"/>
        <w:rPr>
          <w:sz w:val="22"/>
          <w:szCs w:val="22"/>
        </w:rPr>
      </w:pPr>
    </w:p>
    <w:p w14:paraId="56D11827" w14:textId="77777777" w:rsidR="00FD0545" w:rsidRPr="00E13CE5" w:rsidRDefault="00FD0545" w:rsidP="00FD0545">
      <w:pPr>
        <w:tabs>
          <w:tab w:val="left" w:pos="9781"/>
        </w:tabs>
        <w:ind w:right="-144"/>
        <w:jc w:val="center"/>
        <w:rPr>
          <w:b/>
          <w:sz w:val="22"/>
          <w:szCs w:val="22"/>
        </w:rPr>
      </w:pPr>
      <w:r w:rsidRPr="00E13CE5">
        <w:rPr>
          <w:b/>
          <w:sz w:val="22"/>
          <w:szCs w:val="22"/>
        </w:rPr>
        <w:t>A Professor Emeritus jogai</w:t>
      </w:r>
    </w:p>
    <w:p w14:paraId="2E987818" w14:textId="77777777" w:rsidR="00FD0545" w:rsidRPr="00E13CE5" w:rsidRDefault="00FD0545" w:rsidP="00FD0545">
      <w:pPr>
        <w:tabs>
          <w:tab w:val="left" w:pos="9781"/>
        </w:tabs>
        <w:ind w:right="-144"/>
        <w:jc w:val="center"/>
        <w:rPr>
          <w:sz w:val="22"/>
          <w:szCs w:val="22"/>
        </w:rPr>
      </w:pPr>
    </w:p>
    <w:p w14:paraId="2A440816" w14:textId="77777777" w:rsidR="00FD0545" w:rsidRPr="00E13CE5" w:rsidRDefault="00FD0545" w:rsidP="00FD0545">
      <w:pPr>
        <w:tabs>
          <w:tab w:val="left" w:pos="9781"/>
        </w:tabs>
        <w:ind w:right="-144"/>
        <w:jc w:val="both"/>
        <w:rPr>
          <w:sz w:val="22"/>
          <w:szCs w:val="22"/>
        </w:rPr>
      </w:pPr>
      <w:smartTag w:uri="urn:schemas-microsoft-com:office:smarttags" w:element="metricconverter">
        <w:smartTagPr>
          <w:attr w:name="ProductID" w:val="1. a"/>
        </w:smartTagPr>
        <w:r w:rsidRPr="00E13CE5">
          <w:rPr>
            <w:sz w:val="22"/>
            <w:szCs w:val="22"/>
          </w:rPr>
          <w:t>1. A</w:t>
        </w:r>
      </w:smartTag>
      <w:r w:rsidRPr="00E13CE5">
        <w:rPr>
          <w:sz w:val="22"/>
          <w:szCs w:val="22"/>
        </w:rPr>
        <w:t xml:space="preserve"> Professor Emeritus jogosult:</w:t>
      </w:r>
    </w:p>
    <w:p w14:paraId="0EF705E4" w14:textId="77777777" w:rsidR="00FD0545" w:rsidRPr="00E13CE5" w:rsidRDefault="00FD0545" w:rsidP="00FD0545">
      <w:pPr>
        <w:tabs>
          <w:tab w:val="left" w:pos="9781"/>
        </w:tabs>
        <w:ind w:left="540" w:right="-144"/>
        <w:jc w:val="both"/>
        <w:rPr>
          <w:sz w:val="22"/>
          <w:szCs w:val="22"/>
        </w:rPr>
      </w:pPr>
    </w:p>
    <w:p w14:paraId="35A9C3C3" w14:textId="77777777" w:rsidR="00FD0545" w:rsidRPr="00E13CE5" w:rsidRDefault="00FD0545" w:rsidP="00FD0545">
      <w:pPr>
        <w:tabs>
          <w:tab w:val="left" w:pos="9781"/>
        </w:tabs>
        <w:ind w:left="540" w:right="-144"/>
        <w:jc w:val="both"/>
        <w:rPr>
          <w:sz w:val="22"/>
          <w:szCs w:val="22"/>
        </w:rPr>
      </w:pPr>
      <w:r w:rsidRPr="00E13CE5">
        <w:rPr>
          <w:sz w:val="22"/>
          <w:szCs w:val="22"/>
        </w:rPr>
        <w:t>a) a Professor Emeritus cím határozatlan ideig történő viselésére,</w:t>
      </w:r>
    </w:p>
    <w:p w14:paraId="4CC7D1B4" w14:textId="77777777" w:rsidR="00FD0545" w:rsidRPr="00E13CE5" w:rsidRDefault="00FD0545" w:rsidP="00FD0545">
      <w:pPr>
        <w:tabs>
          <w:tab w:val="left" w:pos="9781"/>
        </w:tabs>
        <w:ind w:left="540" w:right="-144"/>
        <w:jc w:val="both"/>
        <w:rPr>
          <w:sz w:val="22"/>
          <w:szCs w:val="22"/>
        </w:rPr>
      </w:pPr>
      <w:r w:rsidRPr="00E13CE5">
        <w:rPr>
          <w:sz w:val="22"/>
          <w:szCs w:val="22"/>
        </w:rPr>
        <w:t>b) a kar szervezeti és működési szabályzatában meghatározottak szerint kari bizottsági tagságra,</w:t>
      </w:r>
    </w:p>
    <w:p w14:paraId="28C4B345" w14:textId="77777777" w:rsidR="00FD0545" w:rsidRPr="00E13CE5" w:rsidRDefault="00FD0545" w:rsidP="00FD0545">
      <w:pPr>
        <w:tabs>
          <w:tab w:val="left" w:pos="9781"/>
        </w:tabs>
        <w:ind w:left="540" w:right="-144"/>
        <w:jc w:val="both"/>
        <w:rPr>
          <w:sz w:val="22"/>
          <w:szCs w:val="22"/>
        </w:rPr>
      </w:pPr>
      <w:r w:rsidRPr="00E13CE5">
        <w:rPr>
          <w:sz w:val="22"/>
          <w:szCs w:val="22"/>
        </w:rPr>
        <w:t>c) az egyetemi bizottsági tagságra, az Egyetem, illetve a kar szervezeti és működési szabályzatában meghatározottak szerint,</w:t>
      </w:r>
    </w:p>
    <w:p w14:paraId="1D1E1F7B" w14:textId="77777777" w:rsidR="00FD0545" w:rsidRPr="00E13CE5" w:rsidRDefault="00FD0545" w:rsidP="00FD0545">
      <w:pPr>
        <w:tabs>
          <w:tab w:val="left" w:pos="9781"/>
        </w:tabs>
        <w:ind w:left="540" w:right="-144"/>
        <w:jc w:val="both"/>
        <w:rPr>
          <w:sz w:val="22"/>
          <w:szCs w:val="22"/>
        </w:rPr>
      </w:pPr>
      <w:r w:rsidRPr="00E13CE5">
        <w:rPr>
          <w:sz w:val="22"/>
          <w:szCs w:val="22"/>
        </w:rPr>
        <w:t>d) az egyetemi és a kari infrastruktúra használatára,</w:t>
      </w:r>
    </w:p>
    <w:p w14:paraId="27AA7B1D" w14:textId="77777777" w:rsidR="00FD0545" w:rsidRPr="00E13CE5" w:rsidRDefault="00FD0545" w:rsidP="00FD0545">
      <w:pPr>
        <w:tabs>
          <w:tab w:val="left" w:pos="9781"/>
        </w:tabs>
        <w:ind w:left="540" w:right="-144"/>
        <w:jc w:val="both"/>
        <w:rPr>
          <w:sz w:val="22"/>
          <w:szCs w:val="22"/>
        </w:rPr>
      </w:pPr>
      <w:r w:rsidRPr="00E13CE5">
        <w:rPr>
          <w:sz w:val="22"/>
          <w:szCs w:val="22"/>
        </w:rPr>
        <w:t>e) az egyetemi és kari oktatási, tudományos, valamint közéleti tevékenységben részt venni.</w:t>
      </w:r>
    </w:p>
    <w:p w14:paraId="5241E1AC" w14:textId="77777777" w:rsidR="00FD0545" w:rsidRPr="00E13CE5" w:rsidRDefault="00FD0545" w:rsidP="00FD0545">
      <w:pPr>
        <w:tabs>
          <w:tab w:val="left" w:pos="9781"/>
        </w:tabs>
        <w:ind w:right="-144"/>
        <w:rPr>
          <w:sz w:val="22"/>
          <w:szCs w:val="22"/>
        </w:rPr>
      </w:pPr>
    </w:p>
    <w:p w14:paraId="447B7108" w14:textId="77777777" w:rsidR="00FD0545" w:rsidRPr="00E13CE5" w:rsidRDefault="00FD0545" w:rsidP="00FD0545">
      <w:pPr>
        <w:tabs>
          <w:tab w:val="left" w:pos="9781"/>
        </w:tabs>
        <w:ind w:right="-144"/>
        <w:jc w:val="center"/>
        <w:rPr>
          <w:b/>
          <w:sz w:val="22"/>
          <w:szCs w:val="22"/>
        </w:rPr>
      </w:pPr>
      <w:r w:rsidRPr="00E13CE5">
        <w:rPr>
          <w:b/>
          <w:sz w:val="22"/>
          <w:szCs w:val="22"/>
        </w:rPr>
        <w:t>A Professor Emeritus kötelezettségei</w:t>
      </w:r>
    </w:p>
    <w:p w14:paraId="4EAC08D0" w14:textId="77777777" w:rsidR="00FD0545" w:rsidRPr="00E13CE5" w:rsidRDefault="00FD0545" w:rsidP="00FD0545">
      <w:pPr>
        <w:tabs>
          <w:tab w:val="left" w:pos="9781"/>
        </w:tabs>
        <w:ind w:right="-144"/>
        <w:jc w:val="both"/>
        <w:rPr>
          <w:sz w:val="22"/>
          <w:szCs w:val="22"/>
        </w:rPr>
      </w:pPr>
    </w:p>
    <w:p w14:paraId="38DAE349" w14:textId="77777777" w:rsidR="00FD0545" w:rsidRPr="00E13CE5" w:rsidRDefault="00FD0545" w:rsidP="00FD0545">
      <w:pPr>
        <w:tabs>
          <w:tab w:val="left" w:pos="9781"/>
        </w:tabs>
        <w:ind w:right="-144"/>
        <w:jc w:val="both"/>
        <w:rPr>
          <w:sz w:val="22"/>
          <w:szCs w:val="22"/>
        </w:rPr>
      </w:pPr>
      <w:r w:rsidRPr="00E13CE5">
        <w:rPr>
          <w:sz w:val="22"/>
          <w:szCs w:val="22"/>
        </w:rPr>
        <w:t>2.1. A Professor Emeritus köteles a karon folyó oktatási tevékenységben az alábbiak szerint részt venni:</w:t>
      </w:r>
    </w:p>
    <w:p w14:paraId="404E4B8D"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28"/>
        <w:gridCol w:w="3009"/>
      </w:tblGrid>
      <w:tr w:rsidR="00FD0545" w:rsidRPr="00E13CE5" w14:paraId="1CA99274" w14:textId="77777777" w:rsidTr="00026782">
        <w:tc>
          <w:tcPr>
            <w:tcW w:w="3070" w:type="dxa"/>
          </w:tcPr>
          <w:p w14:paraId="16B52682" w14:textId="77777777" w:rsidR="00FD0545" w:rsidRPr="00E13CE5" w:rsidRDefault="00FD0545" w:rsidP="00026782">
            <w:pPr>
              <w:tabs>
                <w:tab w:val="left" w:pos="9781"/>
              </w:tabs>
              <w:ind w:right="-144"/>
              <w:jc w:val="both"/>
              <w:rPr>
                <w:sz w:val="22"/>
                <w:szCs w:val="22"/>
              </w:rPr>
            </w:pPr>
            <w:r w:rsidRPr="00E13CE5">
              <w:rPr>
                <w:sz w:val="22"/>
                <w:szCs w:val="22"/>
              </w:rPr>
              <w:t>Képzés megnevezése</w:t>
            </w:r>
            <w:r w:rsidRPr="00E13CE5">
              <w:rPr>
                <w:sz w:val="22"/>
                <w:szCs w:val="22"/>
                <w:vertAlign w:val="superscript"/>
              </w:rPr>
              <w:footnoteReference w:id="498"/>
            </w:r>
          </w:p>
          <w:p w14:paraId="3E930B3D" w14:textId="77777777" w:rsidR="00FD0545" w:rsidRPr="00E13CE5" w:rsidRDefault="00FD0545" w:rsidP="00026782">
            <w:pPr>
              <w:tabs>
                <w:tab w:val="left" w:pos="9781"/>
              </w:tabs>
              <w:ind w:right="-144"/>
              <w:jc w:val="both"/>
              <w:rPr>
                <w:sz w:val="22"/>
                <w:szCs w:val="22"/>
              </w:rPr>
            </w:pPr>
          </w:p>
        </w:tc>
        <w:tc>
          <w:tcPr>
            <w:tcW w:w="3071" w:type="dxa"/>
          </w:tcPr>
          <w:p w14:paraId="2A22FDFA" w14:textId="77777777" w:rsidR="00FD0545" w:rsidRPr="00E13CE5" w:rsidRDefault="00FD0545" w:rsidP="00026782">
            <w:pPr>
              <w:tabs>
                <w:tab w:val="left" w:pos="9781"/>
              </w:tabs>
              <w:ind w:right="-144"/>
              <w:jc w:val="both"/>
              <w:rPr>
                <w:sz w:val="22"/>
                <w:szCs w:val="22"/>
              </w:rPr>
            </w:pPr>
            <w:r w:rsidRPr="00E13CE5">
              <w:rPr>
                <w:sz w:val="22"/>
                <w:szCs w:val="22"/>
              </w:rPr>
              <w:t>Tantárgy/kurzus megnevezése</w:t>
            </w:r>
          </w:p>
        </w:tc>
        <w:tc>
          <w:tcPr>
            <w:tcW w:w="3071" w:type="dxa"/>
          </w:tcPr>
          <w:p w14:paraId="1B7618FE" w14:textId="77777777" w:rsidR="00FD0545" w:rsidRPr="00E13CE5" w:rsidRDefault="00FD0545" w:rsidP="00026782">
            <w:pPr>
              <w:tabs>
                <w:tab w:val="left" w:pos="9781"/>
              </w:tabs>
              <w:ind w:right="-144"/>
              <w:jc w:val="both"/>
              <w:rPr>
                <w:sz w:val="22"/>
                <w:szCs w:val="22"/>
              </w:rPr>
            </w:pPr>
            <w:r w:rsidRPr="00E13CE5">
              <w:rPr>
                <w:sz w:val="22"/>
                <w:szCs w:val="22"/>
              </w:rPr>
              <w:t>Tanítási idő (heti óraszám)</w:t>
            </w:r>
          </w:p>
        </w:tc>
      </w:tr>
      <w:tr w:rsidR="00FD0545" w:rsidRPr="00E13CE5" w14:paraId="67DB7F40" w14:textId="77777777" w:rsidTr="00026782">
        <w:tc>
          <w:tcPr>
            <w:tcW w:w="3070" w:type="dxa"/>
          </w:tcPr>
          <w:p w14:paraId="30643F3D" w14:textId="77777777" w:rsidR="00FD0545" w:rsidRPr="00E13CE5" w:rsidRDefault="00FD0545" w:rsidP="00026782">
            <w:pPr>
              <w:tabs>
                <w:tab w:val="left" w:pos="9781"/>
              </w:tabs>
              <w:ind w:right="-144"/>
              <w:jc w:val="both"/>
              <w:rPr>
                <w:sz w:val="22"/>
                <w:szCs w:val="22"/>
              </w:rPr>
            </w:pPr>
          </w:p>
        </w:tc>
        <w:tc>
          <w:tcPr>
            <w:tcW w:w="3071" w:type="dxa"/>
          </w:tcPr>
          <w:p w14:paraId="10DACB7F" w14:textId="77777777" w:rsidR="00FD0545" w:rsidRPr="00E13CE5" w:rsidRDefault="00FD0545" w:rsidP="00026782">
            <w:pPr>
              <w:tabs>
                <w:tab w:val="left" w:pos="9781"/>
              </w:tabs>
              <w:ind w:right="-144"/>
              <w:jc w:val="both"/>
              <w:rPr>
                <w:sz w:val="22"/>
                <w:szCs w:val="22"/>
              </w:rPr>
            </w:pPr>
          </w:p>
        </w:tc>
        <w:tc>
          <w:tcPr>
            <w:tcW w:w="3071" w:type="dxa"/>
          </w:tcPr>
          <w:p w14:paraId="34BD93CA" w14:textId="77777777" w:rsidR="00FD0545" w:rsidRPr="00E13CE5" w:rsidRDefault="00FD0545" w:rsidP="00026782">
            <w:pPr>
              <w:tabs>
                <w:tab w:val="left" w:pos="9781"/>
              </w:tabs>
              <w:ind w:right="-144"/>
              <w:jc w:val="both"/>
              <w:rPr>
                <w:sz w:val="22"/>
                <w:szCs w:val="22"/>
              </w:rPr>
            </w:pPr>
          </w:p>
        </w:tc>
      </w:tr>
      <w:tr w:rsidR="00FD0545" w:rsidRPr="00E13CE5" w14:paraId="10BF94EB" w14:textId="77777777" w:rsidTr="00026782">
        <w:tc>
          <w:tcPr>
            <w:tcW w:w="3070" w:type="dxa"/>
          </w:tcPr>
          <w:p w14:paraId="6AADB667" w14:textId="77777777" w:rsidR="00FD0545" w:rsidRPr="00E13CE5" w:rsidRDefault="00FD0545" w:rsidP="00026782">
            <w:pPr>
              <w:tabs>
                <w:tab w:val="left" w:pos="9781"/>
              </w:tabs>
              <w:ind w:right="-144"/>
              <w:jc w:val="both"/>
              <w:rPr>
                <w:sz w:val="22"/>
                <w:szCs w:val="22"/>
              </w:rPr>
            </w:pPr>
          </w:p>
        </w:tc>
        <w:tc>
          <w:tcPr>
            <w:tcW w:w="3071" w:type="dxa"/>
          </w:tcPr>
          <w:p w14:paraId="253B8CCC" w14:textId="77777777" w:rsidR="00FD0545" w:rsidRPr="00E13CE5" w:rsidRDefault="00FD0545" w:rsidP="00026782">
            <w:pPr>
              <w:tabs>
                <w:tab w:val="left" w:pos="9781"/>
              </w:tabs>
              <w:ind w:right="-144"/>
              <w:jc w:val="both"/>
              <w:rPr>
                <w:sz w:val="22"/>
                <w:szCs w:val="22"/>
              </w:rPr>
            </w:pPr>
          </w:p>
        </w:tc>
        <w:tc>
          <w:tcPr>
            <w:tcW w:w="3071" w:type="dxa"/>
          </w:tcPr>
          <w:p w14:paraId="78953FDA" w14:textId="77777777" w:rsidR="00FD0545" w:rsidRPr="00E13CE5" w:rsidRDefault="00FD0545" w:rsidP="00026782">
            <w:pPr>
              <w:tabs>
                <w:tab w:val="left" w:pos="9781"/>
              </w:tabs>
              <w:ind w:right="-144"/>
              <w:jc w:val="both"/>
              <w:rPr>
                <w:sz w:val="22"/>
                <w:szCs w:val="22"/>
              </w:rPr>
            </w:pPr>
          </w:p>
        </w:tc>
      </w:tr>
      <w:tr w:rsidR="00FD0545" w:rsidRPr="00E13CE5" w14:paraId="36046B7B" w14:textId="77777777" w:rsidTr="00026782">
        <w:tc>
          <w:tcPr>
            <w:tcW w:w="3070" w:type="dxa"/>
          </w:tcPr>
          <w:p w14:paraId="20C0C5A1" w14:textId="77777777" w:rsidR="00FD0545" w:rsidRPr="00E13CE5" w:rsidRDefault="00FD0545" w:rsidP="00026782">
            <w:pPr>
              <w:tabs>
                <w:tab w:val="left" w:pos="9781"/>
              </w:tabs>
              <w:ind w:right="-144"/>
              <w:jc w:val="both"/>
              <w:rPr>
                <w:sz w:val="22"/>
                <w:szCs w:val="22"/>
              </w:rPr>
            </w:pPr>
          </w:p>
        </w:tc>
        <w:tc>
          <w:tcPr>
            <w:tcW w:w="3071" w:type="dxa"/>
          </w:tcPr>
          <w:p w14:paraId="1E6A6531" w14:textId="77777777" w:rsidR="00FD0545" w:rsidRPr="00E13CE5" w:rsidRDefault="00FD0545" w:rsidP="00026782">
            <w:pPr>
              <w:tabs>
                <w:tab w:val="left" w:pos="9781"/>
              </w:tabs>
              <w:ind w:right="-144"/>
              <w:jc w:val="both"/>
              <w:rPr>
                <w:sz w:val="22"/>
                <w:szCs w:val="22"/>
              </w:rPr>
            </w:pPr>
          </w:p>
        </w:tc>
        <w:tc>
          <w:tcPr>
            <w:tcW w:w="3071" w:type="dxa"/>
          </w:tcPr>
          <w:p w14:paraId="72B8C903" w14:textId="77777777" w:rsidR="00FD0545" w:rsidRPr="00E13CE5" w:rsidRDefault="00FD0545" w:rsidP="00026782">
            <w:pPr>
              <w:tabs>
                <w:tab w:val="left" w:pos="9781"/>
              </w:tabs>
              <w:ind w:right="-144"/>
              <w:jc w:val="both"/>
              <w:rPr>
                <w:sz w:val="22"/>
                <w:szCs w:val="22"/>
              </w:rPr>
            </w:pPr>
          </w:p>
        </w:tc>
      </w:tr>
    </w:tbl>
    <w:p w14:paraId="629C1D08" w14:textId="77777777" w:rsidR="00FD0545" w:rsidRPr="00E13CE5" w:rsidRDefault="00FD0545" w:rsidP="00FD0545">
      <w:pPr>
        <w:tabs>
          <w:tab w:val="left" w:pos="9781"/>
        </w:tabs>
        <w:ind w:right="-144"/>
        <w:jc w:val="both"/>
        <w:rPr>
          <w:sz w:val="22"/>
          <w:szCs w:val="22"/>
        </w:rPr>
      </w:pPr>
    </w:p>
    <w:p w14:paraId="1A12A376" w14:textId="77777777" w:rsidR="00FD0545" w:rsidRPr="00E13CE5" w:rsidRDefault="00FD0545" w:rsidP="00FD0545">
      <w:pPr>
        <w:tabs>
          <w:tab w:val="left" w:pos="9781"/>
        </w:tabs>
        <w:ind w:right="-144"/>
        <w:jc w:val="both"/>
        <w:rPr>
          <w:sz w:val="22"/>
          <w:szCs w:val="22"/>
        </w:rPr>
      </w:pPr>
      <w:r w:rsidRPr="00E13CE5">
        <w:rPr>
          <w:sz w:val="22"/>
          <w:szCs w:val="22"/>
        </w:rPr>
        <w:lastRenderedPageBreak/>
        <w:t>2.2. A Professor Emeritus köteles a karon folyó tudományos (kutatási) tevékenységben legjobb tudása szerint részt venni, a karon foglalkoztatott kutatók munkáját segíteni, az Egyetem és a Kar tudományos életében részt venni.</w:t>
      </w:r>
    </w:p>
    <w:p w14:paraId="58159A64" w14:textId="77777777" w:rsidR="00FD0545" w:rsidRPr="00E13CE5" w:rsidRDefault="00FD0545" w:rsidP="00FD0545">
      <w:pPr>
        <w:tabs>
          <w:tab w:val="left" w:pos="9781"/>
        </w:tabs>
        <w:ind w:right="-144"/>
        <w:jc w:val="both"/>
        <w:rPr>
          <w:sz w:val="22"/>
          <w:szCs w:val="22"/>
        </w:rPr>
      </w:pPr>
    </w:p>
    <w:p w14:paraId="4FD0D4D4" w14:textId="77777777" w:rsidR="00FD0545" w:rsidRPr="00E13CE5" w:rsidRDefault="00FD0545" w:rsidP="00FD0545">
      <w:pPr>
        <w:tabs>
          <w:tab w:val="left" w:pos="9781"/>
        </w:tabs>
        <w:ind w:right="-144"/>
        <w:jc w:val="both"/>
        <w:rPr>
          <w:sz w:val="22"/>
          <w:szCs w:val="22"/>
        </w:rPr>
      </w:pPr>
      <w:r w:rsidRPr="00E13CE5">
        <w:rPr>
          <w:sz w:val="22"/>
          <w:szCs w:val="22"/>
        </w:rPr>
        <w:t>2.3. A Professor Emeritus köteles jelen megállapodás 1. pont b) és c) alpontjában meghatározott egyetemi és kari bizottsági tagságával összefüggő feladatait ellátni.</w:t>
      </w:r>
    </w:p>
    <w:p w14:paraId="1981B571" w14:textId="77777777" w:rsidR="00FD0545" w:rsidRPr="00E13CE5" w:rsidRDefault="00FD0545" w:rsidP="00FD0545">
      <w:pPr>
        <w:tabs>
          <w:tab w:val="left" w:pos="9781"/>
        </w:tabs>
        <w:ind w:right="-144"/>
        <w:rPr>
          <w:sz w:val="22"/>
          <w:szCs w:val="22"/>
        </w:rPr>
      </w:pPr>
    </w:p>
    <w:p w14:paraId="201A5D29" w14:textId="77777777" w:rsidR="00FD0545" w:rsidRPr="00E13CE5" w:rsidRDefault="00FD0545" w:rsidP="00FD0545">
      <w:pPr>
        <w:tabs>
          <w:tab w:val="left" w:pos="9781"/>
        </w:tabs>
        <w:ind w:right="-144"/>
        <w:jc w:val="center"/>
        <w:rPr>
          <w:b/>
          <w:sz w:val="22"/>
          <w:szCs w:val="22"/>
        </w:rPr>
      </w:pPr>
      <w:r w:rsidRPr="00E13CE5">
        <w:rPr>
          <w:b/>
          <w:sz w:val="22"/>
          <w:szCs w:val="22"/>
        </w:rPr>
        <w:t>A Professor Emeritust megillető juttatások</w:t>
      </w:r>
    </w:p>
    <w:p w14:paraId="2E74AEB5" w14:textId="77777777" w:rsidR="00FD0545" w:rsidRPr="00E13CE5" w:rsidRDefault="00FD0545" w:rsidP="00FD0545">
      <w:pPr>
        <w:tabs>
          <w:tab w:val="left" w:pos="9781"/>
        </w:tabs>
        <w:ind w:right="-144"/>
        <w:rPr>
          <w:b/>
          <w:sz w:val="22"/>
          <w:szCs w:val="22"/>
        </w:rPr>
      </w:pPr>
    </w:p>
    <w:p w14:paraId="4D5F342A" w14:textId="77777777" w:rsidR="00FD0545" w:rsidRPr="00E13CE5" w:rsidRDefault="00FD0545" w:rsidP="00FD0545">
      <w:pPr>
        <w:tabs>
          <w:tab w:val="left" w:pos="9781"/>
        </w:tabs>
        <w:ind w:right="-144"/>
        <w:jc w:val="both"/>
        <w:rPr>
          <w:sz w:val="22"/>
          <w:szCs w:val="22"/>
        </w:rPr>
      </w:pPr>
      <w:r w:rsidRPr="00E13CE5">
        <w:rPr>
          <w:sz w:val="22"/>
          <w:szCs w:val="22"/>
        </w:rPr>
        <w:t>3.1.</w:t>
      </w:r>
      <w:r w:rsidRPr="00E13CE5">
        <w:rPr>
          <w:rStyle w:val="Lbjegyzet-hivatkozs"/>
          <w:sz w:val="22"/>
          <w:szCs w:val="22"/>
        </w:rPr>
        <w:footnoteReference w:id="499"/>
      </w:r>
      <w:r w:rsidRPr="00E13CE5">
        <w:rPr>
          <w:sz w:val="22"/>
          <w:szCs w:val="22"/>
        </w:rPr>
        <w:t xml:space="preserve"> A Professor Emeritust 2. pontban meghatározott feladatainak ellátásáért az egyetemi tanári munkakör 1. fizetési fokozatának garantált illetményére megállapított összeg 30 %-</w:t>
      </w:r>
      <w:proofErr w:type="spellStart"/>
      <w:r w:rsidRPr="00E13CE5">
        <w:rPr>
          <w:sz w:val="22"/>
          <w:szCs w:val="22"/>
        </w:rPr>
        <w:t>ának</w:t>
      </w:r>
      <w:proofErr w:type="spellEnd"/>
      <w:r w:rsidRPr="00E13CE5">
        <w:rPr>
          <w:sz w:val="22"/>
          <w:szCs w:val="22"/>
        </w:rPr>
        <w:t xml:space="preserve"> megfelelő megbízási díj illeti meg, 20….év ………………..hónap…………………napjától kezdődő hatállyal, amely adó és járulékköteles jövedelem.</w:t>
      </w:r>
    </w:p>
    <w:p w14:paraId="58610400" w14:textId="77777777" w:rsidR="00FD0545" w:rsidRPr="00E13CE5" w:rsidRDefault="00FD0545" w:rsidP="00FD0545">
      <w:pPr>
        <w:tabs>
          <w:tab w:val="left" w:pos="9781"/>
        </w:tabs>
        <w:ind w:right="-144"/>
        <w:jc w:val="both"/>
        <w:rPr>
          <w:sz w:val="22"/>
          <w:szCs w:val="22"/>
        </w:rPr>
      </w:pPr>
    </w:p>
    <w:p w14:paraId="1CE35E8D" w14:textId="77777777" w:rsidR="00FD0545" w:rsidRPr="00E13CE5" w:rsidRDefault="00FD0545" w:rsidP="00FD0545">
      <w:pPr>
        <w:tabs>
          <w:tab w:val="left" w:pos="9781"/>
        </w:tabs>
        <w:ind w:right="-144"/>
        <w:jc w:val="both"/>
        <w:rPr>
          <w:sz w:val="22"/>
          <w:szCs w:val="22"/>
        </w:rPr>
      </w:pPr>
      <w:r w:rsidRPr="00E13CE5">
        <w:rPr>
          <w:sz w:val="22"/>
          <w:szCs w:val="22"/>
        </w:rPr>
        <w:t>3.2. A megállapodás 3. 1. pontja alapján biztosított juttatás fedezetét a cím adományozására javaslatot tevő Kar költségvetése biztosítja.</w:t>
      </w:r>
    </w:p>
    <w:p w14:paraId="59AF05F0" w14:textId="77777777" w:rsidR="00FD0545" w:rsidRPr="00E13CE5" w:rsidRDefault="00FD0545" w:rsidP="00FD0545">
      <w:pPr>
        <w:tabs>
          <w:tab w:val="left" w:pos="9781"/>
        </w:tabs>
        <w:ind w:right="-144"/>
        <w:jc w:val="both"/>
        <w:rPr>
          <w:sz w:val="22"/>
          <w:szCs w:val="22"/>
        </w:rPr>
      </w:pPr>
    </w:p>
    <w:p w14:paraId="2A83A34D" w14:textId="77777777" w:rsidR="00FD0545" w:rsidRPr="00E13CE5" w:rsidRDefault="00FD0545" w:rsidP="00FD0545">
      <w:pPr>
        <w:tabs>
          <w:tab w:val="left" w:pos="9781"/>
        </w:tabs>
        <w:ind w:right="-144"/>
        <w:jc w:val="center"/>
        <w:rPr>
          <w:b/>
          <w:sz w:val="22"/>
          <w:szCs w:val="22"/>
        </w:rPr>
      </w:pPr>
      <w:r w:rsidRPr="00E13CE5">
        <w:rPr>
          <w:b/>
          <w:sz w:val="22"/>
          <w:szCs w:val="22"/>
        </w:rPr>
        <w:t>A megállapodás hatálya</w:t>
      </w:r>
    </w:p>
    <w:p w14:paraId="171C9605" w14:textId="77777777" w:rsidR="00FD0545" w:rsidRPr="00E13CE5" w:rsidRDefault="00FD0545" w:rsidP="00FD0545">
      <w:pPr>
        <w:tabs>
          <w:tab w:val="left" w:pos="9781"/>
        </w:tabs>
        <w:ind w:right="-144"/>
        <w:jc w:val="center"/>
        <w:rPr>
          <w:sz w:val="22"/>
          <w:szCs w:val="22"/>
        </w:rPr>
      </w:pPr>
    </w:p>
    <w:p w14:paraId="3EB3F783" w14:textId="77777777" w:rsidR="00FD0545" w:rsidRPr="00E13CE5" w:rsidRDefault="00FD0545" w:rsidP="00FD0545">
      <w:pPr>
        <w:tabs>
          <w:tab w:val="left" w:pos="9781"/>
        </w:tabs>
        <w:ind w:right="-144"/>
        <w:jc w:val="both"/>
        <w:rPr>
          <w:sz w:val="22"/>
          <w:szCs w:val="22"/>
        </w:rPr>
      </w:pPr>
      <w:r w:rsidRPr="00E13CE5">
        <w:rPr>
          <w:sz w:val="22"/>
          <w:szCs w:val="22"/>
        </w:rPr>
        <w:t xml:space="preserve">4.1. Jelen megállapodást a Felek </w:t>
      </w:r>
      <w:r w:rsidRPr="00E13CE5">
        <w:rPr>
          <w:b/>
          <w:i/>
          <w:sz w:val="22"/>
          <w:szCs w:val="22"/>
        </w:rPr>
        <w:t xml:space="preserve"> ………… </w:t>
      </w:r>
      <w:r w:rsidRPr="00E13CE5">
        <w:rPr>
          <w:sz w:val="22"/>
          <w:szCs w:val="22"/>
        </w:rPr>
        <w:t>időtartamra (legfeljebb öt évre) kötik, amennyiben a Professor Emeritus juttatásban részesül, a juttatásra ezen időtartam alatt jogosult.</w:t>
      </w:r>
    </w:p>
    <w:p w14:paraId="192B3130" w14:textId="77777777" w:rsidR="00FD0545" w:rsidRPr="00E13CE5" w:rsidRDefault="00FD0545" w:rsidP="00FD0545">
      <w:pPr>
        <w:tabs>
          <w:tab w:val="left" w:pos="9781"/>
        </w:tabs>
        <w:ind w:right="-144"/>
        <w:jc w:val="both"/>
        <w:rPr>
          <w:sz w:val="22"/>
          <w:szCs w:val="22"/>
        </w:rPr>
      </w:pPr>
    </w:p>
    <w:p w14:paraId="290AB4B0" w14:textId="77777777" w:rsidR="00FD0545" w:rsidRPr="00E13CE5" w:rsidRDefault="00FD0545" w:rsidP="00FD0545">
      <w:pPr>
        <w:tabs>
          <w:tab w:val="left" w:pos="9781"/>
        </w:tabs>
        <w:ind w:right="-144"/>
        <w:jc w:val="both"/>
        <w:rPr>
          <w:sz w:val="22"/>
          <w:szCs w:val="22"/>
        </w:rPr>
      </w:pPr>
      <w:r w:rsidRPr="00E13CE5">
        <w:rPr>
          <w:sz w:val="22"/>
          <w:szCs w:val="22"/>
        </w:rPr>
        <w:t>4.2. Jelen megállapodást a Felek legfeljebb további 5 évvel írásban meghosszabbíthatják. A megállapodás meghosszabbítása esetén a Professor Emeritus jogait, kötelezettségeit, továbbá az őt megillető juttatásokat tanévenként felül kell vizsgálni.</w:t>
      </w:r>
    </w:p>
    <w:p w14:paraId="1AC28AE6" w14:textId="77777777" w:rsidR="00FD0545" w:rsidRPr="00E13CE5" w:rsidRDefault="00FD0545" w:rsidP="00FD0545">
      <w:pPr>
        <w:tabs>
          <w:tab w:val="left" w:pos="9781"/>
        </w:tabs>
        <w:ind w:right="-144"/>
        <w:jc w:val="both"/>
        <w:rPr>
          <w:sz w:val="22"/>
          <w:szCs w:val="22"/>
        </w:rPr>
      </w:pPr>
    </w:p>
    <w:p w14:paraId="34574D8E" w14:textId="77777777" w:rsidR="00FD0545" w:rsidRPr="00E13CE5" w:rsidRDefault="00FD0545" w:rsidP="00FD0545">
      <w:pPr>
        <w:tabs>
          <w:tab w:val="left" w:pos="9781"/>
        </w:tabs>
        <w:ind w:right="-144"/>
        <w:jc w:val="both"/>
        <w:rPr>
          <w:sz w:val="22"/>
          <w:szCs w:val="22"/>
        </w:rPr>
      </w:pPr>
      <w:r w:rsidRPr="00E13CE5">
        <w:rPr>
          <w:sz w:val="22"/>
          <w:szCs w:val="22"/>
        </w:rPr>
        <w:t>4.3. A Professor Emeritus cím használata a jogosultat akkor is megilleti, ha a juttatásra már nem jogosult.</w:t>
      </w:r>
    </w:p>
    <w:p w14:paraId="14471CAD" w14:textId="77777777" w:rsidR="00FD0545" w:rsidRPr="00E13CE5" w:rsidRDefault="00FD0545" w:rsidP="00FD0545">
      <w:pPr>
        <w:tabs>
          <w:tab w:val="left" w:pos="9781"/>
        </w:tabs>
        <w:ind w:right="-144"/>
        <w:jc w:val="both"/>
        <w:rPr>
          <w:sz w:val="22"/>
          <w:szCs w:val="22"/>
        </w:rPr>
      </w:pPr>
    </w:p>
    <w:p w14:paraId="0723D565" w14:textId="77777777" w:rsidR="00FD0545" w:rsidRPr="00E13CE5" w:rsidRDefault="00FD0545" w:rsidP="00FD0545">
      <w:pPr>
        <w:tabs>
          <w:tab w:val="left" w:pos="9781"/>
        </w:tabs>
        <w:ind w:right="-144"/>
        <w:jc w:val="both"/>
        <w:rPr>
          <w:sz w:val="22"/>
          <w:szCs w:val="22"/>
        </w:rPr>
      </w:pPr>
      <w:r w:rsidRPr="00E13CE5">
        <w:rPr>
          <w:sz w:val="22"/>
          <w:szCs w:val="22"/>
        </w:rPr>
        <w:t>4.4. Felek jelen megállapodást 3 hónapos felmondási idővel felmondhatják. A megállapodás felmondása esetén a Professor Emeritus a cím viselésére jogosult marad.</w:t>
      </w:r>
    </w:p>
    <w:p w14:paraId="04BE2E2E" w14:textId="77777777" w:rsidR="00FD0545" w:rsidRPr="00E13CE5" w:rsidRDefault="00FD0545" w:rsidP="00FD0545">
      <w:pPr>
        <w:tabs>
          <w:tab w:val="left" w:pos="9781"/>
        </w:tabs>
        <w:ind w:right="-144"/>
        <w:jc w:val="both"/>
        <w:rPr>
          <w:sz w:val="22"/>
          <w:szCs w:val="22"/>
        </w:rPr>
      </w:pPr>
    </w:p>
    <w:p w14:paraId="0EFE4DD1" w14:textId="77777777" w:rsidR="00FD0545" w:rsidRPr="00E13CE5" w:rsidRDefault="00FD0545" w:rsidP="00FD0545">
      <w:pPr>
        <w:tabs>
          <w:tab w:val="left" w:pos="9781"/>
        </w:tabs>
        <w:ind w:right="-144"/>
        <w:jc w:val="both"/>
        <w:rPr>
          <w:sz w:val="22"/>
          <w:szCs w:val="22"/>
        </w:rPr>
      </w:pPr>
    </w:p>
    <w:p w14:paraId="4CFBF9C1" w14:textId="77777777" w:rsidR="00FD0545" w:rsidRPr="00E13CE5" w:rsidRDefault="00FD0545" w:rsidP="00FD0545">
      <w:pPr>
        <w:tabs>
          <w:tab w:val="left" w:pos="9781"/>
        </w:tabs>
        <w:ind w:right="-144"/>
        <w:jc w:val="both"/>
        <w:rPr>
          <w:sz w:val="22"/>
          <w:szCs w:val="22"/>
        </w:rPr>
      </w:pPr>
      <w:r w:rsidRPr="00E13CE5">
        <w:rPr>
          <w:sz w:val="22"/>
          <w:szCs w:val="22"/>
        </w:rPr>
        <w:t>Pécs, 20…………………………………..</w:t>
      </w:r>
    </w:p>
    <w:p w14:paraId="79A94F1B" w14:textId="77777777" w:rsidR="00FD0545" w:rsidRPr="00E13CE5" w:rsidRDefault="00FD0545" w:rsidP="00FD0545">
      <w:pPr>
        <w:tabs>
          <w:tab w:val="left" w:pos="9781"/>
        </w:tabs>
        <w:ind w:right="-144"/>
        <w:jc w:val="both"/>
        <w:rPr>
          <w:sz w:val="22"/>
          <w:szCs w:val="22"/>
        </w:rPr>
      </w:pPr>
    </w:p>
    <w:p w14:paraId="6F4CB185" w14:textId="77777777" w:rsidR="00FD0545" w:rsidRPr="00E13CE5" w:rsidRDefault="00FD0545" w:rsidP="00FD0545">
      <w:pPr>
        <w:tabs>
          <w:tab w:val="left" w:pos="9781"/>
        </w:tabs>
        <w:ind w:right="-144"/>
        <w:jc w:val="both"/>
        <w:rPr>
          <w:sz w:val="22"/>
          <w:szCs w:val="22"/>
        </w:rPr>
      </w:pPr>
    </w:p>
    <w:p w14:paraId="6C433F1D" w14:textId="77777777" w:rsidR="00FD0545" w:rsidRPr="00E13CE5" w:rsidRDefault="00FD0545" w:rsidP="00FD0545">
      <w:pPr>
        <w:tabs>
          <w:tab w:val="left" w:pos="9781"/>
        </w:tabs>
        <w:ind w:right="-144"/>
        <w:jc w:val="both"/>
        <w:rPr>
          <w:sz w:val="22"/>
          <w:szCs w:val="22"/>
        </w:rPr>
      </w:pPr>
    </w:p>
    <w:p w14:paraId="6AD928DA" w14:textId="77777777" w:rsidR="00FD0545" w:rsidRPr="00E13CE5" w:rsidRDefault="00FD0545" w:rsidP="00FD0545">
      <w:pPr>
        <w:tabs>
          <w:tab w:val="left" w:pos="9781"/>
        </w:tabs>
        <w:ind w:right="-144"/>
        <w:jc w:val="both"/>
        <w:rPr>
          <w:sz w:val="22"/>
          <w:szCs w:val="22"/>
        </w:rPr>
      </w:pPr>
    </w:p>
    <w:p w14:paraId="28013400" w14:textId="77777777" w:rsidR="00FD0545" w:rsidRPr="00E13CE5" w:rsidRDefault="00FD0545" w:rsidP="00FD0545">
      <w:pPr>
        <w:tabs>
          <w:tab w:val="left" w:pos="9781"/>
        </w:tabs>
        <w:ind w:right="-144"/>
        <w:jc w:val="both"/>
        <w:rPr>
          <w:sz w:val="22"/>
          <w:szCs w:val="22"/>
        </w:rPr>
      </w:pPr>
      <w:r w:rsidRPr="00E13CE5">
        <w:rPr>
          <w:sz w:val="22"/>
          <w:szCs w:val="22"/>
        </w:rPr>
        <w:t>……………………                                                                             …………………………….</w:t>
      </w:r>
    </w:p>
    <w:p w14:paraId="5134A0C4" w14:textId="77777777" w:rsidR="00FD0545" w:rsidRPr="00E13CE5" w:rsidRDefault="00FD0545" w:rsidP="00FD0545">
      <w:pPr>
        <w:tabs>
          <w:tab w:val="left" w:pos="9781"/>
        </w:tabs>
        <w:ind w:right="-144"/>
        <w:jc w:val="both"/>
        <w:rPr>
          <w:sz w:val="22"/>
          <w:szCs w:val="22"/>
        </w:rPr>
      </w:pPr>
      <w:r w:rsidRPr="00E13CE5">
        <w:rPr>
          <w:sz w:val="22"/>
          <w:szCs w:val="22"/>
        </w:rPr>
        <w:t xml:space="preserve">         Egyetem                                                                                     Professor Emeritus/Emerita</w:t>
      </w:r>
    </w:p>
    <w:p w14:paraId="6B0864F4" w14:textId="77777777" w:rsidR="00FD0545" w:rsidRPr="00E13CE5" w:rsidRDefault="00FD0545" w:rsidP="00FD0545">
      <w:pPr>
        <w:tabs>
          <w:tab w:val="left" w:pos="9781"/>
        </w:tabs>
        <w:ind w:right="-144"/>
        <w:jc w:val="both"/>
        <w:rPr>
          <w:sz w:val="22"/>
          <w:szCs w:val="22"/>
        </w:rPr>
      </w:pPr>
    </w:p>
    <w:p w14:paraId="3C15D81B" w14:textId="77777777" w:rsidR="00FD0545" w:rsidRPr="00E13CE5" w:rsidRDefault="00FD0545" w:rsidP="00FD0545">
      <w:pPr>
        <w:tabs>
          <w:tab w:val="left" w:pos="9781"/>
        </w:tabs>
        <w:ind w:right="-144"/>
        <w:jc w:val="both"/>
        <w:rPr>
          <w:sz w:val="22"/>
          <w:szCs w:val="22"/>
        </w:rPr>
      </w:pPr>
    </w:p>
    <w:p w14:paraId="2D105A34" w14:textId="77777777" w:rsidR="00FD0545" w:rsidRPr="00E13CE5" w:rsidRDefault="00FD0545" w:rsidP="00FD0545">
      <w:pPr>
        <w:tabs>
          <w:tab w:val="left" w:pos="9781"/>
        </w:tabs>
        <w:ind w:right="-144"/>
        <w:jc w:val="both"/>
        <w:rPr>
          <w:sz w:val="22"/>
          <w:szCs w:val="22"/>
        </w:rPr>
      </w:pPr>
    </w:p>
    <w:p w14:paraId="676140EC" w14:textId="77777777" w:rsidR="00FD0545" w:rsidRPr="00E13CE5" w:rsidRDefault="00FD0545" w:rsidP="00FD0545">
      <w:pPr>
        <w:tabs>
          <w:tab w:val="left" w:pos="9781"/>
        </w:tabs>
        <w:ind w:right="-144"/>
        <w:jc w:val="both"/>
        <w:rPr>
          <w:sz w:val="22"/>
          <w:szCs w:val="22"/>
        </w:rPr>
      </w:pPr>
      <w:r w:rsidRPr="00E13CE5">
        <w:rPr>
          <w:sz w:val="22"/>
          <w:szCs w:val="22"/>
        </w:rPr>
        <w:t>……………………………..</w:t>
      </w:r>
    </w:p>
    <w:p w14:paraId="19049B3E" w14:textId="77777777" w:rsidR="00FD0545" w:rsidRPr="00E13CE5" w:rsidRDefault="00FD0545" w:rsidP="00FD0545">
      <w:pPr>
        <w:tabs>
          <w:tab w:val="left" w:pos="9781"/>
        </w:tabs>
        <w:ind w:right="-144"/>
        <w:jc w:val="both"/>
        <w:rPr>
          <w:sz w:val="22"/>
          <w:szCs w:val="22"/>
        </w:rPr>
      </w:pPr>
      <w:r w:rsidRPr="00E13CE5">
        <w:rPr>
          <w:sz w:val="22"/>
          <w:szCs w:val="22"/>
        </w:rPr>
        <w:t xml:space="preserve">      pénzügyi ellenjegyző</w:t>
      </w:r>
    </w:p>
    <w:p w14:paraId="60C45683" w14:textId="77777777" w:rsidR="00FD0545" w:rsidRPr="00E13CE5" w:rsidRDefault="00FD0545" w:rsidP="00FD0545">
      <w:pPr>
        <w:tabs>
          <w:tab w:val="left" w:pos="9781"/>
        </w:tabs>
        <w:ind w:right="-144"/>
        <w:jc w:val="both"/>
        <w:rPr>
          <w:sz w:val="22"/>
          <w:szCs w:val="22"/>
        </w:rPr>
      </w:pPr>
    </w:p>
    <w:p w14:paraId="6737DA3F" w14:textId="77777777" w:rsidR="00FD0545" w:rsidRPr="00E13CE5" w:rsidRDefault="00FD0545" w:rsidP="00FD0545">
      <w:pPr>
        <w:tabs>
          <w:tab w:val="left" w:pos="9781"/>
        </w:tabs>
        <w:ind w:right="-144"/>
        <w:jc w:val="both"/>
        <w:rPr>
          <w:sz w:val="22"/>
          <w:szCs w:val="22"/>
        </w:rPr>
      </w:pPr>
    </w:p>
    <w:p w14:paraId="64BC89FC" w14:textId="77777777" w:rsidR="00FD0545" w:rsidRPr="00E13CE5" w:rsidRDefault="00FD0545" w:rsidP="00FD0545">
      <w:pPr>
        <w:tabs>
          <w:tab w:val="left" w:pos="9781"/>
        </w:tabs>
        <w:ind w:right="-144"/>
        <w:jc w:val="both"/>
        <w:rPr>
          <w:sz w:val="22"/>
          <w:szCs w:val="22"/>
        </w:rPr>
      </w:pPr>
    </w:p>
    <w:p w14:paraId="3006865A" w14:textId="1A4CAB88" w:rsidR="00FD0545" w:rsidRPr="00E13CE5" w:rsidRDefault="00FD0545" w:rsidP="00FD0545">
      <w:pPr>
        <w:tabs>
          <w:tab w:val="left" w:pos="9781"/>
        </w:tabs>
        <w:ind w:right="-144"/>
        <w:jc w:val="both"/>
        <w:rPr>
          <w:sz w:val="22"/>
          <w:szCs w:val="22"/>
        </w:rPr>
      </w:pPr>
      <w:r w:rsidRPr="00E13CE5">
        <w:rPr>
          <w:sz w:val="22"/>
          <w:szCs w:val="22"/>
        </w:rPr>
        <w:t xml:space="preserve">Kötelező </w:t>
      </w:r>
      <w:proofErr w:type="spellStart"/>
      <w:r w:rsidRPr="00E13CE5">
        <w:rPr>
          <w:sz w:val="22"/>
          <w:szCs w:val="22"/>
        </w:rPr>
        <w:t>melléklet:adóelőleg-nyilatkozat</w:t>
      </w:r>
      <w:proofErr w:type="spellEnd"/>
      <w:r w:rsidRPr="00E13CE5">
        <w:rPr>
          <w:sz w:val="22"/>
          <w:szCs w:val="22"/>
        </w:rPr>
        <w:t xml:space="preserve"> (a megállapodás megkötésekor, ezt követően évente január 15. napjáig benyújtandó a PTE </w:t>
      </w:r>
      <w:r w:rsidR="008F3214" w:rsidRPr="008F3214">
        <w:rPr>
          <w:b/>
          <w:bCs/>
          <w:i/>
          <w:iCs/>
          <w:sz w:val="22"/>
          <w:szCs w:val="22"/>
        </w:rPr>
        <w:t>Kancellári Hivatal</w:t>
      </w:r>
      <w:r w:rsidR="008F3214">
        <w:rPr>
          <w:sz w:val="22"/>
          <w:szCs w:val="22"/>
        </w:rPr>
        <w:t xml:space="preserve"> </w:t>
      </w:r>
      <w:r w:rsidR="008F3214" w:rsidRPr="00E13CE5">
        <w:rPr>
          <w:sz w:val="22"/>
          <w:szCs w:val="22"/>
        </w:rPr>
        <w:t xml:space="preserve">Humánpolitikai </w:t>
      </w:r>
      <w:r w:rsidR="008F3214" w:rsidRPr="008F3214">
        <w:rPr>
          <w:strike/>
          <w:sz w:val="22"/>
          <w:szCs w:val="22"/>
        </w:rPr>
        <w:t>Igazgatóságára</w:t>
      </w:r>
      <w:r w:rsidR="008F3214">
        <w:rPr>
          <w:strike/>
          <w:sz w:val="22"/>
          <w:szCs w:val="22"/>
        </w:rPr>
        <w:t xml:space="preserve"> </w:t>
      </w:r>
      <w:r w:rsidR="008F3214" w:rsidRPr="008F3214">
        <w:rPr>
          <w:b/>
          <w:bCs/>
          <w:i/>
          <w:iCs/>
          <w:sz w:val="22"/>
          <w:szCs w:val="22"/>
        </w:rPr>
        <w:t>Főosztályára</w:t>
      </w:r>
      <w:r w:rsidRPr="00E13CE5">
        <w:rPr>
          <w:sz w:val="22"/>
          <w:szCs w:val="22"/>
        </w:rPr>
        <w:t xml:space="preserve">. A nyomtatvány a </w:t>
      </w:r>
      <w:hyperlink r:id="rId21" w:history="1">
        <w:r w:rsidRPr="00E13CE5">
          <w:rPr>
            <w:rStyle w:val="Hiperhivatkozs"/>
            <w:color w:val="auto"/>
            <w:sz w:val="22"/>
            <w:szCs w:val="22"/>
          </w:rPr>
          <w:t>http://hr.pte.hu/</w:t>
        </w:r>
      </w:hyperlink>
      <w:r w:rsidRPr="00E13CE5">
        <w:rPr>
          <w:sz w:val="22"/>
          <w:szCs w:val="22"/>
        </w:rPr>
        <w:t xml:space="preserve"> címen a nyomtatványok között érhető el.)</w:t>
      </w:r>
    </w:p>
    <w:p w14:paraId="055D0390" w14:textId="77777777" w:rsidR="00FD0545" w:rsidRPr="00E13CE5" w:rsidRDefault="00FD0545" w:rsidP="00FD0545">
      <w:pPr>
        <w:tabs>
          <w:tab w:val="left" w:pos="9781"/>
        </w:tabs>
        <w:ind w:right="-144"/>
        <w:jc w:val="both"/>
        <w:rPr>
          <w:b/>
          <w:i/>
          <w:sz w:val="22"/>
          <w:szCs w:val="22"/>
        </w:rPr>
      </w:pPr>
      <w:r w:rsidRPr="00E13CE5">
        <w:rPr>
          <w:sz w:val="22"/>
          <w:szCs w:val="22"/>
        </w:rPr>
        <w:br w:type="page"/>
      </w:r>
      <w:r w:rsidRPr="00E13CE5">
        <w:rPr>
          <w:b/>
          <w:i/>
          <w:sz w:val="22"/>
          <w:szCs w:val="22"/>
        </w:rPr>
        <w:lastRenderedPageBreak/>
        <w:t xml:space="preserve"> </w:t>
      </w:r>
    </w:p>
    <w:p w14:paraId="5C5E6F1F" w14:textId="77777777" w:rsidR="00FD0545" w:rsidRPr="00E13CE5" w:rsidRDefault="00FD0545" w:rsidP="00FD0545">
      <w:pPr>
        <w:jc w:val="center"/>
        <w:rPr>
          <w:b/>
        </w:rPr>
      </w:pPr>
      <w:r w:rsidRPr="00E13CE5">
        <w:rPr>
          <w:b/>
        </w:rPr>
        <w:t>3/C melléklet</w:t>
      </w:r>
    </w:p>
    <w:p w14:paraId="2DD9E0DD" w14:textId="77777777" w:rsidR="00FD0545" w:rsidRPr="00E13CE5" w:rsidRDefault="00FD0545" w:rsidP="00FD0545">
      <w:pPr>
        <w:tabs>
          <w:tab w:val="left" w:pos="9781"/>
        </w:tabs>
        <w:ind w:right="-144"/>
        <w:jc w:val="both"/>
        <w:rPr>
          <w:b/>
          <w:i/>
          <w:sz w:val="22"/>
          <w:szCs w:val="22"/>
        </w:rPr>
      </w:pPr>
    </w:p>
    <w:p w14:paraId="1A9447A4" w14:textId="77777777" w:rsidR="00FD0545" w:rsidRPr="00E13CE5" w:rsidRDefault="00FD0545" w:rsidP="00FD0545">
      <w:pPr>
        <w:pBdr>
          <w:top w:val="single" w:sz="4" w:space="1" w:color="auto"/>
          <w:left w:val="single" w:sz="4" w:space="4" w:color="auto"/>
          <w:bottom w:val="single" w:sz="4" w:space="1" w:color="auto"/>
          <w:right w:val="single" w:sz="4" w:space="4" w:color="auto"/>
        </w:pBdr>
        <w:shd w:val="clear" w:color="auto" w:fill="B3B3B3"/>
        <w:tabs>
          <w:tab w:val="left" w:pos="9781"/>
        </w:tabs>
        <w:ind w:right="-144"/>
        <w:jc w:val="center"/>
        <w:rPr>
          <w:b/>
          <w:sz w:val="22"/>
          <w:szCs w:val="22"/>
        </w:rPr>
      </w:pPr>
      <w:r w:rsidRPr="00E13CE5">
        <w:rPr>
          <w:b/>
          <w:sz w:val="22"/>
          <w:szCs w:val="22"/>
        </w:rPr>
        <w:t>Megállapodás a Professor Emeritus/ Emerita (továbbiakban együtt: Professor Emeritus) címmel járó juttatásokról díjazás nélkül</w:t>
      </w:r>
    </w:p>
    <w:p w14:paraId="458D31C0" w14:textId="77777777" w:rsidR="00FD0545" w:rsidRPr="00E13CE5" w:rsidRDefault="00FD0545" w:rsidP="00FD0545">
      <w:pPr>
        <w:tabs>
          <w:tab w:val="left" w:pos="9781"/>
        </w:tabs>
        <w:ind w:right="-144"/>
        <w:jc w:val="cente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850"/>
      </w:tblGrid>
      <w:tr w:rsidR="00FD0545" w:rsidRPr="00E13CE5" w14:paraId="64AC0BA4" w14:textId="77777777" w:rsidTr="00026782">
        <w:tc>
          <w:tcPr>
            <w:tcW w:w="4606" w:type="dxa"/>
          </w:tcPr>
          <w:p w14:paraId="54BA5E0D" w14:textId="77777777" w:rsidR="00FD0545" w:rsidRPr="00E13CE5" w:rsidRDefault="00FD0545" w:rsidP="00026782">
            <w:pPr>
              <w:tabs>
                <w:tab w:val="left" w:pos="9781"/>
              </w:tabs>
              <w:ind w:right="-144"/>
              <w:jc w:val="both"/>
              <w:rPr>
                <w:b/>
                <w:sz w:val="22"/>
                <w:szCs w:val="22"/>
              </w:rPr>
            </w:pPr>
            <w:r w:rsidRPr="00E13CE5">
              <w:rPr>
                <w:b/>
                <w:sz w:val="22"/>
                <w:szCs w:val="22"/>
              </w:rPr>
              <w:t>A Professor Emeritus neve</w:t>
            </w:r>
          </w:p>
        </w:tc>
        <w:tc>
          <w:tcPr>
            <w:tcW w:w="5850" w:type="dxa"/>
          </w:tcPr>
          <w:p w14:paraId="0CB7079F" w14:textId="77777777" w:rsidR="00FD0545" w:rsidRPr="00E13CE5" w:rsidRDefault="00FD0545" w:rsidP="00026782">
            <w:pPr>
              <w:tabs>
                <w:tab w:val="left" w:pos="9781"/>
              </w:tabs>
              <w:ind w:right="-144"/>
              <w:jc w:val="both"/>
              <w:rPr>
                <w:sz w:val="22"/>
                <w:szCs w:val="22"/>
              </w:rPr>
            </w:pPr>
          </w:p>
        </w:tc>
      </w:tr>
      <w:tr w:rsidR="00FD0545" w:rsidRPr="00E13CE5" w14:paraId="7DD4ACF2" w14:textId="77777777" w:rsidTr="00026782">
        <w:tc>
          <w:tcPr>
            <w:tcW w:w="4606" w:type="dxa"/>
          </w:tcPr>
          <w:p w14:paraId="37478B37" w14:textId="77777777" w:rsidR="00FD0545" w:rsidRPr="00E13CE5" w:rsidRDefault="00FD0545" w:rsidP="00026782">
            <w:pPr>
              <w:tabs>
                <w:tab w:val="left" w:pos="9781"/>
              </w:tabs>
              <w:ind w:right="-144"/>
              <w:jc w:val="both"/>
              <w:rPr>
                <w:b/>
                <w:sz w:val="22"/>
                <w:szCs w:val="22"/>
              </w:rPr>
            </w:pPr>
            <w:r w:rsidRPr="00E13CE5">
              <w:rPr>
                <w:b/>
                <w:sz w:val="22"/>
                <w:szCs w:val="22"/>
              </w:rPr>
              <w:t>Születési</w:t>
            </w:r>
            <w:r w:rsidRPr="00E13CE5">
              <w:rPr>
                <w:b/>
                <w:i/>
                <w:sz w:val="22"/>
                <w:szCs w:val="22"/>
              </w:rPr>
              <w:t xml:space="preserve"> </w:t>
            </w:r>
            <w:r w:rsidRPr="00E13CE5">
              <w:rPr>
                <w:b/>
                <w:sz w:val="22"/>
                <w:szCs w:val="22"/>
              </w:rPr>
              <w:t>neve</w:t>
            </w:r>
          </w:p>
        </w:tc>
        <w:tc>
          <w:tcPr>
            <w:tcW w:w="5850" w:type="dxa"/>
          </w:tcPr>
          <w:p w14:paraId="4EB48164" w14:textId="77777777" w:rsidR="00FD0545" w:rsidRPr="00E13CE5" w:rsidRDefault="00FD0545" w:rsidP="00026782">
            <w:pPr>
              <w:tabs>
                <w:tab w:val="left" w:pos="9781"/>
              </w:tabs>
              <w:ind w:right="-144"/>
              <w:jc w:val="both"/>
              <w:rPr>
                <w:sz w:val="22"/>
                <w:szCs w:val="22"/>
              </w:rPr>
            </w:pPr>
          </w:p>
        </w:tc>
      </w:tr>
      <w:tr w:rsidR="00FD0545" w:rsidRPr="00E13CE5" w14:paraId="1604327C" w14:textId="77777777" w:rsidTr="00026782">
        <w:tc>
          <w:tcPr>
            <w:tcW w:w="4606" w:type="dxa"/>
          </w:tcPr>
          <w:p w14:paraId="62FBB506" w14:textId="77777777" w:rsidR="00FD0545" w:rsidRPr="00E13CE5" w:rsidRDefault="00FD0545" w:rsidP="00026782">
            <w:pPr>
              <w:tabs>
                <w:tab w:val="left" w:pos="9781"/>
              </w:tabs>
              <w:ind w:right="-144"/>
              <w:jc w:val="both"/>
              <w:rPr>
                <w:b/>
                <w:sz w:val="22"/>
                <w:szCs w:val="22"/>
              </w:rPr>
            </w:pPr>
            <w:r w:rsidRPr="00E13CE5">
              <w:rPr>
                <w:b/>
                <w:sz w:val="22"/>
                <w:szCs w:val="22"/>
              </w:rPr>
              <w:t>Születési helye, ideje</w:t>
            </w:r>
          </w:p>
        </w:tc>
        <w:tc>
          <w:tcPr>
            <w:tcW w:w="5850" w:type="dxa"/>
          </w:tcPr>
          <w:p w14:paraId="6D5CA3C8" w14:textId="77777777" w:rsidR="00FD0545" w:rsidRPr="00E13CE5" w:rsidRDefault="00FD0545" w:rsidP="00026782">
            <w:pPr>
              <w:tabs>
                <w:tab w:val="left" w:pos="9781"/>
              </w:tabs>
              <w:ind w:right="-144"/>
              <w:jc w:val="both"/>
              <w:rPr>
                <w:sz w:val="22"/>
                <w:szCs w:val="22"/>
              </w:rPr>
            </w:pPr>
          </w:p>
        </w:tc>
      </w:tr>
      <w:tr w:rsidR="00FD0545" w:rsidRPr="00E13CE5" w14:paraId="1BF5D5C7" w14:textId="77777777" w:rsidTr="00026782">
        <w:tc>
          <w:tcPr>
            <w:tcW w:w="4606" w:type="dxa"/>
          </w:tcPr>
          <w:p w14:paraId="3A117838" w14:textId="77777777" w:rsidR="00FD0545" w:rsidRPr="00E13CE5" w:rsidRDefault="00FD0545" w:rsidP="00026782">
            <w:pPr>
              <w:tabs>
                <w:tab w:val="left" w:pos="9781"/>
              </w:tabs>
              <w:ind w:right="-144"/>
              <w:jc w:val="both"/>
              <w:rPr>
                <w:b/>
                <w:sz w:val="22"/>
                <w:szCs w:val="22"/>
              </w:rPr>
            </w:pPr>
            <w:r w:rsidRPr="00E13CE5">
              <w:rPr>
                <w:b/>
                <w:sz w:val="22"/>
                <w:szCs w:val="22"/>
              </w:rPr>
              <w:t>Anyja neve</w:t>
            </w:r>
          </w:p>
        </w:tc>
        <w:tc>
          <w:tcPr>
            <w:tcW w:w="5850" w:type="dxa"/>
          </w:tcPr>
          <w:p w14:paraId="4B3DC686" w14:textId="77777777" w:rsidR="00FD0545" w:rsidRPr="00E13CE5" w:rsidRDefault="00FD0545" w:rsidP="00026782">
            <w:pPr>
              <w:tabs>
                <w:tab w:val="left" w:pos="9781"/>
              </w:tabs>
              <w:ind w:right="-144"/>
              <w:jc w:val="both"/>
              <w:rPr>
                <w:sz w:val="22"/>
                <w:szCs w:val="22"/>
              </w:rPr>
            </w:pPr>
          </w:p>
        </w:tc>
      </w:tr>
      <w:tr w:rsidR="00FD0545" w:rsidRPr="00E13CE5" w14:paraId="4B0D3FF3" w14:textId="77777777" w:rsidTr="00026782">
        <w:tc>
          <w:tcPr>
            <w:tcW w:w="4606" w:type="dxa"/>
          </w:tcPr>
          <w:p w14:paraId="4116F7A1" w14:textId="77777777" w:rsidR="00FD0545" w:rsidRPr="00E13CE5" w:rsidRDefault="00FD0545" w:rsidP="00026782">
            <w:pPr>
              <w:tabs>
                <w:tab w:val="left" w:pos="9781"/>
              </w:tabs>
              <w:ind w:right="-144"/>
              <w:jc w:val="both"/>
              <w:rPr>
                <w:b/>
                <w:sz w:val="22"/>
                <w:szCs w:val="22"/>
              </w:rPr>
            </w:pPr>
            <w:r w:rsidRPr="00E13CE5">
              <w:rPr>
                <w:b/>
                <w:sz w:val="22"/>
                <w:szCs w:val="22"/>
              </w:rPr>
              <w:t>Állandó lakcíme</w:t>
            </w:r>
          </w:p>
        </w:tc>
        <w:tc>
          <w:tcPr>
            <w:tcW w:w="5850" w:type="dxa"/>
          </w:tcPr>
          <w:p w14:paraId="2926A824" w14:textId="77777777" w:rsidR="00FD0545" w:rsidRPr="00E13CE5" w:rsidRDefault="00FD0545" w:rsidP="00026782">
            <w:pPr>
              <w:tabs>
                <w:tab w:val="left" w:pos="9781"/>
              </w:tabs>
              <w:ind w:right="-144"/>
              <w:jc w:val="both"/>
              <w:rPr>
                <w:sz w:val="22"/>
                <w:szCs w:val="22"/>
              </w:rPr>
            </w:pPr>
          </w:p>
        </w:tc>
      </w:tr>
      <w:tr w:rsidR="00FD0545" w:rsidRPr="00E13CE5" w14:paraId="71CF1354" w14:textId="77777777" w:rsidTr="00026782">
        <w:tc>
          <w:tcPr>
            <w:tcW w:w="4606" w:type="dxa"/>
          </w:tcPr>
          <w:p w14:paraId="565B2312"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5850" w:type="dxa"/>
          </w:tcPr>
          <w:p w14:paraId="015D428F" w14:textId="77777777" w:rsidR="00FD0545" w:rsidRPr="00E13CE5" w:rsidRDefault="00FD0545" w:rsidP="00026782">
            <w:pPr>
              <w:tabs>
                <w:tab w:val="left" w:pos="9781"/>
              </w:tabs>
              <w:ind w:right="-144"/>
              <w:jc w:val="both"/>
              <w:rPr>
                <w:sz w:val="22"/>
                <w:szCs w:val="22"/>
              </w:rPr>
            </w:pPr>
          </w:p>
        </w:tc>
      </w:tr>
      <w:tr w:rsidR="00FD0545" w:rsidRPr="00E13CE5" w14:paraId="3105C2EA" w14:textId="77777777" w:rsidTr="00026782">
        <w:tc>
          <w:tcPr>
            <w:tcW w:w="4606" w:type="dxa"/>
          </w:tcPr>
          <w:p w14:paraId="3025843D" w14:textId="77777777" w:rsidR="00FD0545" w:rsidRPr="00E13CE5" w:rsidRDefault="00FD0545" w:rsidP="00026782">
            <w:pPr>
              <w:tabs>
                <w:tab w:val="left" w:pos="9781"/>
              </w:tabs>
              <w:ind w:right="-144"/>
              <w:jc w:val="both"/>
              <w:rPr>
                <w:b/>
                <w:sz w:val="22"/>
                <w:szCs w:val="22"/>
              </w:rPr>
            </w:pPr>
            <w:r w:rsidRPr="00E13CE5">
              <w:rPr>
                <w:b/>
                <w:sz w:val="22"/>
                <w:szCs w:val="22"/>
              </w:rPr>
              <w:t>Oktatói azonosítója</w:t>
            </w:r>
          </w:p>
        </w:tc>
        <w:tc>
          <w:tcPr>
            <w:tcW w:w="5850" w:type="dxa"/>
          </w:tcPr>
          <w:p w14:paraId="2A4EEDCE" w14:textId="77777777" w:rsidR="00FD0545" w:rsidRPr="00E13CE5" w:rsidRDefault="00FD0545" w:rsidP="00026782">
            <w:pPr>
              <w:tabs>
                <w:tab w:val="left" w:pos="9781"/>
              </w:tabs>
              <w:ind w:right="-144"/>
              <w:jc w:val="both"/>
              <w:rPr>
                <w:sz w:val="22"/>
                <w:szCs w:val="22"/>
              </w:rPr>
            </w:pPr>
          </w:p>
        </w:tc>
      </w:tr>
      <w:tr w:rsidR="00FD0545" w:rsidRPr="00E13CE5" w14:paraId="3AF6C409" w14:textId="77777777" w:rsidTr="00026782">
        <w:tc>
          <w:tcPr>
            <w:tcW w:w="4606" w:type="dxa"/>
          </w:tcPr>
          <w:p w14:paraId="451364FF" w14:textId="77777777" w:rsidR="00FD0545" w:rsidRPr="00E13CE5" w:rsidRDefault="00FD0545" w:rsidP="00026782">
            <w:pPr>
              <w:tabs>
                <w:tab w:val="left" w:pos="9781"/>
              </w:tabs>
              <w:ind w:right="-144"/>
              <w:jc w:val="both"/>
              <w:rPr>
                <w:b/>
                <w:sz w:val="22"/>
                <w:szCs w:val="22"/>
              </w:rPr>
            </w:pPr>
            <w:r w:rsidRPr="00E13CE5">
              <w:rPr>
                <w:b/>
                <w:sz w:val="22"/>
                <w:szCs w:val="22"/>
              </w:rPr>
              <w:t>A címet adományozó szenátusi határozat száma</w:t>
            </w:r>
          </w:p>
        </w:tc>
        <w:tc>
          <w:tcPr>
            <w:tcW w:w="5850" w:type="dxa"/>
          </w:tcPr>
          <w:p w14:paraId="14166A40" w14:textId="77777777" w:rsidR="00FD0545" w:rsidRPr="00E13CE5" w:rsidRDefault="00FD0545" w:rsidP="00026782">
            <w:pPr>
              <w:tabs>
                <w:tab w:val="left" w:pos="9781"/>
              </w:tabs>
              <w:ind w:right="-144"/>
              <w:jc w:val="both"/>
              <w:rPr>
                <w:sz w:val="22"/>
                <w:szCs w:val="22"/>
              </w:rPr>
            </w:pPr>
          </w:p>
        </w:tc>
      </w:tr>
    </w:tbl>
    <w:p w14:paraId="27CB5C3F" w14:textId="77777777" w:rsidR="00FD0545" w:rsidRPr="00E13CE5" w:rsidRDefault="00FD0545" w:rsidP="00FD0545">
      <w:pPr>
        <w:tabs>
          <w:tab w:val="left" w:pos="9781"/>
        </w:tabs>
        <w:ind w:right="-144"/>
        <w:jc w:val="both"/>
        <w:rPr>
          <w:sz w:val="22"/>
          <w:szCs w:val="22"/>
        </w:rPr>
      </w:pPr>
    </w:p>
    <w:p w14:paraId="3F9EA199" w14:textId="77777777" w:rsidR="00FD0545" w:rsidRPr="00E13CE5" w:rsidRDefault="00FD0545" w:rsidP="00FD0545">
      <w:pPr>
        <w:tabs>
          <w:tab w:val="left" w:pos="9781"/>
        </w:tabs>
        <w:ind w:right="-144"/>
        <w:jc w:val="both"/>
        <w:rPr>
          <w:sz w:val="22"/>
          <w:szCs w:val="22"/>
        </w:rPr>
      </w:pPr>
      <w:r w:rsidRPr="00E13CE5">
        <w:rPr>
          <w:sz w:val="22"/>
          <w:szCs w:val="22"/>
        </w:rPr>
        <w:t>másrészről</w:t>
      </w:r>
    </w:p>
    <w:p w14:paraId="43AA33B6" w14:textId="77777777" w:rsidR="00FD0545" w:rsidRPr="00E13CE5" w:rsidRDefault="00FD0545" w:rsidP="00FD0545">
      <w:pPr>
        <w:tabs>
          <w:tab w:val="left" w:pos="9781"/>
        </w:tabs>
        <w:ind w:right="-144"/>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7169"/>
      </w:tblGrid>
      <w:tr w:rsidR="00FD0545" w:rsidRPr="00E13CE5" w14:paraId="437F14A4" w14:textId="77777777" w:rsidTr="00026782">
        <w:tc>
          <w:tcPr>
            <w:tcW w:w="3287" w:type="dxa"/>
          </w:tcPr>
          <w:p w14:paraId="738EB1BE" w14:textId="77777777" w:rsidR="00FD0545" w:rsidRPr="00E13CE5" w:rsidRDefault="00FD0545" w:rsidP="00026782">
            <w:pPr>
              <w:tabs>
                <w:tab w:val="left" w:pos="9781"/>
              </w:tabs>
              <w:ind w:right="-144"/>
              <w:jc w:val="both"/>
              <w:rPr>
                <w:b/>
                <w:sz w:val="22"/>
                <w:szCs w:val="22"/>
              </w:rPr>
            </w:pPr>
            <w:r w:rsidRPr="00E13CE5">
              <w:rPr>
                <w:b/>
                <w:sz w:val="22"/>
                <w:szCs w:val="22"/>
              </w:rPr>
              <w:t>Munkáltató:</w:t>
            </w:r>
          </w:p>
        </w:tc>
        <w:tc>
          <w:tcPr>
            <w:tcW w:w="7169" w:type="dxa"/>
          </w:tcPr>
          <w:p w14:paraId="4445C40E" w14:textId="77777777" w:rsidR="00FD0545" w:rsidRPr="00E13CE5" w:rsidRDefault="00FD0545" w:rsidP="00026782">
            <w:pPr>
              <w:tabs>
                <w:tab w:val="left" w:pos="9781"/>
              </w:tabs>
              <w:ind w:right="-144"/>
              <w:jc w:val="both"/>
              <w:rPr>
                <w:sz w:val="22"/>
                <w:szCs w:val="22"/>
              </w:rPr>
            </w:pPr>
            <w:r w:rsidRPr="00E13CE5">
              <w:rPr>
                <w:sz w:val="22"/>
                <w:szCs w:val="22"/>
              </w:rPr>
              <w:t>Pécsi Tudományegyetem</w:t>
            </w:r>
          </w:p>
        </w:tc>
      </w:tr>
      <w:tr w:rsidR="00FD0545" w:rsidRPr="00E13CE5" w14:paraId="0AACB4D5" w14:textId="77777777" w:rsidTr="00026782">
        <w:tc>
          <w:tcPr>
            <w:tcW w:w="3287" w:type="dxa"/>
          </w:tcPr>
          <w:p w14:paraId="7D47C352" w14:textId="77777777" w:rsidR="00FD0545" w:rsidRPr="00E13CE5" w:rsidRDefault="00FD0545" w:rsidP="00026782">
            <w:pPr>
              <w:tabs>
                <w:tab w:val="left" w:pos="9781"/>
              </w:tabs>
              <w:ind w:right="-144"/>
              <w:jc w:val="both"/>
              <w:rPr>
                <w:b/>
                <w:sz w:val="22"/>
                <w:szCs w:val="22"/>
              </w:rPr>
            </w:pPr>
            <w:r w:rsidRPr="00E13CE5">
              <w:rPr>
                <w:b/>
                <w:sz w:val="22"/>
                <w:szCs w:val="22"/>
              </w:rPr>
              <w:t>Adóazonosító száma</w:t>
            </w:r>
          </w:p>
        </w:tc>
        <w:tc>
          <w:tcPr>
            <w:tcW w:w="7169" w:type="dxa"/>
          </w:tcPr>
          <w:p w14:paraId="451D28A2" w14:textId="77777777" w:rsidR="00FD0545" w:rsidRPr="00E13CE5" w:rsidRDefault="00FD0545" w:rsidP="00026782">
            <w:pPr>
              <w:tabs>
                <w:tab w:val="left" w:pos="9781"/>
              </w:tabs>
              <w:ind w:right="-144"/>
              <w:jc w:val="both"/>
              <w:rPr>
                <w:sz w:val="22"/>
                <w:szCs w:val="22"/>
              </w:rPr>
            </w:pPr>
            <w:r w:rsidRPr="00E13CE5">
              <w:rPr>
                <w:sz w:val="22"/>
                <w:szCs w:val="22"/>
              </w:rPr>
              <w:t>15329798202</w:t>
            </w:r>
          </w:p>
        </w:tc>
      </w:tr>
      <w:tr w:rsidR="00FD0545" w:rsidRPr="00E13CE5" w14:paraId="5B848FE7" w14:textId="77777777" w:rsidTr="00026782">
        <w:tc>
          <w:tcPr>
            <w:tcW w:w="3287" w:type="dxa"/>
          </w:tcPr>
          <w:p w14:paraId="1EA20B06" w14:textId="77777777" w:rsidR="00FD0545" w:rsidRPr="00E13CE5" w:rsidRDefault="00FD0545" w:rsidP="00026782">
            <w:pPr>
              <w:tabs>
                <w:tab w:val="left" w:pos="9781"/>
              </w:tabs>
              <w:ind w:right="-144"/>
              <w:jc w:val="both"/>
              <w:rPr>
                <w:b/>
                <w:sz w:val="22"/>
                <w:szCs w:val="22"/>
              </w:rPr>
            </w:pPr>
            <w:r w:rsidRPr="00E13CE5">
              <w:rPr>
                <w:b/>
                <w:sz w:val="22"/>
                <w:szCs w:val="22"/>
              </w:rPr>
              <w:t>Intézményi azonosítója</w:t>
            </w:r>
          </w:p>
        </w:tc>
        <w:tc>
          <w:tcPr>
            <w:tcW w:w="7169" w:type="dxa"/>
          </w:tcPr>
          <w:p w14:paraId="498DAF22" w14:textId="77777777" w:rsidR="00FD0545" w:rsidRPr="00E13CE5" w:rsidRDefault="00FD0545" w:rsidP="00026782">
            <w:pPr>
              <w:tabs>
                <w:tab w:val="left" w:pos="9781"/>
              </w:tabs>
              <w:ind w:right="-144"/>
              <w:jc w:val="both"/>
              <w:rPr>
                <w:sz w:val="22"/>
                <w:szCs w:val="22"/>
              </w:rPr>
            </w:pPr>
            <w:r w:rsidRPr="00E13CE5">
              <w:rPr>
                <w:sz w:val="22"/>
                <w:szCs w:val="22"/>
              </w:rPr>
              <w:t>FI 58544</w:t>
            </w:r>
          </w:p>
        </w:tc>
      </w:tr>
      <w:tr w:rsidR="00FD0545" w:rsidRPr="00E13CE5" w14:paraId="12D5EA8E" w14:textId="77777777" w:rsidTr="00026782">
        <w:tc>
          <w:tcPr>
            <w:tcW w:w="3287" w:type="dxa"/>
          </w:tcPr>
          <w:p w14:paraId="079187FC" w14:textId="77777777" w:rsidR="00FD0545" w:rsidRPr="00E13CE5" w:rsidRDefault="00FD0545" w:rsidP="00026782">
            <w:pPr>
              <w:tabs>
                <w:tab w:val="left" w:pos="9781"/>
              </w:tabs>
              <w:ind w:right="-144"/>
              <w:jc w:val="both"/>
              <w:rPr>
                <w:b/>
                <w:sz w:val="22"/>
                <w:szCs w:val="22"/>
              </w:rPr>
            </w:pPr>
            <w:r w:rsidRPr="00E13CE5">
              <w:rPr>
                <w:b/>
                <w:sz w:val="22"/>
                <w:szCs w:val="22"/>
              </w:rPr>
              <w:t>Szervezeti egység:</w:t>
            </w:r>
          </w:p>
        </w:tc>
        <w:tc>
          <w:tcPr>
            <w:tcW w:w="7169" w:type="dxa"/>
          </w:tcPr>
          <w:p w14:paraId="751A73B5" w14:textId="77777777" w:rsidR="00FD0545" w:rsidRPr="00E13CE5" w:rsidRDefault="00FD0545" w:rsidP="00026782">
            <w:pPr>
              <w:tabs>
                <w:tab w:val="left" w:pos="9781"/>
              </w:tabs>
              <w:ind w:right="-144"/>
              <w:jc w:val="both"/>
              <w:rPr>
                <w:sz w:val="22"/>
                <w:szCs w:val="22"/>
              </w:rPr>
            </w:pPr>
          </w:p>
        </w:tc>
      </w:tr>
      <w:tr w:rsidR="00FD0545" w:rsidRPr="00E13CE5" w14:paraId="354E9A02" w14:textId="77777777" w:rsidTr="00026782">
        <w:tc>
          <w:tcPr>
            <w:tcW w:w="3287" w:type="dxa"/>
          </w:tcPr>
          <w:p w14:paraId="3394108B" w14:textId="77777777" w:rsidR="00FD0545" w:rsidRPr="00E13CE5" w:rsidRDefault="00FD0545" w:rsidP="00026782">
            <w:pPr>
              <w:tabs>
                <w:tab w:val="left" w:pos="9781"/>
              </w:tabs>
              <w:ind w:right="-144"/>
              <w:jc w:val="both"/>
              <w:rPr>
                <w:b/>
                <w:sz w:val="22"/>
                <w:szCs w:val="22"/>
              </w:rPr>
            </w:pPr>
            <w:r w:rsidRPr="00E13CE5">
              <w:rPr>
                <w:b/>
                <w:sz w:val="22"/>
                <w:szCs w:val="22"/>
              </w:rPr>
              <w:t>Címe:</w:t>
            </w:r>
          </w:p>
        </w:tc>
        <w:tc>
          <w:tcPr>
            <w:tcW w:w="7169" w:type="dxa"/>
          </w:tcPr>
          <w:p w14:paraId="524B7EDC" w14:textId="77777777" w:rsidR="00FD0545" w:rsidRPr="00E13CE5" w:rsidRDefault="00FD0545" w:rsidP="00026782">
            <w:pPr>
              <w:tabs>
                <w:tab w:val="left" w:pos="9781"/>
              </w:tabs>
              <w:ind w:right="-144"/>
              <w:jc w:val="both"/>
              <w:rPr>
                <w:sz w:val="22"/>
                <w:szCs w:val="22"/>
              </w:rPr>
            </w:pPr>
          </w:p>
        </w:tc>
      </w:tr>
    </w:tbl>
    <w:p w14:paraId="237721A2" w14:textId="77777777" w:rsidR="00FD0545" w:rsidRPr="00E13CE5" w:rsidRDefault="00FD0545" w:rsidP="00FD0545">
      <w:pPr>
        <w:tabs>
          <w:tab w:val="left" w:pos="9781"/>
        </w:tabs>
        <w:ind w:right="-144"/>
        <w:jc w:val="both"/>
        <w:rPr>
          <w:sz w:val="22"/>
          <w:szCs w:val="22"/>
        </w:rPr>
      </w:pPr>
    </w:p>
    <w:p w14:paraId="2C5214B3" w14:textId="77777777" w:rsidR="00FD0545" w:rsidRPr="00E13CE5" w:rsidRDefault="00FD0545" w:rsidP="00FD0545">
      <w:pPr>
        <w:tabs>
          <w:tab w:val="left" w:pos="9781"/>
        </w:tabs>
        <w:ind w:right="-144"/>
        <w:jc w:val="both"/>
        <w:rPr>
          <w:sz w:val="22"/>
          <w:szCs w:val="22"/>
        </w:rPr>
      </w:pPr>
      <w:r w:rsidRPr="00E13CE5">
        <w:rPr>
          <w:sz w:val="22"/>
          <w:szCs w:val="22"/>
        </w:rPr>
        <w:t>mint Egyetem között alulírott helyen és napon az alább meghatározott feltételek szerint.</w:t>
      </w:r>
    </w:p>
    <w:p w14:paraId="63F0F07D" w14:textId="77777777" w:rsidR="00FD0545" w:rsidRPr="00E13CE5" w:rsidRDefault="00FD0545" w:rsidP="00FD0545">
      <w:pPr>
        <w:tabs>
          <w:tab w:val="left" w:pos="9781"/>
        </w:tabs>
        <w:ind w:right="-144"/>
        <w:jc w:val="both"/>
        <w:rPr>
          <w:sz w:val="22"/>
          <w:szCs w:val="22"/>
        </w:rPr>
      </w:pPr>
    </w:p>
    <w:p w14:paraId="2D46E6F8" w14:textId="77777777" w:rsidR="00FD0545" w:rsidRPr="00E13CE5" w:rsidRDefault="00FD0545" w:rsidP="00FD0545">
      <w:pPr>
        <w:tabs>
          <w:tab w:val="left" w:pos="9781"/>
        </w:tabs>
        <w:ind w:right="-144"/>
        <w:jc w:val="both"/>
        <w:rPr>
          <w:sz w:val="22"/>
          <w:szCs w:val="22"/>
        </w:rPr>
      </w:pPr>
      <w:r w:rsidRPr="00E13CE5">
        <w:rPr>
          <w:sz w:val="22"/>
          <w:szCs w:val="22"/>
        </w:rPr>
        <w:t>A Nemzeti Felsőoktatásról szóló 2011. évi CCIV. törvény, valamint a Pécsi Tudományegyetem foglalkoztatási követelményrendszere alapján az Egyetem és a Professor Emeritus a Szenátus által adományozott Professor Emeritus címmel járó jogokat, juttatásokat és feladatokat az alábbiak szerint határozza meg.</w:t>
      </w:r>
    </w:p>
    <w:p w14:paraId="14177FBA" w14:textId="77777777" w:rsidR="00FD0545" w:rsidRPr="00E13CE5" w:rsidRDefault="00FD0545" w:rsidP="00FD0545">
      <w:pPr>
        <w:tabs>
          <w:tab w:val="left" w:pos="9781"/>
        </w:tabs>
        <w:ind w:right="-144"/>
        <w:jc w:val="both"/>
        <w:rPr>
          <w:sz w:val="22"/>
          <w:szCs w:val="22"/>
        </w:rPr>
      </w:pPr>
    </w:p>
    <w:p w14:paraId="648BCEEC" w14:textId="77777777" w:rsidR="00FD0545" w:rsidRPr="00E13CE5" w:rsidRDefault="00FD0545" w:rsidP="00FD0545">
      <w:pPr>
        <w:tabs>
          <w:tab w:val="left" w:pos="9781"/>
        </w:tabs>
        <w:ind w:right="-144"/>
        <w:jc w:val="center"/>
        <w:rPr>
          <w:b/>
          <w:sz w:val="22"/>
          <w:szCs w:val="22"/>
        </w:rPr>
      </w:pPr>
      <w:r w:rsidRPr="00E13CE5">
        <w:rPr>
          <w:b/>
          <w:sz w:val="22"/>
          <w:szCs w:val="22"/>
        </w:rPr>
        <w:t>A Professor Emeritus jogai</w:t>
      </w:r>
    </w:p>
    <w:p w14:paraId="628E1118" w14:textId="77777777" w:rsidR="00FD0545" w:rsidRPr="00E13CE5" w:rsidRDefault="00FD0545" w:rsidP="00FD0545">
      <w:pPr>
        <w:tabs>
          <w:tab w:val="left" w:pos="9781"/>
        </w:tabs>
        <w:ind w:right="-144"/>
        <w:jc w:val="center"/>
        <w:rPr>
          <w:b/>
          <w:sz w:val="22"/>
          <w:szCs w:val="22"/>
        </w:rPr>
      </w:pPr>
    </w:p>
    <w:p w14:paraId="7F32ABFE" w14:textId="77777777" w:rsidR="00FD0545" w:rsidRPr="00E13CE5" w:rsidRDefault="00FD0545" w:rsidP="00FD0545">
      <w:pPr>
        <w:tabs>
          <w:tab w:val="left" w:pos="9781"/>
        </w:tabs>
        <w:ind w:right="-144"/>
        <w:jc w:val="both"/>
        <w:rPr>
          <w:sz w:val="22"/>
          <w:szCs w:val="22"/>
        </w:rPr>
      </w:pPr>
      <w:smartTag w:uri="urn:schemas-microsoft-com:office:smarttags" w:element="metricconverter">
        <w:smartTagPr>
          <w:attr w:name="ProductID" w:val="1. a"/>
        </w:smartTagPr>
        <w:r w:rsidRPr="00E13CE5">
          <w:rPr>
            <w:sz w:val="22"/>
            <w:szCs w:val="22"/>
          </w:rPr>
          <w:t>1. A</w:t>
        </w:r>
      </w:smartTag>
      <w:r w:rsidRPr="00E13CE5">
        <w:rPr>
          <w:sz w:val="22"/>
          <w:szCs w:val="22"/>
        </w:rPr>
        <w:t xml:space="preserve"> Professor Emeritus jogosult:</w:t>
      </w:r>
    </w:p>
    <w:p w14:paraId="55FD2D27" w14:textId="77777777" w:rsidR="00FD0545" w:rsidRPr="00E13CE5" w:rsidRDefault="00FD0545" w:rsidP="00FD0545">
      <w:pPr>
        <w:tabs>
          <w:tab w:val="left" w:pos="9781"/>
        </w:tabs>
        <w:ind w:left="540" w:right="-144"/>
        <w:jc w:val="both"/>
        <w:rPr>
          <w:sz w:val="22"/>
          <w:szCs w:val="22"/>
        </w:rPr>
      </w:pPr>
    </w:p>
    <w:p w14:paraId="6CBA1100" w14:textId="77777777" w:rsidR="00FD0545" w:rsidRPr="00E13CE5" w:rsidRDefault="00FD0545" w:rsidP="00FD0545">
      <w:pPr>
        <w:tabs>
          <w:tab w:val="left" w:pos="9781"/>
        </w:tabs>
        <w:ind w:left="540" w:right="-144"/>
        <w:jc w:val="both"/>
        <w:rPr>
          <w:sz w:val="22"/>
          <w:szCs w:val="22"/>
        </w:rPr>
      </w:pPr>
      <w:r w:rsidRPr="00E13CE5">
        <w:rPr>
          <w:sz w:val="22"/>
          <w:szCs w:val="22"/>
        </w:rPr>
        <w:t>a) a Professor Emeritus cím határozatlan ideig történő viselésére,</w:t>
      </w:r>
    </w:p>
    <w:p w14:paraId="392B130E" w14:textId="77777777" w:rsidR="00FD0545" w:rsidRPr="00E13CE5" w:rsidRDefault="00FD0545" w:rsidP="00FD0545">
      <w:pPr>
        <w:tabs>
          <w:tab w:val="left" w:pos="9781"/>
        </w:tabs>
        <w:ind w:left="540" w:right="-144"/>
        <w:jc w:val="both"/>
        <w:rPr>
          <w:sz w:val="22"/>
          <w:szCs w:val="22"/>
        </w:rPr>
      </w:pPr>
      <w:r w:rsidRPr="00E13CE5">
        <w:rPr>
          <w:sz w:val="22"/>
          <w:szCs w:val="22"/>
        </w:rPr>
        <w:t>b) a kar szervezeti és működési szabályzatában meghatározottak szerint kari bizottsági tagságra,</w:t>
      </w:r>
    </w:p>
    <w:p w14:paraId="4486C2D9" w14:textId="77777777" w:rsidR="00FD0545" w:rsidRPr="00E13CE5" w:rsidRDefault="00FD0545" w:rsidP="00FD0545">
      <w:pPr>
        <w:tabs>
          <w:tab w:val="left" w:pos="9781"/>
        </w:tabs>
        <w:ind w:left="540" w:right="-144"/>
        <w:jc w:val="both"/>
        <w:rPr>
          <w:sz w:val="22"/>
          <w:szCs w:val="22"/>
        </w:rPr>
      </w:pPr>
      <w:r w:rsidRPr="00E13CE5">
        <w:rPr>
          <w:sz w:val="22"/>
          <w:szCs w:val="22"/>
        </w:rPr>
        <w:t>c) az egyetemi bizottsági tagságra, az Egyetem, illetve a kar szervezeti és működési szabályzatában meghatározottak szerint,</w:t>
      </w:r>
    </w:p>
    <w:p w14:paraId="00EDD29B" w14:textId="77777777" w:rsidR="00FD0545" w:rsidRPr="00E13CE5" w:rsidRDefault="00FD0545" w:rsidP="00FD0545">
      <w:pPr>
        <w:tabs>
          <w:tab w:val="left" w:pos="9781"/>
        </w:tabs>
        <w:ind w:left="540" w:right="-144"/>
        <w:jc w:val="both"/>
        <w:rPr>
          <w:sz w:val="22"/>
          <w:szCs w:val="22"/>
        </w:rPr>
      </w:pPr>
      <w:r w:rsidRPr="00E13CE5">
        <w:rPr>
          <w:sz w:val="22"/>
          <w:szCs w:val="22"/>
        </w:rPr>
        <w:t>d) az egyetemi és a kari infrastruktúra használatára,</w:t>
      </w:r>
    </w:p>
    <w:p w14:paraId="3EB53AA2" w14:textId="77777777" w:rsidR="00FD0545" w:rsidRPr="00E13CE5" w:rsidRDefault="00FD0545" w:rsidP="00FD0545">
      <w:pPr>
        <w:tabs>
          <w:tab w:val="left" w:pos="9781"/>
        </w:tabs>
        <w:ind w:left="540" w:right="-144"/>
        <w:jc w:val="both"/>
        <w:rPr>
          <w:sz w:val="22"/>
          <w:szCs w:val="22"/>
        </w:rPr>
      </w:pPr>
      <w:r w:rsidRPr="00E13CE5">
        <w:rPr>
          <w:sz w:val="22"/>
          <w:szCs w:val="22"/>
        </w:rPr>
        <w:t>e) az egyetemi és kari oktatási, tudományos, valamint közéleti tevékenységben részt venni.</w:t>
      </w:r>
    </w:p>
    <w:p w14:paraId="499726C7" w14:textId="77777777" w:rsidR="00FD0545" w:rsidRPr="00E13CE5" w:rsidRDefault="00FD0545" w:rsidP="00FD0545">
      <w:pPr>
        <w:tabs>
          <w:tab w:val="left" w:pos="9781"/>
        </w:tabs>
        <w:ind w:left="540" w:right="-144"/>
        <w:jc w:val="both"/>
        <w:rPr>
          <w:sz w:val="22"/>
          <w:szCs w:val="22"/>
        </w:rPr>
      </w:pPr>
      <w:r w:rsidRPr="00E13CE5">
        <w:rPr>
          <w:sz w:val="22"/>
          <w:szCs w:val="22"/>
        </w:rPr>
        <w:t>f) a karon folyó oktatási tevékenységben önkéntesként az alábbiak szerint részt venni:</w:t>
      </w:r>
    </w:p>
    <w:p w14:paraId="46B78200" w14:textId="77777777" w:rsidR="00FD0545" w:rsidRPr="00E13CE5" w:rsidRDefault="00FD0545" w:rsidP="00FD0545">
      <w:pPr>
        <w:tabs>
          <w:tab w:val="left" w:pos="9781"/>
        </w:tabs>
        <w:ind w:right="-14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28"/>
        <w:gridCol w:w="3009"/>
      </w:tblGrid>
      <w:tr w:rsidR="00FD0545" w:rsidRPr="00E13CE5" w14:paraId="69F66FA8" w14:textId="77777777" w:rsidTr="00026782">
        <w:tc>
          <w:tcPr>
            <w:tcW w:w="3070" w:type="dxa"/>
          </w:tcPr>
          <w:p w14:paraId="09030E73" w14:textId="77777777" w:rsidR="00FD0545" w:rsidRPr="00E13CE5" w:rsidRDefault="00FD0545" w:rsidP="00026782">
            <w:pPr>
              <w:tabs>
                <w:tab w:val="left" w:pos="9781"/>
              </w:tabs>
              <w:ind w:right="-144"/>
              <w:jc w:val="both"/>
              <w:rPr>
                <w:sz w:val="22"/>
                <w:szCs w:val="22"/>
              </w:rPr>
            </w:pPr>
            <w:r w:rsidRPr="00E13CE5">
              <w:rPr>
                <w:sz w:val="22"/>
                <w:szCs w:val="22"/>
              </w:rPr>
              <w:t>Képzés megnevezése</w:t>
            </w:r>
            <w:r w:rsidRPr="00E13CE5">
              <w:rPr>
                <w:sz w:val="22"/>
                <w:szCs w:val="22"/>
                <w:vertAlign w:val="superscript"/>
              </w:rPr>
              <w:footnoteReference w:id="500"/>
            </w:r>
          </w:p>
          <w:p w14:paraId="554DFA16" w14:textId="77777777" w:rsidR="00FD0545" w:rsidRPr="00E13CE5" w:rsidRDefault="00FD0545" w:rsidP="00026782">
            <w:pPr>
              <w:tabs>
                <w:tab w:val="left" w:pos="9781"/>
              </w:tabs>
              <w:ind w:right="-144"/>
              <w:jc w:val="both"/>
              <w:rPr>
                <w:sz w:val="22"/>
                <w:szCs w:val="22"/>
              </w:rPr>
            </w:pPr>
          </w:p>
        </w:tc>
        <w:tc>
          <w:tcPr>
            <w:tcW w:w="3071" w:type="dxa"/>
          </w:tcPr>
          <w:p w14:paraId="2B80138E" w14:textId="77777777" w:rsidR="00FD0545" w:rsidRPr="00E13CE5" w:rsidRDefault="00FD0545" w:rsidP="00026782">
            <w:pPr>
              <w:tabs>
                <w:tab w:val="left" w:pos="9781"/>
              </w:tabs>
              <w:ind w:right="-144"/>
              <w:jc w:val="both"/>
              <w:rPr>
                <w:sz w:val="22"/>
                <w:szCs w:val="22"/>
              </w:rPr>
            </w:pPr>
            <w:r w:rsidRPr="00E13CE5">
              <w:rPr>
                <w:sz w:val="22"/>
                <w:szCs w:val="22"/>
              </w:rPr>
              <w:t>Tantárgy/kurzus megnevezése</w:t>
            </w:r>
          </w:p>
        </w:tc>
        <w:tc>
          <w:tcPr>
            <w:tcW w:w="3071" w:type="dxa"/>
          </w:tcPr>
          <w:p w14:paraId="6B7B0833" w14:textId="77777777" w:rsidR="00FD0545" w:rsidRPr="00E13CE5" w:rsidRDefault="00FD0545" w:rsidP="00026782">
            <w:pPr>
              <w:tabs>
                <w:tab w:val="left" w:pos="9781"/>
              </w:tabs>
              <w:ind w:right="-144"/>
              <w:jc w:val="both"/>
              <w:rPr>
                <w:sz w:val="22"/>
                <w:szCs w:val="22"/>
              </w:rPr>
            </w:pPr>
            <w:r w:rsidRPr="00E13CE5">
              <w:rPr>
                <w:sz w:val="22"/>
                <w:szCs w:val="22"/>
              </w:rPr>
              <w:t>Tanítási idő (heti óraszám)</w:t>
            </w:r>
          </w:p>
        </w:tc>
      </w:tr>
      <w:tr w:rsidR="00FD0545" w:rsidRPr="00E13CE5" w14:paraId="49A25566" w14:textId="77777777" w:rsidTr="00026782">
        <w:tc>
          <w:tcPr>
            <w:tcW w:w="3070" w:type="dxa"/>
          </w:tcPr>
          <w:p w14:paraId="2E2665DC" w14:textId="77777777" w:rsidR="00FD0545" w:rsidRPr="00E13CE5" w:rsidRDefault="00FD0545" w:rsidP="00026782">
            <w:pPr>
              <w:tabs>
                <w:tab w:val="left" w:pos="9781"/>
              </w:tabs>
              <w:ind w:right="-144"/>
              <w:jc w:val="both"/>
              <w:rPr>
                <w:sz w:val="22"/>
                <w:szCs w:val="22"/>
              </w:rPr>
            </w:pPr>
          </w:p>
        </w:tc>
        <w:tc>
          <w:tcPr>
            <w:tcW w:w="3071" w:type="dxa"/>
          </w:tcPr>
          <w:p w14:paraId="121E7CFF" w14:textId="77777777" w:rsidR="00FD0545" w:rsidRPr="00E13CE5" w:rsidRDefault="00FD0545" w:rsidP="00026782">
            <w:pPr>
              <w:tabs>
                <w:tab w:val="left" w:pos="9781"/>
              </w:tabs>
              <w:ind w:right="-144"/>
              <w:jc w:val="both"/>
              <w:rPr>
                <w:sz w:val="22"/>
                <w:szCs w:val="22"/>
              </w:rPr>
            </w:pPr>
          </w:p>
        </w:tc>
        <w:tc>
          <w:tcPr>
            <w:tcW w:w="3071" w:type="dxa"/>
          </w:tcPr>
          <w:p w14:paraId="36ADEE78" w14:textId="77777777" w:rsidR="00FD0545" w:rsidRPr="00E13CE5" w:rsidRDefault="00FD0545" w:rsidP="00026782">
            <w:pPr>
              <w:tabs>
                <w:tab w:val="left" w:pos="9781"/>
              </w:tabs>
              <w:ind w:right="-144"/>
              <w:jc w:val="both"/>
              <w:rPr>
                <w:sz w:val="22"/>
                <w:szCs w:val="22"/>
              </w:rPr>
            </w:pPr>
          </w:p>
        </w:tc>
      </w:tr>
      <w:tr w:rsidR="00FD0545" w:rsidRPr="00E13CE5" w14:paraId="09233124" w14:textId="77777777" w:rsidTr="00026782">
        <w:tc>
          <w:tcPr>
            <w:tcW w:w="3070" w:type="dxa"/>
          </w:tcPr>
          <w:p w14:paraId="73B301CB" w14:textId="77777777" w:rsidR="00FD0545" w:rsidRPr="00E13CE5" w:rsidRDefault="00FD0545" w:rsidP="00026782">
            <w:pPr>
              <w:tabs>
                <w:tab w:val="left" w:pos="9781"/>
              </w:tabs>
              <w:ind w:right="-144"/>
              <w:jc w:val="both"/>
              <w:rPr>
                <w:sz w:val="22"/>
                <w:szCs w:val="22"/>
              </w:rPr>
            </w:pPr>
          </w:p>
        </w:tc>
        <w:tc>
          <w:tcPr>
            <w:tcW w:w="3071" w:type="dxa"/>
          </w:tcPr>
          <w:p w14:paraId="3558BD7C" w14:textId="77777777" w:rsidR="00FD0545" w:rsidRPr="00E13CE5" w:rsidRDefault="00FD0545" w:rsidP="00026782">
            <w:pPr>
              <w:tabs>
                <w:tab w:val="left" w:pos="9781"/>
              </w:tabs>
              <w:ind w:right="-144"/>
              <w:jc w:val="both"/>
              <w:rPr>
                <w:sz w:val="22"/>
                <w:szCs w:val="22"/>
              </w:rPr>
            </w:pPr>
          </w:p>
        </w:tc>
        <w:tc>
          <w:tcPr>
            <w:tcW w:w="3071" w:type="dxa"/>
          </w:tcPr>
          <w:p w14:paraId="286A17E3" w14:textId="77777777" w:rsidR="00FD0545" w:rsidRPr="00E13CE5" w:rsidRDefault="00FD0545" w:rsidP="00026782">
            <w:pPr>
              <w:tabs>
                <w:tab w:val="left" w:pos="9781"/>
              </w:tabs>
              <w:ind w:right="-144"/>
              <w:jc w:val="both"/>
              <w:rPr>
                <w:sz w:val="22"/>
                <w:szCs w:val="22"/>
              </w:rPr>
            </w:pPr>
          </w:p>
        </w:tc>
      </w:tr>
      <w:tr w:rsidR="00FD0545" w:rsidRPr="00E13CE5" w14:paraId="1068C629" w14:textId="77777777" w:rsidTr="00026782">
        <w:tc>
          <w:tcPr>
            <w:tcW w:w="3070" w:type="dxa"/>
          </w:tcPr>
          <w:p w14:paraId="2620E51B" w14:textId="77777777" w:rsidR="00FD0545" w:rsidRPr="00E13CE5" w:rsidRDefault="00FD0545" w:rsidP="00026782">
            <w:pPr>
              <w:tabs>
                <w:tab w:val="left" w:pos="9781"/>
              </w:tabs>
              <w:ind w:right="-144"/>
              <w:jc w:val="both"/>
              <w:rPr>
                <w:sz w:val="22"/>
                <w:szCs w:val="22"/>
              </w:rPr>
            </w:pPr>
          </w:p>
        </w:tc>
        <w:tc>
          <w:tcPr>
            <w:tcW w:w="3071" w:type="dxa"/>
          </w:tcPr>
          <w:p w14:paraId="57020B08" w14:textId="77777777" w:rsidR="00FD0545" w:rsidRPr="00E13CE5" w:rsidRDefault="00FD0545" w:rsidP="00026782">
            <w:pPr>
              <w:tabs>
                <w:tab w:val="left" w:pos="9781"/>
              </w:tabs>
              <w:ind w:right="-144"/>
              <w:jc w:val="both"/>
              <w:rPr>
                <w:sz w:val="22"/>
                <w:szCs w:val="22"/>
              </w:rPr>
            </w:pPr>
          </w:p>
        </w:tc>
        <w:tc>
          <w:tcPr>
            <w:tcW w:w="3071" w:type="dxa"/>
          </w:tcPr>
          <w:p w14:paraId="046E2407" w14:textId="77777777" w:rsidR="00FD0545" w:rsidRPr="00E13CE5" w:rsidRDefault="00FD0545" w:rsidP="00026782">
            <w:pPr>
              <w:tabs>
                <w:tab w:val="left" w:pos="9781"/>
              </w:tabs>
              <w:ind w:right="-144"/>
              <w:jc w:val="both"/>
              <w:rPr>
                <w:sz w:val="22"/>
                <w:szCs w:val="22"/>
              </w:rPr>
            </w:pPr>
          </w:p>
        </w:tc>
      </w:tr>
    </w:tbl>
    <w:p w14:paraId="1E86CD6A" w14:textId="77777777" w:rsidR="00FD0545" w:rsidRPr="00E13CE5" w:rsidRDefault="00FD0545" w:rsidP="00FD0545">
      <w:pPr>
        <w:tabs>
          <w:tab w:val="left" w:pos="9781"/>
        </w:tabs>
        <w:ind w:right="-144"/>
        <w:jc w:val="both"/>
        <w:rPr>
          <w:sz w:val="22"/>
          <w:szCs w:val="22"/>
        </w:rPr>
      </w:pPr>
    </w:p>
    <w:p w14:paraId="34833007" w14:textId="77777777" w:rsidR="00FD0545" w:rsidRPr="00E13CE5" w:rsidRDefault="00FD0545" w:rsidP="00FD0545">
      <w:pPr>
        <w:tabs>
          <w:tab w:val="left" w:pos="9781"/>
        </w:tabs>
        <w:ind w:right="-144"/>
        <w:jc w:val="both"/>
        <w:rPr>
          <w:sz w:val="22"/>
          <w:szCs w:val="22"/>
        </w:rPr>
      </w:pPr>
      <w:r w:rsidRPr="00E13CE5">
        <w:rPr>
          <w:sz w:val="22"/>
          <w:szCs w:val="22"/>
        </w:rPr>
        <w:t>2. A Professor Emeritus a karon folyó tudományos (kutatási) tevékenységben legjobb tudása szerint részt vesz, a karon foglalkoztatott kutatók munkáját segíti, az Egyetem és a Kar tudományos életében jogosult részt venni.</w:t>
      </w:r>
    </w:p>
    <w:p w14:paraId="27D65230" w14:textId="77777777" w:rsidR="00FD0545" w:rsidRPr="00E13CE5" w:rsidRDefault="00FD0545" w:rsidP="00FD0545">
      <w:pPr>
        <w:tabs>
          <w:tab w:val="left" w:pos="9781"/>
        </w:tabs>
        <w:ind w:right="-144"/>
        <w:rPr>
          <w:sz w:val="22"/>
          <w:szCs w:val="22"/>
        </w:rPr>
      </w:pPr>
    </w:p>
    <w:p w14:paraId="641BC684" w14:textId="77777777" w:rsidR="00FD0545" w:rsidRPr="00E13CE5" w:rsidRDefault="00FD0545" w:rsidP="00FD0545">
      <w:pPr>
        <w:tabs>
          <w:tab w:val="left" w:pos="9781"/>
        </w:tabs>
        <w:ind w:right="-144"/>
        <w:jc w:val="center"/>
        <w:rPr>
          <w:sz w:val="22"/>
          <w:szCs w:val="22"/>
        </w:rPr>
      </w:pPr>
    </w:p>
    <w:p w14:paraId="189B8FF2" w14:textId="77777777" w:rsidR="00FD0545" w:rsidRPr="00E13CE5" w:rsidRDefault="00FD0545" w:rsidP="00FD0545">
      <w:pPr>
        <w:tabs>
          <w:tab w:val="left" w:pos="9781"/>
        </w:tabs>
        <w:ind w:right="-144"/>
        <w:jc w:val="center"/>
        <w:rPr>
          <w:sz w:val="22"/>
          <w:szCs w:val="22"/>
        </w:rPr>
      </w:pPr>
    </w:p>
    <w:p w14:paraId="22EDF029" w14:textId="77777777" w:rsidR="00FD0545" w:rsidRPr="00E13CE5" w:rsidRDefault="00FD0545" w:rsidP="00FD0545">
      <w:pPr>
        <w:tabs>
          <w:tab w:val="left" w:pos="9781"/>
        </w:tabs>
        <w:ind w:right="-144"/>
        <w:jc w:val="center"/>
        <w:rPr>
          <w:b/>
          <w:sz w:val="22"/>
          <w:szCs w:val="22"/>
        </w:rPr>
      </w:pPr>
      <w:r w:rsidRPr="00E13CE5">
        <w:rPr>
          <w:b/>
          <w:sz w:val="22"/>
          <w:szCs w:val="22"/>
        </w:rPr>
        <w:t>A Professor Emeritust megillető juttatások</w:t>
      </w:r>
    </w:p>
    <w:p w14:paraId="1D23260B" w14:textId="77777777" w:rsidR="00FD0545" w:rsidRPr="00E13CE5" w:rsidRDefault="00FD0545" w:rsidP="00FD0545">
      <w:pPr>
        <w:tabs>
          <w:tab w:val="left" w:pos="9781"/>
        </w:tabs>
        <w:ind w:right="-144"/>
        <w:rPr>
          <w:sz w:val="22"/>
          <w:szCs w:val="22"/>
        </w:rPr>
      </w:pPr>
    </w:p>
    <w:p w14:paraId="687742F8" w14:textId="77777777" w:rsidR="00FD0545" w:rsidRPr="00E13CE5" w:rsidRDefault="00FD0545" w:rsidP="00FD0545">
      <w:pPr>
        <w:tabs>
          <w:tab w:val="left" w:pos="9781"/>
        </w:tabs>
        <w:ind w:right="-144"/>
        <w:jc w:val="both"/>
        <w:rPr>
          <w:sz w:val="22"/>
          <w:szCs w:val="22"/>
        </w:rPr>
      </w:pPr>
      <w:r w:rsidRPr="00E13CE5">
        <w:rPr>
          <w:sz w:val="22"/>
          <w:szCs w:val="22"/>
        </w:rPr>
        <w:t>3.1. A Professor Emeritust külön díjazás nem illeti meg.</w:t>
      </w:r>
    </w:p>
    <w:p w14:paraId="42510F2B" w14:textId="77777777" w:rsidR="00FD0545" w:rsidRPr="00E13CE5" w:rsidRDefault="00FD0545" w:rsidP="00FD0545">
      <w:pPr>
        <w:tabs>
          <w:tab w:val="left" w:pos="9781"/>
        </w:tabs>
        <w:ind w:right="-144"/>
        <w:jc w:val="both"/>
        <w:rPr>
          <w:sz w:val="22"/>
          <w:szCs w:val="22"/>
        </w:rPr>
      </w:pPr>
    </w:p>
    <w:p w14:paraId="3ABFADC0" w14:textId="77777777" w:rsidR="00FD0545" w:rsidRPr="00E13CE5" w:rsidRDefault="00FD0545" w:rsidP="00FD0545">
      <w:pPr>
        <w:tabs>
          <w:tab w:val="left" w:pos="9781"/>
        </w:tabs>
        <w:ind w:right="-144"/>
        <w:jc w:val="center"/>
        <w:rPr>
          <w:b/>
          <w:sz w:val="22"/>
          <w:szCs w:val="22"/>
        </w:rPr>
      </w:pPr>
      <w:r w:rsidRPr="00E13CE5">
        <w:rPr>
          <w:b/>
          <w:sz w:val="22"/>
          <w:szCs w:val="22"/>
        </w:rPr>
        <w:t>A megállapodás hatálya</w:t>
      </w:r>
    </w:p>
    <w:p w14:paraId="66798360" w14:textId="77777777" w:rsidR="00FD0545" w:rsidRPr="00E13CE5" w:rsidRDefault="00FD0545" w:rsidP="00FD0545">
      <w:pPr>
        <w:tabs>
          <w:tab w:val="left" w:pos="9781"/>
        </w:tabs>
        <w:ind w:right="-144"/>
        <w:rPr>
          <w:sz w:val="22"/>
          <w:szCs w:val="22"/>
        </w:rPr>
      </w:pPr>
    </w:p>
    <w:p w14:paraId="5EB1F7E7" w14:textId="77777777" w:rsidR="00FD0545" w:rsidRPr="00E13CE5" w:rsidRDefault="00FD0545" w:rsidP="00FD0545">
      <w:pPr>
        <w:tabs>
          <w:tab w:val="left" w:pos="9781"/>
        </w:tabs>
        <w:ind w:right="-144"/>
        <w:jc w:val="both"/>
        <w:rPr>
          <w:sz w:val="22"/>
          <w:szCs w:val="22"/>
        </w:rPr>
      </w:pPr>
      <w:r w:rsidRPr="00E13CE5">
        <w:rPr>
          <w:sz w:val="22"/>
          <w:szCs w:val="22"/>
        </w:rPr>
        <w:t>4.1. Jelen megállapodást Felek ……… időtartamra (legfeljebb öt évre) kötik.</w:t>
      </w:r>
    </w:p>
    <w:p w14:paraId="6C8046AF" w14:textId="77777777" w:rsidR="00FD0545" w:rsidRPr="00E13CE5" w:rsidRDefault="00FD0545" w:rsidP="00FD0545">
      <w:pPr>
        <w:tabs>
          <w:tab w:val="left" w:pos="9781"/>
        </w:tabs>
        <w:ind w:right="-144"/>
        <w:jc w:val="both"/>
        <w:rPr>
          <w:sz w:val="22"/>
          <w:szCs w:val="22"/>
        </w:rPr>
      </w:pPr>
    </w:p>
    <w:p w14:paraId="1024ABC0" w14:textId="77777777" w:rsidR="00FD0545" w:rsidRPr="00E13CE5" w:rsidRDefault="00FD0545" w:rsidP="00FD0545">
      <w:pPr>
        <w:tabs>
          <w:tab w:val="left" w:pos="9781"/>
        </w:tabs>
        <w:ind w:right="-144"/>
        <w:jc w:val="both"/>
        <w:rPr>
          <w:sz w:val="22"/>
          <w:szCs w:val="22"/>
        </w:rPr>
      </w:pPr>
      <w:r w:rsidRPr="00E13CE5">
        <w:rPr>
          <w:sz w:val="22"/>
          <w:szCs w:val="22"/>
        </w:rPr>
        <w:t>4.2. Jelen megállapodást felek legfeljebb további 5 évvel írásban meghosszabbíthatják. A megállapodás meghosszabbítása esetén a Professor Emeritus jogait, kötelezettségeit tanévenként felül kell vizsgálni.</w:t>
      </w:r>
    </w:p>
    <w:p w14:paraId="69DDA81C" w14:textId="77777777" w:rsidR="00FD0545" w:rsidRPr="00E13CE5" w:rsidRDefault="00FD0545" w:rsidP="00FD0545">
      <w:pPr>
        <w:tabs>
          <w:tab w:val="left" w:pos="9781"/>
        </w:tabs>
        <w:ind w:right="-144"/>
        <w:jc w:val="both"/>
        <w:rPr>
          <w:sz w:val="22"/>
          <w:szCs w:val="22"/>
        </w:rPr>
      </w:pPr>
    </w:p>
    <w:p w14:paraId="77871F52" w14:textId="77777777" w:rsidR="00FD0545" w:rsidRPr="00E13CE5" w:rsidRDefault="00FD0545" w:rsidP="00FD0545">
      <w:pPr>
        <w:tabs>
          <w:tab w:val="left" w:pos="9781"/>
        </w:tabs>
        <w:ind w:right="-144"/>
        <w:jc w:val="both"/>
        <w:rPr>
          <w:sz w:val="22"/>
          <w:szCs w:val="22"/>
        </w:rPr>
      </w:pPr>
      <w:r w:rsidRPr="00E13CE5">
        <w:rPr>
          <w:sz w:val="22"/>
          <w:szCs w:val="22"/>
        </w:rPr>
        <w:t>4.3. A Professor Emeritus cím használata a jogosultat a megállapodás megszűnése esetén továbbra is megilleti.</w:t>
      </w:r>
    </w:p>
    <w:p w14:paraId="15C9953D" w14:textId="77777777" w:rsidR="00FD0545" w:rsidRPr="00E13CE5" w:rsidRDefault="00FD0545" w:rsidP="00FD0545">
      <w:pPr>
        <w:tabs>
          <w:tab w:val="left" w:pos="9781"/>
        </w:tabs>
        <w:ind w:right="-144"/>
        <w:jc w:val="both"/>
        <w:rPr>
          <w:sz w:val="22"/>
          <w:szCs w:val="22"/>
        </w:rPr>
      </w:pPr>
    </w:p>
    <w:p w14:paraId="716EEFCB" w14:textId="77777777" w:rsidR="00FD0545" w:rsidRPr="00E13CE5" w:rsidRDefault="00FD0545" w:rsidP="00FD0545">
      <w:pPr>
        <w:tabs>
          <w:tab w:val="left" w:pos="9781"/>
        </w:tabs>
        <w:ind w:right="-144"/>
        <w:jc w:val="both"/>
        <w:rPr>
          <w:sz w:val="22"/>
          <w:szCs w:val="22"/>
        </w:rPr>
      </w:pPr>
      <w:r w:rsidRPr="00E13CE5">
        <w:rPr>
          <w:sz w:val="22"/>
          <w:szCs w:val="22"/>
        </w:rPr>
        <w:t>4.4. Felek jelen megállapodást 3 hónapos felmondási idővel felmondhatják. A megállapodás felmondása esetén a Professor Emeritus a cím viselésére jogosult marad.</w:t>
      </w:r>
    </w:p>
    <w:p w14:paraId="47F22626" w14:textId="77777777" w:rsidR="00FD0545" w:rsidRPr="00E13CE5" w:rsidRDefault="00FD0545" w:rsidP="00FD0545">
      <w:pPr>
        <w:tabs>
          <w:tab w:val="left" w:pos="9781"/>
        </w:tabs>
        <w:ind w:right="-144"/>
        <w:jc w:val="both"/>
        <w:rPr>
          <w:sz w:val="22"/>
          <w:szCs w:val="22"/>
        </w:rPr>
      </w:pPr>
    </w:p>
    <w:p w14:paraId="2FAE4CC2" w14:textId="77777777" w:rsidR="00FD0545" w:rsidRPr="00E13CE5" w:rsidRDefault="00FD0545" w:rsidP="00FD0545">
      <w:pPr>
        <w:tabs>
          <w:tab w:val="left" w:pos="9781"/>
        </w:tabs>
        <w:ind w:right="-144"/>
        <w:jc w:val="both"/>
        <w:rPr>
          <w:sz w:val="22"/>
          <w:szCs w:val="22"/>
        </w:rPr>
      </w:pPr>
    </w:p>
    <w:p w14:paraId="4CC376DB" w14:textId="77777777" w:rsidR="00FD0545" w:rsidRPr="00E13CE5" w:rsidRDefault="00FD0545" w:rsidP="00FD0545">
      <w:pPr>
        <w:tabs>
          <w:tab w:val="left" w:pos="9781"/>
        </w:tabs>
        <w:ind w:right="-144"/>
        <w:jc w:val="both"/>
        <w:rPr>
          <w:sz w:val="22"/>
          <w:szCs w:val="22"/>
        </w:rPr>
      </w:pPr>
    </w:p>
    <w:p w14:paraId="01B39B3C" w14:textId="77777777" w:rsidR="00FD0545" w:rsidRPr="00E13CE5" w:rsidRDefault="00FD0545" w:rsidP="00FD0545">
      <w:pPr>
        <w:tabs>
          <w:tab w:val="left" w:pos="9781"/>
        </w:tabs>
        <w:ind w:right="-144"/>
        <w:jc w:val="both"/>
        <w:rPr>
          <w:sz w:val="22"/>
          <w:szCs w:val="22"/>
        </w:rPr>
      </w:pPr>
    </w:p>
    <w:p w14:paraId="625700F2" w14:textId="77777777" w:rsidR="00FD0545" w:rsidRPr="00E13CE5" w:rsidRDefault="00FD0545" w:rsidP="00FD0545">
      <w:pPr>
        <w:tabs>
          <w:tab w:val="left" w:pos="9781"/>
        </w:tabs>
        <w:ind w:right="-144"/>
        <w:jc w:val="both"/>
        <w:rPr>
          <w:sz w:val="22"/>
          <w:szCs w:val="22"/>
        </w:rPr>
      </w:pPr>
    </w:p>
    <w:p w14:paraId="3ECC2DF1" w14:textId="77777777" w:rsidR="00FD0545" w:rsidRPr="00E13CE5" w:rsidRDefault="00FD0545" w:rsidP="00FD0545">
      <w:pPr>
        <w:tabs>
          <w:tab w:val="left" w:pos="9781"/>
        </w:tabs>
        <w:ind w:right="-144"/>
        <w:jc w:val="both"/>
        <w:rPr>
          <w:sz w:val="22"/>
          <w:szCs w:val="22"/>
        </w:rPr>
      </w:pPr>
      <w:r w:rsidRPr="00E13CE5">
        <w:rPr>
          <w:sz w:val="22"/>
          <w:szCs w:val="22"/>
        </w:rPr>
        <w:t>Pécs, 20…………………………………..</w:t>
      </w:r>
    </w:p>
    <w:p w14:paraId="3A0B41DB" w14:textId="77777777" w:rsidR="00FD0545" w:rsidRPr="00E13CE5" w:rsidRDefault="00FD0545" w:rsidP="00FD0545">
      <w:pPr>
        <w:tabs>
          <w:tab w:val="left" w:pos="9781"/>
        </w:tabs>
        <w:ind w:right="-144"/>
        <w:jc w:val="both"/>
        <w:rPr>
          <w:sz w:val="22"/>
          <w:szCs w:val="22"/>
        </w:rPr>
      </w:pPr>
    </w:p>
    <w:p w14:paraId="5CEA3716" w14:textId="77777777" w:rsidR="00FD0545" w:rsidRPr="00E13CE5" w:rsidRDefault="00FD0545" w:rsidP="00FD0545">
      <w:pPr>
        <w:tabs>
          <w:tab w:val="left" w:pos="9781"/>
        </w:tabs>
        <w:ind w:right="-144"/>
        <w:jc w:val="both"/>
        <w:rPr>
          <w:sz w:val="22"/>
          <w:szCs w:val="22"/>
        </w:rPr>
      </w:pPr>
    </w:p>
    <w:p w14:paraId="2050409A" w14:textId="77777777" w:rsidR="00FD0545" w:rsidRPr="00E13CE5" w:rsidRDefault="00FD0545" w:rsidP="00FD0545">
      <w:pPr>
        <w:tabs>
          <w:tab w:val="left" w:pos="9781"/>
        </w:tabs>
        <w:ind w:right="-144"/>
        <w:jc w:val="both"/>
        <w:rPr>
          <w:sz w:val="22"/>
          <w:szCs w:val="22"/>
        </w:rPr>
      </w:pPr>
    </w:p>
    <w:p w14:paraId="41CB2637" w14:textId="77777777" w:rsidR="00FD0545" w:rsidRPr="00E13CE5" w:rsidRDefault="00FD0545" w:rsidP="00FD0545">
      <w:pPr>
        <w:tabs>
          <w:tab w:val="left" w:pos="9781"/>
        </w:tabs>
        <w:ind w:right="-144"/>
        <w:jc w:val="both"/>
        <w:rPr>
          <w:sz w:val="22"/>
          <w:szCs w:val="22"/>
        </w:rPr>
      </w:pPr>
    </w:p>
    <w:p w14:paraId="2985F6C1" w14:textId="77777777" w:rsidR="00FD0545" w:rsidRPr="00E13CE5" w:rsidRDefault="00FD0545" w:rsidP="00FD0545">
      <w:pPr>
        <w:tabs>
          <w:tab w:val="left" w:pos="9781"/>
        </w:tabs>
        <w:ind w:right="-144"/>
        <w:jc w:val="both"/>
        <w:rPr>
          <w:sz w:val="22"/>
          <w:szCs w:val="22"/>
        </w:rPr>
      </w:pPr>
    </w:p>
    <w:p w14:paraId="13581DBC" w14:textId="77777777" w:rsidR="00FD0545" w:rsidRPr="00E13CE5" w:rsidRDefault="00FD0545" w:rsidP="00FD0545">
      <w:pPr>
        <w:tabs>
          <w:tab w:val="left" w:pos="9781"/>
        </w:tabs>
        <w:ind w:right="-144"/>
        <w:jc w:val="both"/>
        <w:rPr>
          <w:sz w:val="22"/>
          <w:szCs w:val="22"/>
        </w:rPr>
      </w:pPr>
    </w:p>
    <w:p w14:paraId="3679840C" w14:textId="77777777" w:rsidR="00FD0545" w:rsidRPr="00E13CE5" w:rsidRDefault="00FD0545" w:rsidP="00FD0545">
      <w:pPr>
        <w:tabs>
          <w:tab w:val="left" w:pos="9781"/>
        </w:tabs>
        <w:ind w:right="-144"/>
        <w:jc w:val="center"/>
        <w:rPr>
          <w:sz w:val="22"/>
          <w:szCs w:val="22"/>
        </w:rPr>
      </w:pPr>
      <w:r w:rsidRPr="00E13CE5">
        <w:rPr>
          <w:sz w:val="22"/>
          <w:szCs w:val="22"/>
        </w:rPr>
        <w:t>……………………                                                                             …………………………….</w:t>
      </w:r>
    </w:p>
    <w:p w14:paraId="6ECB9686" w14:textId="77777777" w:rsidR="00FD0545" w:rsidRPr="00E13CE5" w:rsidRDefault="00FD0545" w:rsidP="00FD0545">
      <w:pPr>
        <w:tabs>
          <w:tab w:val="left" w:pos="9781"/>
        </w:tabs>
        <w:ind w:right="-144"/>
        <w:jc w:val="center"/>
        <w:rPr>
          <w:b/>
          <w:i/>
          <w:sz w:val="22"/>
          <w:szCs w:val="22"/>
        </w:rPr>
      </w:pPr>
      <w:r w:rsidRPr="00E13CE5">
        <w:rPr>
          <w:sz w:val="22"/>
          <w:szCs w:val="22"/>
        </w:rPr>
        <w:t>Egyetem                                                                                     Professor Emeritus/Emerita</w:t>
      </w:r>
    </w:p>
    <w:p w14:paraId="135A8E8A" w14:textId="77777777" w:rsidR="00FD0545" w:rsidRPr="00E13CE5" w:rsidRDefault="00FD0545" w:rsidP="00FD0545">
      <w:pPr>
        <w:pStyle w:val="Cmsor1"/>
      </w:pPr>
      <w:r w:rsidRPr="00E13CE5">
        <w:br w:type="page"/>
      </w:r>
      <w:bookmarkStart w:id="397" w:name="_Toc432753656"/>
      <w:bookmarkStart w:id="398" w:name="_Toc444603590"/>
      <w:bookmarkStart w:id="399" w:name="_Toc445200848"/>
      <w:bookmarkStart w:id="400" w:name="_Toc21961984"/>
      <w:bookmarkStart w:id="401" w:name="_Toc58569592"/>
      <w:r w:rsidRPr="00E13CE5">
        <w:lastRenderedPageBreak/>
        <w:t>4. számú melléklet</w:t>
      </w:r>
      <w:bookmarkEnd w:id="397"/>
      <w:bookmarkEnd w:id="398"/>
      <w:bookmarkEnd w:id="399"/>
      <w:bookmarkEnd w:id="400"/>
      <w:bookmarkEnd w:id="401"/>
    </w:p>
    <w:p w14:paraId="141B015A" w14:textId="77777777" w:rsidR="00FD0545" w:rsidRPr="00E13CE5" w:rsidRDefault="00FD0545" w:rsidP="00FD0545">
      <w:pPr>
        <w:tabs>
          <w:tab w:val="left" w:pos="1701"/>
          <w:tab w:val="left" w:pos="9781"/>
        </w:tabs>
        <w:ind w:right="-144"/>
        <w:jc w:val="both"/>
        <w:rPr>
          <w:b/>
          <w:i/>
          <w:sz w:val="22"/>
          <w:szCs w:val="22"/>
        </w:rPr>
      </w:pPr>
      <w:r w:rsidRPr="00E13CE5">
        <w:rPr>
          <w:b/>
          <w:i/>
          <w:sz w:val="22"/>
          <w:szCs w:val="22"/>
        </w:rPr>
        <w:t>4/A. számú melléklet</w:t>
      </w:r>
    </w:p>
    <w:p w14:paraId="6B0F9C87"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rPr>
          <w:b/>
          <w:sz w:val="22"/>
          <w:szCs w:val="22"/>
        </w:rPr>
      </w:pPr>
    </w:p>
    <w:p w14:paraId="50F4E825"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jc w:val="center"/>
        <w:rPr>
          <w:b/>
          <w:caps/>
          <w:sz w:val="22"/>
          <w:szCs w:val="22"/>
        </w:rPr>
      </w:pPr>
      <w:r w:rsidRPr="00E13CE5">
        <w:rPr>
          <w:b/>
          <w:caps/>
          <w:sz w:val="22"/>
          <w:szCs w:val="22"/>
        </w:rPr>
        <w:t>Az intézmény működési feltételei meglétének mérlegeléséhez adott oktatói, kutatói, tanári nyilatkozat</w:t>
      </w:r>
    </w:p>
    <w:p w14:paraId="5E7AAC14"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rPr>
          <w:b/>
          <w:sz w:val="22"/>
          <w:szCs w:val="22"/>
        </w:rPr>
      </w:pPr>
    </w:p>
    <w:p w14:paraId="232876E6" w14:textId="77777777" w:rsidR="00FD0545" w:rsidRPr="00E13CE5" w:rsidRDefault="00FD0545" w:rsidP="00FD0545">
      <w:pPr>
        <w:tabs>
          <w:tab w:val="left" w:pos="1701"/>
          <w:tab w:val="left" w:pos="9781"/>
        </w:tabs>
        <w:ind w:right="-144"/>
        <w:rPr>
          <w:sz w:val="22"/>
          <w:szCs w:val="22"/>
        </w:rPr>
      </w:pPr>
    </w:p>
    <w:p w14:paraId="62662427" w14:textId="77777777" w:rsidR="00FD0545" w:rsidRPr="00E13CE5" w:rsidRDefault="00FD0545" w:rsidP="00FD0545">
      <w:pPr>
        <w:tabs>
          <w:tab w:val="left" w:pos="1701"/>
          <w:tab w:val="left" w:pos="9781"/>
        </w:tabs>
        <w:ind w:right="-144"/>
        <w:rPr>
          <w:sz w:val="22"/>
          <w:szCs w:val="22"/>
        </w:rPr>
      </w:pPr>
      <w:r w:rsidRPr="00E13CE5">
        <w:rPr>
          <w:sz w:val="22"/>
          <w:szCs w:val="22"/>
        </w:rPr>
        <w:t>Alulírott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735"/>
      </w:tblGrid>
      <w:tr w:rsidR="00FD0545" w:rsidRPr="00E13CE5" w14:paraId="74BB1228" w14:textId="77777777" w:rsidTr="00026782">
        <w:tc>
          <w:tcPr>
            <w:tcW w:w="2352" w:type="dxa"/>
          </w:tcPr>
          <w:p w14:paraId="0385DAC4" w14:textId="77777777" w:rsidR="00FD0545" w:rsidRPr="00E13CE5" w:rsidRDefault="00FD0545" w:rsidP="00026782">
            <w:pPr>
              <w:tabs>
                <w:tab w:val="left" w:pos="9781"/>
              </w:tabs>
              <w:ind w:right="-144"/>
              <w:jc w:val="both"/>
              <w:rPr>
                <w:b/>
                <w:sz w:val="22"/>
                <w:szCs w:val="22"/>
              </w:rPr>
            </w:pPr>
            <w:r w:rsidRPr="00E13CE5">
              <w:rPr>
                <w:b/>
                <w:sz w:val="22"/>
                <w:szCs w:val="22"/>
              </w:rPr>
              <w:t>Név:</w:t>
            </w:r>
          </w:p>
        </w:tc>
        <w:tc>
          <w:tcPr>
            <w:tcW w:w="6858" w:type="dxa"/>
          </w:tcPr>
          <w:p w14:paraId="41264893" w14:textId="77777777" w:rsidR="00FD0545" w:rsidRPr="00E13CE5" w:rsidRDefault="00FD0545" w:rsidP="00026782">
            <w:pPr>
              <w:tabs>
                <w:tab w:val="left" w:pos="9781"/>
              </w:tabs>
              <w:ind w:right="-144"/>
              <w:jc w:val="both"/>
              <w:rPr>
                <w:sz w:val="22"/>
                <w:szCs w:val="22"/>
              </w:rPr>
            </w:pPr>
          </w:p>
        </w:tc>
      </w:tr>
      <w:tr w:rsidR="00FD0545" w:rsidRPr="00E13CE5" w14:paraId="4BA301D0" w14:textId="77777777" w:rsidTr="00026782">
        <w:tc>
          <w:tcPr>
            <w:tcW w:w="2352" w:type="dxa"/>
          </w:tcPr>
          <w:p w14:paraId="47B471CE" w14:textId="77777777" w:rsidR="00FD0545" w:rsidRPr="00E13CE5" w:rsidRDefault="00FD0545" w:rsidP="00026782">
            <w:pPr>
              <w:tabs>
                <w:tab w:val="left" w:pos="9781"/>
              </w:tabs>
              <w:ind w:right="-144"/>
              <w:jc w:val="both"/>
              <w:rPr>
                <w:b/>
                <w:sz w:val="22"/>
                <w:szCs w:val="22"/>
              </w:rPr>
            </w:pPr>
            <w:r w:rsidRPr="00E13CE5">
              <w:rPr>
                <w:b/>
                <w:sz w:val="22"/>
                <w:szCs w:val="22"/>
              </w:rPr>
              <w:t>Születési név:</w:t>
            </w:r>
          </w:p>
        </w:tc>
        <w:tc>
          <w:tcPr>
            <w:tcW w:w="6858" w:type="dxa"/>
          </w:tcPr>
          <w:p w14:paraId="707ECD9D" w14:textId="77777777" w:rsidR="00FD0545" w:rsidRPr="00E13CE5" w:rsidRDefault="00FD0545" w:rsidP="00026782">
            <w:pPr>
              <w:tabs>
                <w:tab w:val="left" w:pos="9781"/>
              </w:tabs>
              <w:ind w:right="-144"/>
              <w:jc w:val="both"/>
              <w:rPr>
                <w:sz w:val="22"/>
                <w:szCs w:val="22"/>
              </w:rPr>
            </w:pPr>
          </w:p>
        </w:tc>
      </w:tr>
      <w:tr w:rsidR="00FD0545" w:rsidRPr="00E13CE5" w14:paraId="7C15790C" w14:textId="77777777" w:rsidTr="00026782">
        <w:tc>
          <w:tcPr>
            <w:tcW w:w="2352" w:type="dxa"/>
          </w:tcPr>
          <w:p w14:paraId="4789531E" w14:textId="77777777" w:rsidR="00FD0545" w:rsidRPr="00E13CE5" w:rsidRDefault="00FD0545" w:rsidP="00026782">
            <w:pPr>
              <w:tabs>
                <w:tab w:val="left" w:pos="9781"/>
              </w:tabs>
              <w:ind w:right="-144"/>
              <w:jc w:val="both"/>
              <w:rPr>
                <w:b/>
                <w:sz w:val="22"/>
                <w:szCs w:val="22"/>
              </w:rPr>
            </w:pPr>
            <w:r w:rsidRPr="00E13CE5">
              <w:rPr>
                <w:b/>
                <w:sz w:val="22"/>
                <w:szCs w:val="22"/>
              </w:rPr>
              <w:t>Anyja születési neve</w:t>
            </w:r>
          </w:p>
        </w:tc>
        <w:tc>
          <w:tcPr>
            <w:tcW w:w="6858" w:type="dxa"/>
          </w:tcPr>
          <w:p w14:paraId="7A467578" w14:textId="77777777" w:rsidR="00FD0545" w:rsidRPr="00E13CE5" w:rsidRDefault="00FD0545" w:rsidP="00026782">
            <w:pPr>
              <w:tabs>
                <w:tab w:val="left" w:pos="9781"/>
              </w:tabs>
              <w:ind w:right="-144"/>
              <w:jc w:val="both"/>
              <w:rPr>
                <w:sz w:val="22"/>
                <w:szCs w:val="22"/>
              </w:rPr>
            </w:pPr>
          </w:p>
        </w:tc>
      </w:tr>
      <w:tr w:rsidR="00FD0545" w:rsidRPr="00E13CE5" w14:paraId="419DAB35" w14:textId="77777777" w:rsidTr="00026782">
        <w:tc>
          <w:tcPr>
            <w:tcW w:w="2352" w:type="dxa"/>
          </w:tcPr>
          <w:p w14:paraId="5ED1B652" w14:textId="77777777" w:rsidR="00FD0545" w:rsidRPr="00E13CE5" w:rsidRDefault="00FD0545" w:rsidP="00026782">
            <w:pPr>
              <w:tabs>
                <w:tab w:val="left" w:pos="9781"/>
              </w:tabs>
              <w:ind w:right="-144"/>
              <w:jc w:val="both"/>
              <w:rPr>
                <w:b/>
                <w:sz w:val="22"/>
                <w:szCs w:val="22"/>
              </w:rPr>
            </w:pPr>
            <w:r w:rsidRPr="00E13CE5">
              <w:rPr>
                <w:b/>
                <w:sz w:val="22"/>
                <w:szCs w:val="22"/>
              </w:rPr>
              <w:t>Születési hely és idő</w:t>
            </w:r>
          </w:p>
        </w:tc>
        <w:tc>
          <w:tcPr>
            <w:tcW w:w="6858" w:type="dxa"/>
          </w:tcPr>
          <w:p w14:paraId="2E4C5676" w14:textId="77777777" w:rsidR="00FD0545" w:rsidRPr="00E13CE5" w:rsidRDefault="00FD0545" w:rsidP="00026782">
            <w:pPr>
              <w:tabs>
                <w:tab w:val="left" w:pos="9781"/>
              </w:tabs>
              <w:ind w:right="-144"/>
              <w:jc w:val="both"/>
              <w:rPr>
                <w:sz w:val="22"/>
                <w:szCs w:val="22"/>
              </w:rPr>
            </w:pPr>
          </w:p>
        </w:tc>
      </w:tr>
    </w:tbl>
    <w:p w14:paraId="58BDEEE3" w14:textId="77777777" w:rsidR="00FD0545" w:rsidRPr="00E13CE5" w:rsidRDefault="00FD0545" w:rsidP="00FD0545">
      <w:pPr>
        <w:tabs>
          <w:tab w:val="left" w:pos="1701"/>
          <w:tab w:val="left" w:pos="9781"/>
        </w:tabs>
        <w:ind w:right="-144"/>
        <w:rPr>
          <w:sz w:val="22"/>
          <w:szCs w:val="22"/>
        </w:rPr>
      </w:pPr>
    </w:p>
    <w:p w14:paraId="0982641E" w14:textId="77777777" w:rsidR="00FD0545" w:rsidRPr="00E13CE5" w:rsidRDefault="00FD0545" w:rsidP="00FD0545">
      <w:pPr>
        <w:tabs>
          <w:tab w:val="left" w:pos="1701"/>
          <w:tab w:val="left" w:pos="9781"/>
        </w:tabs>
        <w:ind w:right="-144"/>
        <w:rPr>
          <w:sz w:val="22"/>
          <w:szCs w:val="22"/>
        </w:rPr>
      </w:pPr>
      <w:r w:rsidRPr="00E13CE5">
        <w:rPr>
          <w:sz w:val="22"/>
          <w:szCs w:val="22"/>
        </w:rPr>
        <w:t xml:space="preserve">Felhatalmazom az FI 58544 intézményi </w:t>
      </w:r>
      <w:proofErr w:type="spellStart"/>
      <w:r w:rsidRPr="00E13CE5">
        <w:rPr>
          <w:sz w:val="22"/>
          <w:szCs w:val="22"/>
        </w:rPr>
        <w:t>azonosítójú</w:t>
      </w:r>
      <w:proofErr w:type="spellEnd"/>
      <w:r w:rsidRPr="00E13CE5">
        <w:rPr>
          <w:sz w:val="22"/>
          <w:szCs w:val="22"/>
        </w:rPr>
        <w:t xml:space="preserve"> Pécsi Tudományegyetemet, hogy</w:t>
      </w:r>
    </w:p>
    <w:p w14:paraId="6A478AB8" w14:textId="77777777" w:rsidR="00FD0545" w:rsidRPr="00E13CE5" w:rsidRDefault="00FD0545" w:rsidP="00FD0545">
      <w:pPr>
        <w:tabs>
          <w:tab w:val="left" w:pos="9781"/>
        </w:tabs>
        <w:ind w:right="-144"/>
        <w:jc w:val="both"/>
        <w:rPr>
          <w:sz w:val="22"/>
          <w:szCs w:val="22"/>
        </w:rPr>
      </w:pPr>
    </w:p>
    <w:p w14:paraId="55A19B0C"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i/>
          <w:iCs/>
          <w:sz w:val="22"/>
          <w:szCs w:val="22"/>
        </w:rPr>
        <w:t xml:space="preserve">a) </w:t>
      </w:r>
      <w:r w:rsidRPr="00E13CE5">
        <w:rPr>
          <w:sz w:val="22"/>
          <w:szCs w:val="22"/>
        </w:rPr>
        <w:t>a működési feltételek mérlegelése és a nemzeti felsőoktatási törvény szerinti normatív állami költségvetési támogatás megállapítása során</w:t>
      </w:r>
    </w:p>
    <w:p w14:paraId="33C5EBE9"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i/>
          <w:iCs/>
          <w:sz w:val="22"/>
          <w:szCs w:val="22"/>
        </w:rPr>
        <w:t xml:space="preserve">b) </w:t>
      </w:r>
      <w:r w:rsidRPr="00E13CE5">
        <w:rPr>
          <w:sz w:val="22"/>
          <w:szCs w:val="22"/>
        </w:rPr>
        <w:t>a működési feltételek mérlegelése során</w:t>
      </w:r>
    </w:p>
    <w:p w14:paraId="4AF8073C"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figyelembe vegyen.</w:t>
      </w:r>
      <w:r w:rsidRPr="00E13CE5">
        <w:rPr>
          <w:rStyle w:val="Lbjegyzet-hivatkozs"/>
          <w:sz w:val="22"/>
          <w:szCs w:val="22"/>
        </w:rPr>
        <w:footnoteReference w:customMarkFollows="1" w:id="501"/>
        <w:sym w:font="Symbol" w:char="F02A"/>
      </w:r>
    </w:p>
    <w:p w14:paraId="283A6E7A" w14:textId="77777777" w:rsidR="00FD0545" w:rsidRPr="00E13CE5" w:rsidRDefault="00FD0545" w:rsidP="00FD0545">
      <w:pPr>
        <w:tabs>
          <w:tab w:val="left" w:pos="9781"/>
        </w:tabs>
        <w:autoSpaceDE w:val="0"/>
        <w:autoSpaceDN w:val="0"/>
        <w:adjustRightInd w:val="0"/>
        <w:ind w:right="-144"/>
        <w:jc w:val="both"/>
        <w:rPr>
          <w:sz w:val="22"/>
          <w:szCs w:val="22"/>
        </w:rPr>
      </w:pPr>
    </w:p>
    <w:p w14:paraId="64AD0474"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xml:space="preserve">Tudomásul veszem, hogy az </w:t>
      </w:r>
      <w:r w:rsidRPr="00E13CE5">
        <w:rPr>
          <w:i/>
          <w:iCs/>
          <w:sz w:val="22"/>
          <w:szCs w:val="22"/>
        </w:rPr>
        <w:t xml:space="preserve">a) </w:t>
      </w:r>
      <w:r w:rsidRPr="00E13CE5">
        <w:rPr>
          <w:sz w:val="22"/>
          <w:szCs w:val="22"/>
        </w:rPr>
        <w:t>pont választása esetén nyilatkozatom megtételét követően, annak visszavonásáig</w:t>
      </w:r>
    </w:p>
    <w:p w14:paraId="5C90B094"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a fenti felsőoktatási intézménytől eltérő magyar felsőoktatási intézmény által 2007. szeptember 1. után kezdeményezett szakindítási vagy doktori iskola létesítésére irányuló eljárás során,</w:t>
      </w:r>
    </w:p>
    <w:p w14:paraId="35D300D2"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a fenti felsőoktatási intézménytől eltérő magyar felsőoktatási intézmény létesítésére irányuló 2007. szeptember 1. után kezdeményezett eljárás során, valamint</w:t>
      </w:r>
    </w:p>
    <w:p w14:paraId="7AD35712"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- 2010. szeptember 1-jét követően a fenti felsőoktatási intézménytől eltérő magyar felsőoktatási intézmény működési engedélyezése, MAB eljárása során</w:t>
      </w:r>
    </w:p>
    <w:p w14:paraId="18C04521"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nem vehetnek figyelembe.</w:t>
      </w:r>
    </w:p>
    <w:p w14:paraId="2328B292" w14:textId="77777777" w:rsidR="00FD0545" w:rsidRPr="00E13CE5" w:rsidRDefault="00FD0545" w:rsidP="00FD0545">
      <w:pPr>
        <w:tabs>
          <w:tab w:val="left" w:pos="9781"/>
        </w:tabs>
        <w:autoSpaceDE w:val="0"/>
        <w:autoSpaceDN w:val="0"/>
        <w:adjustRightInd w:val="0"/>
        <w:ind w:right="-144"/>
        <w:jc w:val="both"/>
        <w:rPr>
          <w:sz w:val="22"/>
          <w:szCs w:val="22"/>
        </w:rPr>
      </w:pPr>
    </w:p>
    <w:p w14:paraId="6B574BA0"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xml:space="preserve">Tudomásul veszem, hogy a </w:t>
      </w:r>
      <w:r w:rsidRPr="00E13CE5">
        <w:rPr>
          <w:i/>
          <w:iCs/>
          <w:sz w:val="22"/>
          <w:szCs w:val="22"/>
        </w:rPr>
        <w:t xml:space="preserve">b) </w:t>
      </w:r>
      <w:r w:rsidRPr="00E13CE5">
        <w:rPr>
          <w:sz w:val="22"/>
          <w:szCs w:val="22"/>
        </w:rPr>
        <w:t>pont választása esetén nyilatkozatom megtételét követően, annak visszavonásáig a fent megjelölt intézmény által</w:t>
      </w:r>
    </w:p>
    <w:p w14:paraId="0EFD28FF"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- 2007. szeptember 1-jét követően kezdeményezett szakindítási vagy doktori iskola létesítésére irányuló eljárás</w:t>
      </w:r>
    </w:p>
    <w:p w14:paraId="211A7975"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- 2010. szeptember 1-jét követően kezdeményezett a működési engedélyezésre, MAB eljárásra irányuló kérelem elbírálása</w:t>
      </w:r>
    </w:p>
    <w:p w14:paraId="0FB24789"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során nem vehetnek figyelemben.</w:t>
      </w:r>
    </w:p>
    <w:p w14:paraId="456F17EE" w14:textId="77777777" w:rsidR="00FD0545" w:rsidRPr="00E13CE5" w:rsidRDefault="00FD0545" w:rsidP="00FD0545">
      <w:pPr>
        <w:tabs>
          <w:tab w:val="left" w:pos="9781"/>
        </w:tabs>
        <w:autoSpaceDE w:val="0"/>
        <w:autoSpaceDN w:val="0"/>
        <w:adjustRightInd w:val="0"/>
        <w:ind w:right="-144"/>
        <w:jc w:val="both"/>
        <w:rPr>
          <w:sz w:val="22"/>
          <w:szCs w:val="22"/>
        </w:rPr>
      </w:pPr>
    </w:p>
    <w:p w14:paraId="51F5D209"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Tudomásul veszem, hogy nemzeti felsőoktatásról szóló 2011. évi CCIV. törvény előírásai szerint nyilatkozatom megtételét a megjelölt intézmény a felsőoktatási információs rendszer felé jelenti.</w:t>
      </w:r>
    </w:p>
    <w:p w14:paraId="5E879589" w14:textId="77777777" w:rsidR="00FD0545" w:rsidRPr="00E13CE5" w:rsidRDefault="00FD0545" w:rsidP="00FD0545">
      <w:pPr>
        <w:tabs>
          <w:tab w:val="left" w:pos="9781"/>
        </w:tabs>
        <w:autoSpaceDE w:val="0"/>
        <w:autoSpaceDN w:val="0"/>
        <w:adjustRightInd w:val="0"/>
        <w:ind w:right="-144"/>
        <w:jc w:val="both"/>
        <w:rPr>
          <w:sz w:val="22"/>
          <w:szCs w:val="22"/>
        </w:rPr>
      </w:pPr>
    </w:p>
    <w:p w14:paraId="128082B0"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Tudomásul veszem, hogy amennyiben egyidejűleg több, egymásnak ellentmondó vagy a</w:t>
      </w:r>
      <w:r w:rsidRPr="00E13CE5">
        <w:rPr>
          <w:strike/>
          <w:sz w:val="22"/>
          <w:szCs w:val="22"/>
        </w:rPr>
        <w:t xml:space="preserve"> </w:t>
      </w:r>
      <w:r w:rsidRPr="00E13CE5">
        <w:rPr>
          <w:sz w:val="22"/>
          <w:szCs w:val="22"/>
        </w:rPr>
        <w:t>nemzeti felsőoktatásról szóló 2011. évi CCIV. törvénnyel ellentétes nyilatkozatot tettem, egyik nyilatkozatomat sem veszik figyelembe.</w:t>
      </w:r>
    </w:p>
    <w:p w14:paraId="67224C36" w14:textId="77777777" w:rsidR="00FD0545" w:rsidRPr="00E13CE5" w:rsidRDefault="00FD0545" w:rsidP="00FD0545">
      <w:pPr>
        <w:tabs>
          <w:tab w:val="left" w:pos="9781"/>
        </w:tabs>
        <w:autoSpaceDE w:val="0"/>
        <w:autoSpaceDN w:val="0"/>
        <w:adjustRightInd w:val="0"/>
        <w:ind w:right="-144"/>
        <w:jc w:val="both"/>
        <w:rPr>
          <w:sz w:val="22"/>
          <w:szCs w:val="22"/>
        </w:rPr>
      </w:pPr>
    </w:p>
    <w:p w14:paraId="29D2AF40" w14:textId="77777777" w:rsidR="00FD0545" w:rsidRPr="00E13CE5" w:rsidRDefault="00FD0545" w:rsidP="00FD0545">
      <w:pPr>
        <w:tabs>
          <w:tab w:val="left" w:pos="9781"/>
        </w:tabs>
        <w:autoSpaceDE w:val="0"/>
        <w:autoSpaceDN w:val="0"/>
        <w:adjustRightInd w:val="0"/>
        <w:ind w:right="-144"/>
        <w:jc w:val="both"/>
        <w:rPr>
          <w:sz w:val="22"/>
          <w:szCs w:val="22"/>
        </w:rPr>
      </w:pPr>
    </w:p>
    <w:p w14:paraId="1299F8DA" w14:textId="77777777" w:rsidR="00FD0545" w:rsidRPr="00E13CE5" w:rsidRDefault="00FD0545" w:rsidP="00FD0545">
      <w:pPr>
        <w:tabs>
          <w:tab w:val="left" w:pos="9781"/>
        </w:tabs>
        <w:autoSpaceDE w:val="0"/>
        <w:autoSpaceDN w:val="0"/>
        <w:adjustRightInd w:val="0"/>
        <w:ind w:right="-144"/>
        <w:jc w:val="both"/>
        <w:rPr>
          <w:b/>
          <w:i/>
          <w:sz w:val="22"/>
          <w:szCs w:val="22"/>
        </w:rPr>
      </w:pPr>
      <w:r w:rsidRPr="00E13CE5">
        <w:rPr>
          <w:sz w:val="22"/>
          <w:szCs w:val="22"/>
        </w:rPr>
        <w:t>Dátum,                                                                                                                aláírás</w:t>
      </w:r>
    </w:p>
    <w:p w14:paraId="37EC8B6D" w14:textId="77777777" w:rsidR="00FD0545" w:rsidRPr="00E13CE5" w:rsidRDefault="00FD0545" w:rsidP="00FD0545">
      <w:pPr>
        <w:tabs>
          <w:tab w:val="left" w:pos="1701"/>
          <w:tab w:val="left" w:pos="9781"/>
        </w:tabs>
        <w:ind w:right="-144"/>
        <w:jc w:val="center"/>
        <w:rPr>
          <w:b/>
          <w:i/>
          <w:sz w:val="22"/>
          <w:szCs w:val="22"/>
        </w:rPr>
      </w:pPr>
      <w:r w:rsidRPr="00E13CE5">
        <w:rPr>
          <w:b/>
          <w:i/>
          <w:sz w:val="22"/>
          <w:szCs w:val="22"/>
        </w:rPr>
        <w:br w:type="page"/>
      </w:r>
      <w:r w:rsidRPr="00E13CE5">
        <w:rPr>
          <w:b/>
          <w:i/>
          <w:sz w:val="22"/>
          <w:szCs w:val="22"/>
        </w:rPr>
        <w:lastRenderedPageBreak/>
        <w:t>4/B. számú melléklet</w:t>
      </w:r>
    </w:p>
    <w:p w14:paraId="08ADB256" w14:textId="77777777" w:rsidR="00FD0545" w:rsidRPr="00E13CE5" w:rsidRDefault="00FD0545" w:rsidP="00FD0545">
      <w:pPr>
        <w:tabs>
          <w:tab w:val="left" w:pos="1701"/>
          <w:tab w:val="left" w:pos="9781"/>
        </w:tabs>
        <w:ind w:right="-144"/>
        <w:rPr>
          <w:sz w:val="22"/>
          <w:szCs w:val="22"/>
        </w:rPr>
      </w:pPr>
    </w:p>
    <w:p w14:paraId="0A9F49A3"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rPr>
          <w:b/>
          <w:sz w:val="22"/>
          <w:szCs w:val="22"/>
        </w:rPr>
      </w:pPr>
    </w:p>
    <w:p w14:paraId="1BD8B521"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jc w:val="center"/>
        <w:rPr>
          <w:b/>
          <w:caps/>
          <w:sz w:val="22"/>
          <w:szCs w:val="22"/>
        </w:rPr>
      </w:pPr>
      <w:r w:rsidRPr="00E13CE5">
        <w:rPr>
          <w:b/>
          <w:caps/>
          <w:sz w:val="22"/>
          <w:szCs w:val="22"/>
        </w:rPr>
        <w:t>Az intézmény működési feltételei meglétének mérlegeléséhez adott oktatói, kutatói, tanári nyilatkozat</w:t>
      </w:r>
    </w:p>
    <w:p w14:paraId="63A96E54"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1701"/>
          <w:tab w:val="left" w:pos="9781"/>
        </w:tabs>
        <w:ind w:right="-144"/>
        <w:rPr>
          <w:b/>
          <w:sz w:val="22"/>
          <w:szCs w:val="22"/>
        </w:rPr>
      </w:pPr>
    </w:p>
    <w:p w14:paraId="75FA8752" w14:textId="77777777" w:rsidR="00FD0545" w:rsidRPr="00E13CE5" w:rsidRDefault="00FD0545" w:rsidP="00FD0545">
      <w:pPr>
        <w:tabs>
          <w:tab w:val="left" w:pos="1701"/>
          <w:tab w:val="left" w:pos="9781"/>
        </w:tabs>
        <w:ind w:right="-144"/>
        <w:rPr>
          <w:sz w:val="22"/>
          <w:szCs w:val="22"/>
        </w:rPr>
      </w:pPr>
    </w:p>
    <w:p w14:paraId="272649D4" w14:textId="77777777" w:rsidR="00FD0545" w:rsidRPr="00E13CE5" w:rsidRDefault="00FD0545" w:rsidP="00FD0545">
      <w:pPr>
        <w:tabs>
          <w:tab w:val="left" w:pos="1701"/>
          <w:tab w:val="left" w:pos="9781"/>
        </w:tabs>
        <w:ind w:right="-144"/>
        <w:rPr>
          <w:sz w:val="22"/>
          <w:szCs w:val="22"/>
        </w:rPr>
      </w:pPr>
    </w:p>
    <w:p w14:paraId="02EB195E" w14:textId="77777777" w:rsidR="00FD0545" w:rsidRPr="00E13CE5" w:rsidRDefault="00FD0545" w:rsidP="00FD0545">
      <w:pPr>
        <w:tabs>
          <w:tab w:val="left" w:pos="1701"/>
          <w:tab w:val="left" w:pos="9781"/>
        </w:tabs>
        <w:ind w:right="-144"/>
        <w:rPr>
          <w:sz w:val="22"/>
          <w:szCs w:val="22"/>
        </w:rPr>
      </w:pPr>
      <w:r w:rsidRPr="00E13CE5">
        <w:rPr>
          <w:sz w:val="22"/>
          <w:szCs w:val="22"/>
        </w:rPr>
        <w:t>Alulírott</w:t>
      </w:r>
    </w:p>
    <w:p w14:paraId="1038EC57" w14:textId="77777777" w:rsidR="00FD0545" w:rsidRPr="00E13CE5" w:rsidRDefault="00FD0545" w:rsidP="00FD0545">
      <w:pPr>
        <w:tabs>
          <w:tab w:val="left" w:pos="1701"/>
          <w:tab w:val="left" w:pos="9781"/>
        </w:tabs>
        <w:ind w:right="-14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735"/>
      </w:tblGrid>
      <w:tr w:rsidR="00FD0545" w:rsidRPr="00E13CE5" w14:paraId="72166233" w14:textId="77777777" w:rsidTr="00026782">
        <w:tc>
          <w:tcPr>
            <w:tcW w:w="2352" w:type="dxa"/>
          </w:tcPr>
          <w:p w14:paraId="72CF7A21" w14:textId="77777777" w:rsidR="00FD0545" w:rsidRPr="00E13CE5" w:rsidRDefault="00FD0545" w:rsidP="00026782">
            <w:pPr>
              <w:tabs>
                <w:tab w:val="left" w:pos="9781"/>
              </w:tabs>
              <w:ind w:right="-144"/>
              <w:jc w:val="both"/>
              <w:rPr>
                <w:sz w:val="22"/>
                <w:szCs w:val="22"/>
              </w:rPr>
            </w:pPr>
            <w:r w:rsidRPr="00E13CE5">
              <w:rPr>
                <w:sz w:val="22"/>
                <w:szCs w:val="22"/>
              </w:rPr>
              <w:t>Név:</w:t>
            </w:r>
          </w:p>
        </w:tc>
        <w:tc>
          <w:tcPr>
            <w:tcW w:w="6858" w:type="dxa"/>
          </w:tcPr>
          <w:p w14:paraId="1C8D417F" w14:textId="77777777" w:rsidR="00FD0545" w:rsidRPr="00E13CE5" w:rsidRDefault="00FD0545" w:rsidP="00026782">
            <w:pPr>
              <w:tabs>
                <w:tab w:val="left" w:pos="9781"/>
              </w:tabs>
              <w:ind w:right="-144"/>
              <w:jc w:val="both"/>
              <w:rPr>
                <w:sz w:val="22"/>
                <w:szCs w:val="22"/>
              </w:rPr>
            </w:pPr>
          </w:p>
        </w:tc>
      </w:tr>
      <w:tr w:rsidR="00FD0545" w:rsidRPr="00E13CE5" w14:paraId="116C785D" w14:textId="77777777" w:rsidTr="00026782">
        <w:tc>
          <w:tcPr>
            <w:tcW w:w="2352" w:type="dxa"/>
          </w:tcPr>
          <w:p w14:paraId="5FC24027" w14:textId="77777777" w:rsidR="00FD0545" w:rsidRPr="00E13CE5" w:rsidRDefault="00FD0545" w:rsidP="00026782">
            <w:pPr>
              <w:tabs>
                <w:tab w:val="left" w:pos="9781"/>
              </w:tabs>
              <w:ind w:right="-144"/>
              <w:jc w:val="both"/>
              <w:rPr>
                <w:sz w:val="22"/>
                <w:szCs w:val="22"/>
              </w:rPr>
            </w:pPr>
            <w:r w:rsidRPr="00E13CE5">
              <w:rPr>
                <w:sz w:val="22"/>
                <w:szCs w:val="22"/>
              </w:rPr>
              <w:t>Születési név:</w:t>
            </w:r>
          </w:p>
        </w:tc>
        <w:tc>
          <w:tcPr>
            <w:tcW w:w="6858" w:type="dxa"/>
          </w:tcPr>
          <w:p w14:paraId="3A23FB4C" w14:textId="77777777" w:rsidR="00FD0545" w:rsidRPr="00E13CE5" w:rsidRDefault="00FD0545" w:rsidP="00026782">
            <w:pPr>
              <w:tabs>
                <w:tab w:val="left" w:pos="9781"/>
              </w:tabs>
              <w:ind w:right="-144"/>
              <w:jc w:val="both"/>
              <w:rPr>
                <w:sz w:val="22"/>
                <w:szCs w:val="22"/>
              </w:rPr>
            </w:pPr>
          </w:p>
        </w:tc>
      </w:tr>
      <w:tr w:rsidR="00FD0545" w:rsidRPr="00E13CE5" w14:paraId="35340216" w14:textId="77777777" w:rsidTr="00026782">
        <w:tc>
          <w:tcPr>
            <w:tcW w:w="2352" w:type="dxa"/>
          </w:tcPr>
          <w:p w14:paraId="095254E4" w14:textId="77777777" w:rsidR="00FD0545" w:rsidRPr="00E13CE5" w:rsidRDefault="00FD0545" w:rsidP="00026782">
            <w:pPr>
              <w:tabs>
                <w:tab w:val="left" w:pos="9781"/>
              </w:tabs>
              <w:ind w:right="-144"/>
              <w:jc w:val="both"/>
              <w:rPr>
                <w:sz w:val="22"/>
                <w:szCs w:val="22"/>
              </w:rPr>
            </w:pPr>
            <w:r w:rsidRPr="00E13CE5">
              <w:rPr>
                <w:sz w:val="22"/>
                <w:szCs w:val="22"/>
              </w:rPr>
              <w:t>Anyja születési neve</w:t>
            </w:r>
          </w:p>
        </w:tc>
        <w:tc>
          <w:tcPr>
            <w:tcW w:w="6858" w:type="dxa"/>
          </w:tcPr>
          <w:p w14:paraId="368F5EC8" w14:textId="77777777" w:rsidR="00FD0545" w:rsidRPr="00E13CE5" w:rsidRDefault="00FD0545" w:rsidP="00026782">
            <w:pPr>
              <w:tabs>
                <w:tab w:val="left" w:pos="9781"/>
              </w:tabs>
              <w:ind w:right="-144"/>
              <w:jc w:val="both"/>
              <w:rPr>
                <w:sz w:val="22"/>
                <w:szCs w:val="22"/>
              </w:rPr>
            </w:pPr>
          </w:p>
        </w:tc>
      </w:tr>
      <w:tr w:rsidR="00FD0545" w:rsidRPr="00E13CE5" w14:paraId="65296808" w14:textId="77777777" w:rsidTr="00026782">
        <w:tc>
          <w:tcPr>
            <w:tcW w:w="2352" w:type="dxa"/>
          </w:tcPr>
          <w:p w14:paraId="2740E142" w14:textId="77777777" w:rsidR="00FD0545" w:rsidRPr="00E13CE5" w:rsidRDefault="00FD0545" w:rsidP="00026782">
            <w:pPr>
              <w:tabs>
                <w:tab w:val="left" w:pos="9781"/>
              </w:tabs>
              <w:ind w:right="-144"/>
              <w:jc w:val="both"/>
              <w:rPr>
                <w:sz w:val="22"/>
                <w:szCs w:val="22"/>
              </w:rPr>
            </w:pPr>
            <w:r w:rsidRPr="00E13CE5">
              <w:rPr>
                <w:sz w:val="22"/>
                <w:szCs w:val="22"/>
              </w:rPr>
              <w:t>Születési hely és idő</w:t>
            </w:r>
          </w:p>
        </w:tc>
        <w:tc>
          <w:tcPr>
            <w:tcW w:w="6858" w:type="dxa"/>
          </w:tcPr>
          <w:p w14:paraId="7F0E5D97" w14:textId="77777777" w:rsidR="00FD0545" w:rsidRPr="00E13CE5" w:rsidRDefault="00FD0545" w:rsidP="00026782">
            <w:pPr>
              <w:tabs>
                <w:tab w:val="left" w:pos="9781"/>
              </w:tabs>
              <w:ind w:right="-144"/>
              <w:jc w:val="both"/>
              <w:rPr>
                <w:sz w:val="22"/>
                <w:szCs w:val="22"/>
              </w:rPr>
            </w:pPr>
          </w:p>
        </w:tc>
      </w:tr>
    </w:tbl>
    <w:p w14:paraId="0088F69E" w14:textId="77777777" w:rsidR="00FD0545" w:rsidRPr="00E13CE5" w:rsidRDefault="00FD0545" w:rsidP="00FD0545">
      <w:pPr>
        <w:tabs>
          <w:tab w:val="left" w:pos="1701"/>
          <w:tab w:val="left" w:pos="9781"/>
        </w:tabs>
        <w:ind w:right="-144"/>
        <w:rPr>
          <w:sz w:val="22"/>
          <w:szCs w:val="22"/>
        </w:rPr>
      </w:pPr>
    </w:p>
    <w:p w14:paraId="2169BA9B" w14:textId="77777777" w:rsidR="00FD0545" w:rsidRPr="00E13CE5" w:rsidRDefault="00FD0545" w:rsidP="00FD0545">
      <w:pPr>
        <w:tabs>
          <w:tab w:val="left" w:pos="1701"/>
          <w:tab w:val="left" w:pos="9781"/>
        </w:tabs>
        <w:ind w:right="-144"/>
        <w:rPr>
          <w:sz w:val="22"/>
          <w:szCs w:val="22"/>
        </w:rPr>
      </w:pPr>
      <w:r w:rsidRPr="00E13CE5">
        <w:rPr>
          <w:sz w:val="22"/>
          <w:szCs w:val="22"/>
        </w:rPr>
        <w:t xml:space="preserve">Az FI 58544 intézményi </w:t>
      </w:r>
      <w:proofErr w:type="spellStart"/>
      <w:r w:rsidRPr="00E13CE5">
        <w:rPr>
          <w:sz w:val="22"/>
          <w:szCs w:val="22"/>
        </w:rPr>
        <w:t>azonosítójú</w:t>
      </w:r>
      <w:proofErr w:type="spellEnd"/>
      <w:r w:rsidRPr="00E13CE5">
        <w:rPr>
          <w:sz w:val="22"/>
          <w:szCs w:val="22"/>
        </w:rPr>
        <w:t xml:space="preserve"> Pécsi Tudományegyetem részére</w:t>
      </w:r>
    </w:p>
    <w:p w14:paraId="7028906B" w14:textId="77777777" w:rsidR="00FD0545" w:rsidRPr="00E13CE5" w:rsidRDefault="00FD0545" w:rsidP="00FD0545">
      <w:pPr>
        <w:tabs>
          <w:tab w:val="left" w:pos="9781"/>
        </w:tabs>
        <w:autoSpaceDE w:val="0"/>
        <w:autoSpaceDN w:val="0"/>
        <w:adjustRightInd w:val="0"/>
        <w:ind w:right="-144"/>
        <w:jc w:val="both"/>
        <w:rPr>
          <w:sz w:val="22"/>
          <w:szCs w:val="22"/>
        </w:rPr>
      </w:pPr>
    </w:p>
    <w:p w14:paraId="5F39427B"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i/>
          <w:iCs/>
          <w:sz w:val="22"/>
          <w:szCs w:val="22"/>
        </w:rPr>
        <w:t xml:space="preserve">a) </w:t>
      </w:r>
      <w:r w:rsidRPr="00E13CE5">
        <w:rPr>
          <w:sz w:val="22"/>
          <w:szCs w:val="22"/>
        </w:rPr>
        <w:t>a működési feltételek meglétének mérlegeléséhez és a költségvetési támogatáshoz</w:t>
      </w:r>
    </w:p>
    <w:p w14:paraId="32B8569B"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i/>
          <w:iCs/>
          <w:sz w:val="22"/>
          <w:szCs w:val="22"/>
        </w:rPr>
        <w:t xml:space="preserve">b) </w:t>
      </w:r>
      <w:r w:rsidRPr="00E13CE5">
        <w:rPr>
          <w:sz w:val="22"/>
          <w:szCs w:val="22"/>
        </w:rPr>
        <w:t xml:space="preserve">a működési feltételek megléte mérlegeléséhez </w:t>
      </w:r>
    </w:p>
    <w:p w14:paraId="64DF3DB1"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 xml:space="preserve">adott nyilatkozatomat ……………... dátummal visszavonom. </w:t>
      </w:r>
      <w:r w:rsidRPr="00E13CE5">
        <w:rPr>
          <w:rStyle w:val="Lbjegyzet-hivatkozs"/>
          <w:sz w:val="22"/>
          <w:szCs w:val="22"/>
        </w:rPr>
        <w:footnoteReference w:customMarkFollows="1" w:id="502"/>
        <w:sym w:font="Symbol" w:char="F02A"/>
      </w:r>
    </w:p>
    <w:p w14:paraId="634E90C8" w14:textId="77777777" w:rsidR="00FD0545" w:rsidRPr="00E13CE5" w:rsidRDefault="00FD0545" w:rsidP="00FD0545">
      <w:pPr>
        <w:tabs>
          <w:tab w:val="left" w:pos="9781"/>
        </w:tabs>
        <w:autoSpaceDE w:val="0"/>
        <w:autoSpaceDN w:val="0"/>
        <w:adjustRightInd w:val="0"/>
        <w:ind w:right="-144"/>
        <w:jc w:val="both"/>
        <w:rPr>
          <w:sz w:val="22"/>
          <w:szCs w:val="22"/>
        </w:rPr>
      </w:pPr>
    </w:p>
    <w:p w14:paraId="58152E8F" w14:textId="77777777" w:rsidR="00FD0545" w:rsidRPr="00E13CE5" w:rsidRDefault="00FD0545" w:rsidP="00FD0545">
      <w:pPr>
        <w:tabs>
          <w:tab w:val="left" w:pos="9781"/>
        </w:tabs>
        <w:autoSpaceDE w:val="0"/>
        <w:autoSpaceDN w:val="0"/>
        <w:adjustRightInd w:val="0"/>
        <w:ind w:right="-144"/>
        <w:jc w:val="both"/>
        <w:rPr>
          <w:sz w:val="22"/>
          <w:szCs w:val="22"/>
        </w:rPr>
      </w:pPr>
      <w:r w:rsidRPr="00E13CE5">
        <w:rPr>
          <w:sz w:val="22"/>
          <w:szCs w:val="22"/>
        </w:rPr>
        <w:t>Tudomásul veszem, hogy a nemzeti felsőoktatásról szóló 2011. évi CCIV. törvény előírásai szerint nyilatkozatom megtételét a megjelölt intézmény a felsőoktatási információs rendszer felé jelenti.</w:t>
      </w:r>
    </w:p>
    <w:p w14:paraId="3FA7FEFD" w14:textId="77777777" w:rsidR="00FD0545" w:rsidRPr="00E13CE5" w:rsidRDefault="00FD0545" w:rsidP="00FD0545">
      <w:pPr>
        <w:tabs>
          <w:tab w:val="left" w:pos="9781"/>
        </w:tabs>
        <w:autoSpaceDE w:val="0"/>
        <w:autoSpaceDN w:val="0"/>
        <w:adjustRightInd w:val="0"/>
        <w:ind w:right="-144"/>
        <w:jc w:val="both"/>
        <w:rPr>
          <w:sz w:val="22"/>
          <w:szCs w:val="22"/>
        </w:rPr>
      </w:pPr>
    </w:p>
    <w:p w14:paraId="2AEDFDFD" w14:textId="77777777" w:rsidR="00FD0545" w:rsidRPr="00E13CE5" w:rsidRDefault="00FD0545" w:rsidP="00FD0545">
      <w:pPr>
        <w:tabs>
          <w:tab w:val="left" w:pos="9781"/>
        </w:tabs>
        <w:ind w:right="-144"/>
        <w:jc w:val="both"/>
        <w:rPr>
          <w:b/>
          <w:i/>
          <w:sz w:val="22"/>
          <w:szCs w:val="22"/>
        </w:rPr>
      </w:pPr>
    </w:p>
    <w:p w14:paraId="073590BB" w14:textId="77777777" w:rsidR="00FD0545" w:rsidRPr="00E13CE5" w:rsidRDefault="00FD0545" w:rsidP="00FD0545">
      <w:pPr>
        <w:tabs>
          <w:tab w:val="left" w:pos="9781"/>
        </w:tabs>
        <w:ind w:right="-144"/>
        <w:jc w:val="both"/>
        <w:rPr>
          <w:sz w:val="22"/>
          <w:szCs w:val="22"/>
        </w:rPr>
      </w:pPr>
    </w:p>
    <w:p w14:paraId="2CFE03CB" w14:textId="77777777" w:rsidR="00FD0545" w:rsidRPr="00E13CE5" w:rsidRDefault="00FD0545" w:rsidP="00FD0545">
      <w:pPr>
        <w:tabs>
          <w:tab w:val="left" w:pos="9781"/>
        </w:tabs>
        <w:ind w:right="-144"/>
        <w:jc w:val="both"/>
        <w:rPr>
          <w:sz w:val="22"/>
          <w:szCs w:val="22"/>
        </w:rPr>
      </w:pPr>
      <w:r w:rsidRPr="00E13CE5">
        <w:rPr>
          <w:sz w:val="22"/>
          <w:szCs w:val="22"/>
        </w:rPr>
        <w:t xml:space="preserve">Dátum,                                                                                                               </w:t>
      </w:r>
    </w:p>
    <w:p w14:paraId="27E43C85" w14:textId="77777777" w:rsidR="00FD0545" w:rsidRPr="00E13CE5" w:rsidRDefault="00FD0545" w:rsidP="00FD0545">
      <w:pPr>
        <w:tabs>
          <w:tab w:val="left" w:pos="9781"/>
        </w:tabs>
        <w:ind w:right="-144"/>
        <w:jc w:val="both"/>
        <w:rPr>
          <w:sz w:val="22"/>
          <w:szCs w:val="22"/>
        </w:rPr>
      </w:pPr>
    </w:p>
    <w:p w14:paraId="79F26F83" w14:textId="77777777" w:rsidR="00FD0545" w:rsidRPr="00E13CE5" w:rsidRDefault="00FD0545" w:rsidP="00FD0545">
      <w:pPr>
        <w:tabs>
          <w:tab w:val="left" w:pos="9781"/>
        </w:tabs>
        <w:ind w:right="-144"/>
        <w:jc w:val="both"/>
        <w:rPr>
          <w:sz w:val="22"/>
          <w:szCs w:val="22"/>
        </w:rPr>
      </w:pPr>
    </w:p>
    <w:p w14:paraId="64ACF371" w14:textId="77777777" w:rsidR="00FD0545" w:rsidRPr="00E13CE5" w:rsidRDefault="00FD0545" w:rsidP="00FD0545">
      <w:pPr>
        <w:tabs>
          <w:tab w:val="left" w:pos="9781"/>
        </w:tabs>
        <w:ind w:right="-144"/>
        <w:jc w:val="both"/>
        <w:rPr>
          <w:b/>
          <w:i/>
          <w:sz w:val="22"/>
          <w:szCs w:val="22"/>
        </w:rPr>
      </w:pPr>
      <w:r w:rsidRPr="00E13CE5">
        <w:rPr>
          <w:sz w:val="22"/>
          <w:szCs w:val="22"/>
        </w:rPr>
        <w:t xml:space="preserve">                                                                                                                                   aláírás</w:t>
      </w:r>
    </w:p>
    <w:p w14:paraId="5A0423D2" w14:textId="77777777" w:rsidR="00FD0545" w:rsidRPr="00E13CE5" w:rsidRDefault="00FD0545" w:rsidP="00FD0545">
      <w:pPr>
        <w:pStyle w:val="Cmsor1"/>
      </w:pPr>
      <w:r w:rsidRPr="00E13CE5">
        <w:br w:type="page"/>
      </w:r>
    </w:p>
    <w:p w14:paraId="6BDF0D19" w14:textId="77777777" w:rsidR="00FD0545" w:rsidRPr="00E13CE5" w:rsidRDefault="00FD0545" w:rsidP="00FD0545">
      <w:pPr>
        <w:tabs>
          <w:tab w:val="left" w:pos="9781"/>
        </w:tabs>
        <w:ind w:right="-144"/>
        <w:jc w:val="center"/>
        <w:rPr>
          <w:sz w:val="22"/>
          <w:szCs w:val="22"/>
        </w:rPr>
      </w:pPr>
    </w:p>
    <w:p w14:paraId="670661CE" w14:textId="77777777" w:rsidR="00FD0545" w:rsidRPr="00E13CE5" w:rsidRDefault="00FD0545" w:rsidP="00FD0545">
      <w:pPr>
        <w:pStyle w:val="Cmsor1"/>
        <w:rPr>
          <w:lang w:val="hu-HU"/>
        </w:rPr>
      </w:pPr>
      <w:bookmarkStart w:id="402" w:name="_Toc432753657"/>
      <w:bookmarkStart w:id="403" w:name="_Toc444603591"/>
      <w:bookmarkStart w:id="404" w:name="_Toc21961985"/>
      <w:bookmarkStart w:id="405" w:name="_Toc58569593"/>
      <w:bookmarkStart w:id="406" w:name="_Toc445200849"/>
      <w:r w:rsidRPr="00E13CE5">
        <w:t>5. számú melléklet</w:t>
      </w:r>
      <w:bookmarkEnd w:id="402"/>
      <w:bookmarkEnd w:id="403"/>
      <w:bookmarkEnd w:id="404"/>
      <w:bookmarkEnd w:id="405"/>
      <w:r w:rsidRPr="00E13CE5">
        <w:rPr>
          <w:lang w:val="hu-HU"/>
        </w:rPr>
        <w:t xml:space="preserve"> </w:t>
      </w:r>
    </w:p>
    <w:bookmarkEnd w:id="406"/>
    <w:p w14:paraId="7AE30110" w14:textId="77777777" w:rsidR="00FD0545" w:rsidRPr="00E13CE5" w:rsidRDefault="00FD0545" w:rsidP="00FD0545">
      <w:pPr>
        <w:jc w:val="center"/>
      </w:pPr>
    </w:p>
    <w:p w14:paraId="71ACABDC" w14:textId="77777777" w:rsidR="00FD0545" w:rsidRPr="00E13CE5" w:rsidRDefault="00FD0545" w:rsidP="00FD0545">
      <w:pPr>
        <w:pBdr>
          <w:top w:val="single" w:sz="4" w:space="1" w:color="auto" w:shadow="1"/>
          <w:left w:val="single" w:sz="4" w:space="4" w:color="auto" w:shadow="1"/>
          <w:bottom w:val="single" w:sz="4" w:space="1" w:color="auto" w:shadow="1"/>
          <w:right w:val="single" w:sz="4" w:space="4" w:color="auto" w:shadow="1"/>
        </w:pBdr>
        <w:shd w:val="clear" w:color="auto" w:fill="B3B3B3"/>
        <w:tabs>
          <w:tab w:val="left" w:pos="9781"/>
        </w:tabs>
        <w:spacing w:before="100" w:beforeAutospacing="1" w:after="100" w:afterAutospacing="1" w:line="240" w:lineRule="atLeast"/>
        <w:ind w:right="-144"/>
        <w:jc w:val="center"/>
        <w:rPr>
          <w:b/>
          <w:i/>
          <w:sz w:val="22"/>
          <w:szCs w:val="22"/>
        </w:rPr>
      </w:pPr>
      <w:r w:rsidRPr="00E13CE5">
        <w:rPr>
          <w:b/>
          <w:i/>
          <w:sz w:val="22"/>
          <w:szCs w:val="22"/>
        </w:rPr>
        <w:t>Habilitációs tudományterületek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033"/>
      </w:tblGrid>
      <w:tr w:rsidR="00FD0545" w:rsidRPr="00E13CE5" w14:paraId="54A70FAD" w14:textId="77777777" w:rsidTr="00026782">
        <w:tc>
          <w:tcPr>
            <w:tcW w:w="1043" w:type="dxa"/>
          </w:tcPr>
          <w:p w14:paraId="084A0A3E"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p>
        </w:tc>
        <w:tc>
          <w:tcPr>
            <w:tcW w:w="8169" w:type="dxa"/>
          </w:tcPr>
          <w:p w14:paraId="1B778E9E"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p>
        </w:tc>
      </w:tr>
      <w:tr w:rsidR="00FD0545" w:rsidRPr="00E13CE5" w14:paraId="2C9AC118" w14:textId="77777777" w:rsidTr="00026782">
        <w:tc>
          <w:tcPr>
            <w:tcW w:w="1043" w:type="dxa"/>
          </w:tcPr>
          <w:p w14:paraId="2811363E"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w:t>
            </w:r>
          </w:p>
        </w:tc>
        <w:tc>
          <w:tcPr>
            <w:tcW w:w="8169" w:type="dxa"/>
          </w:tcPr>
          <w:p w14:paraId="375AAC8F"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Állam- és jogtudomány</w:t>
            </w:r>
          </w:p>
        </w:tc>
      </w:tr>
      <w:tr w:rsidR="00FD0545" w:rsidRPr="00E13CE5" w14:paraId="7EEB973E" w14:textId="77777777" w:rsidTr="00026782">
        <w:tc>
          <w:tcPr>
            <w:tcW w:w="1043" w:type="dxa"/>
          </w:tcPr>
          <w:p w14:paraId="47EE72B6"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2.</w:t>
            </w:r>
          </w:p>
        </w:tc>
        <w:tc>
          <w:tcPr>
            <w:tcW w:w="8169" w:type="dxa"/>
          </w:tcPr>
          <w:p w14:paraId="21B3846A"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Közgazdaságtudomány</w:t>
            </w:r>
          </w:p>
        </w:tc>
      </w:tr>
      <w:tr w:rsidR="00FD0545" w:rsidRPr="00E13CE5" w14:paraId="270E2149" w14:textId="77777777" w:rsidTr="00026782">
        <w:tc>
          <w:tcPr>
            <w:tcW w:w="1043" w:type="dxa"/>
          </w:tcPr>
          <w:p w14:paraId="2F162354"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3.</w:t>
            </w:r>
          </w:p>
        </w:tc>
        <w:tc>
          <w:tcPr>
            <w:tcW w:w="8169" w:type="dxa"/>
          </w:tcPr>
          <w:p w14:paraId="7F562674"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Biológiatudomány</w:t>
            </w:r>
          </w:p>
        </w:tc>
      </w:tr>
      <w:tr w:rsidR="00FD0545" w:rsidRPr="00E13CE5" w14:paraId="6D62C857" w14:textId="77777777" w:rsidTr="00026782">
        <w:tc>
          <w:tcPr>
            <w:tcW w:w="1043" w:type="dxa"/>
          </w:tcPr>
          <w:p w14:paraId="641FABC8"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4.</w:t>
            </w:r>
          </w:p>
        </w:tc>
        <w:tc>
          <w:tcPr>
            <w:tcW w:w="8169" w:type="dxa"/>
          </w:tcPr>
          <w:p w14:paraId="2E0E15B0"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Földtudomány</w:t>
            </w:r>
          </w:p>
        </w:tc>
      </w:tr>
      <w:tr w:rsidR="00FD0545" w:rsidRPr="00E13CE5" w14:paraId="2EB6E79C" w14:textId="77777777" w:rsidTr="00026782">
        <w:tc>
          <w:tcPr>
            <w:tcW w:w="1043" w:type="dxa"/>
          </w:tcPr>
          <w:p w14:paraId="01ACB5C8"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5.</w:t>
            </w:r>
          </w:p>
        </w:tc>
        <w:tc>
          <w:tcPr>
            <w:tcW w:w="8169" w:type="dxa"/>
          </w:tcPr>
          <w:p w14:paraId="59C67D04"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Kémiatudomány</w:t>
            </w:r>
          </w:p>
        </w:tc>
      </w:tr>
      <w:tr w:rsidR="00FD0545" w:rsidRPr="00E13CE5" w14:paraId="621F6C1D" w14:textId="77777777" w:rsidTr="00026782">
        <w:tc>
          <w:tcPr>
            <w:tcW w:w="1043" w:type="dxa"/>
          </w:tcPr>
          <w:p w14:paraId="39E01E65"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6.</w:t>
            </w:r>
          </w:p>
        </w:tc>
        <w:tc>
          <w:tcPr>
            <w:tcW w:w="8169" w:type="dxa"/>
          </w:tcPr>
          <w:p w14:paraId="65FAD08C"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Fizikai tudomány</w:t>
            </w:r>
          </w:p>
        </w:tc>
      </w:tr>
      <w:tr w:rsidR="00FD0545" w:rsidRPr="00E13CE5" w14:paraId="71820F2B" w14:textId="77777777" w:rsidTr="00026782">
        <w:tc>
          <w:tcPr>
            <w:tcW w:w="1043" w:type="dxa"/>
          </w:tcPr>
          <w:p w14:paraId="6A838BE5"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7.</w:t>
            </w:r>
          </w:p>
        </w:tc>
        <w:tc>
          <w:tcPr>
            <w:tcW w:w="8169" w:type="dxa"/>
          </w:tcPr>
          <w:p w14:paraId="539AB797"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Történettudomány</w:t>
            </w:r>
          </w:p>
        </w:tc>
      </w:tr>
      <w:tr w:rsidR="00FD0545" w:rsidRPr="00E13CE5" w14:paraId="50C05CC2" w14:textId="77777777" w:rsidTr="00026782">
        <w:tc>
          <w:tcPr>
            <w:tcW w:w="1043" w:type="dxa"/>
          </w:tcPr>
          <w:p w14:paraId="258CD35E"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8.</w:t>
            </w:r>
          </w:p>
        </w:tc>
        <w:tc>
          <w:tcPr>
            <w:tcW w:w="8169" w:type="dxa"/>
          </w:tcPr>
          <w:p w14:paraId="2695829C"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Politikai tudományok</w:t>
            </w:r>
          </w:p>
        </w:tc>
      </w:tr>
      <w:tr w:rsidR="00FD0545" w:rsidRPr="00E13CE5" w14:paraId="5B6F89E1" w14:textId="77777777" w:rsidTr="00026782">
        <w:tc>
          <w:tcPr>
            <w:tcW w:w="1043" w:type="dxa"/>
          </w:tcPr>
          <w:p w14:paraId="7EB36041"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9.</w:t>
            </w:r>
          </w:p>
        </w:tc>
        <w:tc>
          <w:tcPr>
            <w:tcW w:w="8169" w:type="dxa"/>
          </w:tcPr>
          <w:p w14:paraId="42809F64"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Néprajz</w:t>
            </w:r>
          </w:p>
        </w:tc>
      </w:tr>
      <w:tr w:rsidR="00FD0545" w:rsidRPr="00E13CE5" w14:paraId="70A5E813" w14:textId="77777777" w:rsidTr="00026782">
        <w:tc>
          <w:tcPr>
            <w:tcW w:w="1043" w:type="dxa"/>
          </w:tcPr>
          <w:p w14:paraId="610972AC"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10.</w:t>
            </w:r>
          </w:p>
        </w:tc>
        <w:tc>
          <w:tcPr>
            <w:tcW w:w="8169" w:type="dxa"/>
          </w:tcPr>
          <w:p w14:paraId="42812CF1"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Nyelvtudomány</w:t>
            </w:r>
          </w:p>
        </w:tc>
      </w:tr>
      <w:tr w:rsidR="00FD0545" w:rsidRPr="00E13CE5" w14:paraId="08FCADCF" w14:textId="77777777" w:rsidTr="00026782">
        <w:tc>
          <w:tcPr>
            <w:tcW w:w="1043" w:type="dxa"/>
          </w:tcPr>
          <w:p w14:paraId="27C50888"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11.</w:t>
            </w:r>
          </w:p>
        </w:tc>
        <w:tc>
          <w:tcPr>
            <w:tcW w:w="8169" w:type="dxa"/>
          </w:tcPr>
          <w:p w14:paraId="4CE504F9"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Média-és kommunikációs tudományok</w:t>
            </w:r>
          </w:p>
        </w:tc>
      </w:tr>
      <w:tr w:rsidR="00FD0545" w:rsidRPr="00E13CE5" w14:paraId="12208D0F" w14:textId="77777777" w:rsidTr="00026782">
        <w:tc>
          <w:tcPr>
            <w:tcW w:w="1043" w:type="dxa"/>
          </w:tcPr>
          <w:p w14:paraId="60A4A082"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12.</w:t>
            </w:r>
          </w:p>
        </w:tc>
        <w:tc>
          <w:tcPr>
            <w:tcW w:w="8169" w:type="dxa"/>
          </w:tcPr>
          <w:p w14:paraId="26AE91EA"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Irodalomtudomány</w:t>
            </w:r>
          </w:p>
        </w:tc>
      </w:tr>
      <w:tr w:rsidR="00FD0545" w:rsidRPr="00E13CE5" w14:paraId="205F9DA4" w14:textId="77777777" w:rsidTr="00026782">
        <w:tc>
          <w:tcPr>
            <w:tcW w:w="1043" w:type="dxa"/>
          </w:tcPr>
          <w:p w14:paraId="05D04421"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13.</w:t>
            </w:r>
          </w:p>
        </w:tc>
        <w:tc>
          <w:tcPr>
            <w:tcW w:w="8169" w:type="dxa"/>
          </w:tcPr>
          <w:p w14:paraId="21D26B00"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Pszichológia</w:t>
            </w:r>
          </w:p>
        </w:tc>
      </w:tr>
      <w:tr w:rsidR="00FD0545" w:rsidRPr="00E13CE5" w14:paraId="00731633" w14:textId="77777777" w:rsidTr="00026782">
        <w:tc>
          <w:tcPr>
            <w:tcW w:w="1043" w:type="dxa"/>
          </w:tcPr>
          <w:p w14:paraId="0F2F70BA"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14.</w:t>
            </w:r>
          </w:p>
        </w:tc>
        <w:tc>
          <w:tcPr>
            <w:tcW w:w="8169" w:type="dxa"/>
          </w:tcPr>
          <w:p w14:paraId="2A044260"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Neveléstudományok</w:t>
            </w:r>
          </w:p>
        </w:tc>
      </w:tr>
      <w:tr w:rsidR="00FD0545" w:rsidRPr="00E13CE5" w14:paraId="70A158A3" w14:textId="77777777" w:rsidTr="00026782">
        <w:tc>
          <w:tcPr>
            <w:tcW w:w="1043" w:type="dxa"/>
          </w:tcPr>
          <w:p w14:paraId="5A275447"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15.</w:t>
            </w:r>
          </w:p>
        </w:tc>
        <w:tc>
          <w:tcPr>
            <w:tcW w:w="8169" w:type="dxa"/>
          </w:tcPr>
          <w:p w14:paraId="31D91903"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Filozófia</w:t>
            </w:r>
          </w:p>
        </w:tc>
      </w:tr>
      <w:tr w:rsidR="00FD0545" w:rsidRPr="00E13CE5" w14:paraId="640EFBEC" w14:textId="77777777" w:rsidTr="00026782">
        <w:tc>
          <w:tcPr>
            <w:tcW w:w="1043" w:type="dxa"/>
          </w:tcPr>
          <w:p w14:paraId="78D2492B"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16.</w:t>
            </w:r>
          </w:p>
        </w:tc>
        <w:tc>
          <w:tcPr>
            <w:tcW w:w="8169" w:type="dxa"/>
          </w:tcPr>
          <w:p w14:paraId="364DDC73"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Képzőművészet</w:t>
            </w:r>
          </w:p>
        </w:tc>
      </w:tr>
      <w:tr w:rsidR="00FD0545" w:rsidRPr="00E13CE5" w14:paraId="464DE447" w14:textId="77777777" w:rsidTr="00026782">
        <w:tc>
          <w:tcPr>
            <w:tcW w:w="1043" w:type="dxa"/>
          </w:tcPr>
          <w:p w14:paraId="2DE365E7"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17.</w:t>
            </w:r>
          </w:p>
        </w:tc>
        <w:tc>
          <w:tcPr>
            <w:tcW w:w="8169" w:type="dxa"/>
          </w:tcPr>
          <w:p w14:paraId="07C9083E"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Építőművészet/építészmérnöki</w:t>
            </w:r>
          </w:p>
        </w:tc>
      </w:tr>
      <w:tr w:rsidR="00FD0545" w:rsidRPr="00E13CE5" w14:paraId="578784EF" w14:textId="77777777" w:rsidTr="00026782">
        <w:tc>
          <w:tcPr>
            <w:tcW w:w="1043" w:type="dxa"/>
          </w:tcPr>
          <w:p w14:paraId="353B42A6"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18.</w:t>
            </w:r>
          </w:p>
        </w:tc>
        <w:tc>
          <w:tcPr>
            <w:tcW w:w="8169" w:type="dxa"/>
          </w:tcPr>
          <w:p w14:paraId="3D789F64"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Orvostudományok</w:t>
            </w:r>
          </w:p>
        </w:tc>
      </w:tr>
      <w:tr w:rsidR="00FD0545" w:rsidRPr="00E13CE5" w14:paraId="43713AB1" w14:textId="77777777" w:rsidTr="00026782">
        <w:tc>
          <w:tcPr>
            <w:tcW w:w="1043" w:type="dxa"/>
          </w:tcPr>
          <w:p w14:paraId="0503BB37"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19.</w:t>
            </w:r>
          </w:p>
        </w:tc>
        <w:tc>
          <w:tcPr>
            <w:tcW w:w="8169" w:type="dxa"/>
          </w:tcPr>
          <w:p w14:paraId="7B31E027"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Gyógyszerészettudomány</w:t>
            </w:r>
          </w:p>
        </w:tc>
      </w:tr>
      <w:tr w:rsidR="00FD0545" w:rsidRPr="00E13CE5" w14:paraId="48851786" w14:textId="77777777" w:rsidTr="00026782">
        <w:tc>
          <w:tcPr>
            <w:tcW w:w="1043" w:type="dxa"/>
          </w:tcPr>
          <w:p w14:paraId="69E58252"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20.</w:t>
            </w:r>
          </w:p>
        </w:tc>
        <w:tc>
          <w:tcPr>
            <w:tcW w:w="8169" w:type="dxa"/>
          </w:tcPr>
          <w:p w14:paraId="24C584D1"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Egészségtudományok</w:t>
            </w:r>
          </w:p>
        </w:tc>
      </w:tr>
      <w:tr w:rsidR="00FD0545" w:rsidRPr="00E13CE5" w14:paraId="35598420" w14:textId="77777777" w:rsidTr="00026782">
        <w:tc>
          <w:tcPr>
            <w:tcW w:w="1043" w:type="dxa"/>
          </w:tcPr>
          <w:p w14:paraId="34E4421A" w14:textId="77777777" w:rsidR="00FD0545" w:rsidRPr="00E13CE5" w:rsidRDefault="00FD0545" w:rsidP="00026782">
            <w:pPr>
              <w:tabs>
                <w:tab w:val="left" w:pos="9781"/>
              </w:tabs>
              <w:spacing w:before="100" w:beforeAutospacing="1" w:after="100" w:afterAutospacing="1" w:line="240" w:lineRule="atLeast"/>
              <w:ind w:right="-144"/>
              <w:jc w:val="center"/>
              <w:rPr>
                <w:b/>
                <w:sz w:val="22"/>
                <w:szCs w:val="22"/>
              </w:rPr>
            </w:pPr>
            <w:r w:rsidRPr="00E13CE5">
              <w:rPr>
                <w:b/>
                <w:sz w:val="22"/>
                <w:szCs w:val="22"/>
              </w:rPr>
              <w:t>21.</w:t>
            </w:r>
          </w:p>
        </w:tc>
        <w:tc>
          <w:tcPr>
            <w:tcW w:w="8169" w:type="dxa"/>
          </w:tcPr>
          <w:p w14:paraId="33C8B1CB" w14:textId="77777777" w:rsidR="00FD0545" w:rsidRPr="00E13CE5" w:rsidRDefault="00FD0545" w:rsidP="00026782">
            <w:pPr>
              <w:tabs>
                <w:tab w:val="left" w:pos="9781"/>
              </w:tabs>
              <w:spacing w:before="100" w:beforeAutospacing="1" w:after="100" w:afterAutospacing="1" w:line="240" w:lineRule="atLeast"/>
              <w:ind w:right="-144"/>
              <w:jc w:val="center"/>
              <w:rPr>
                <w:sz w:val="22"/>
                <w:szCs w:val="22"/>
              </w:rPr>
            </w:pPr>
            <w:r w:rsidRPr="00E13CE5">
              <w:rPr>
                <w:sz w:val="22"/>
                <w:szCs w:val="22"/>
              </w:rPr>
              <w:t>Zeneművészet</w:t>
            </w:r>
          </w:p>
        </w:tc>
      </w:tr>
    </w:tbl>
    <w:p w14:paraId="462E8F20" w14:textId="77777777" w:rsidR="00FD0545" w:rsidRPr="00E13CE5" w:rsidRDefault="00FD0545" w:rsidP="00FD0545">
      <w:pPr>
        <w:tabs>
          <w:tab w:val="left" w:pos="9781"/>
        </w:tabs>
        <w:ind w:right="-144"/>
        <w:jc w:val="center"/>
        <w:rPr>
          <w:sz w:val="22"/>
          <w:szCs w:val="22"/>
        </w:rPr>
      </w:pPr>
    </w:p>
    <w:p w14:paraId="03358DC1" w14:textId="77777777" w:rsidR="00FD0545" w:rsidRPr="00E13CE5" w:rsidRDefault="00FD0545" w:rsidP="00FD0545">
      <w:pPr>
        <w:tabs>
          <w:tab w:val="left" w:pos="1701"/>
          <w:tab w:val="left" w:pos="9781"/>
        </w:tabs>
        <w:ind w:right="-144"/>
        <w:jc w:val="right"/>
        <w:rPr>
          <w:b/>
          <w:i/>
          <w:sz w:val="22"/>
          <w:szCs w:val="22"/>
        </w:rPr>
      </w:pPr>
    </w:p>
    <w:p w14:paraId="388BD166" w14:textId="77777777" w:rsidR="00FD0545" w:rsidRPr="00E13CE5" w:rsidRDefault="00FD0545" w:rsidP="00FD0545">
      <w:pPr>
        <w:tabs>
          <w:tab w:val="left" w:pos="1701"/>
          <w:tab w:val="left" w:pos="9781"/>
        </w:tabs>
        <w:ind w:right="-144"/>
        <w:jc w:val="right"/>
        <w:rPr>
          <w:b/>
          <w:i/>
          <w:sz w:val="22"/>
          <w:szCs w:val="22"/>
        </w:rPr>
      </w:pPr>
      <w:r w:rsidRPr="00E13CE5">
        <w:rPr>
          <w:b/>
          <w:i/>
          <w:sz w:val="22"/>
          <w:szCs w:val="22"/>
        </w:rPr>
        <w:br w:type="page"/>
      </w:r>
    </w:p>
    <w:p w14:paraId="66ECF6F1" w14:textId="77777777" w:rsidR="00FD0545" w:rsidRPr="00E13CE5" w:rsidRDefault="00FD0545" w:rsidP="00FD0545">
      <w:pPr>
        <w:pStyle w:val="Cmsor1"/>
        <w:rPr>
          <w:lang w:val="hu-HU"/>
        </w:rPr>
      </w:pPr>
      <w:bookmarkStart w:id="407" w:name="_Toc432753658"/>
      <w:bookmarkStart w:id="408" w:name="_Toc444603592"/>
      <w:bookmarkStart w:id="409" w:name="_Toc21961986"/>
      <w:bookmarkStart w:id="410" w:name="_Toc58569594"/>
      <w:bookmarkStart w:id="411" w:name="_Toc445200850"/>
      <w:r w:rsidRPr="00E13CE5">
        <w:lastRenderedPageBreak/>
        <w:t>6. számú melléklet</w:t>
      </w:r>
      <w:bookmarkEnd w:id="407"/>
      <w:bookmarkEnd w:id="408"/>
      <w:bookmarkEnd w:id="409"/>
      <w:bookmarkEnd w:id="410"/>
      <w:r w:rsidRPr="00E13CE5">
        <w:rPr>
          <w:lang w:val="hu-HU"/>
        </w:rPr>
        <w:t xml:space="preserve"> </w:t>
      </w:r>
    </w:p>
    <w:bookmarkEnd w:id="411"/>
    <w:p w14:paraId="2BCA77EF" w14:textId="77777777" w:rsidR="00FD0545" w:rsidRPr="00E13CE5" w:rsidRDefault="00FD0545" w:rsidP="00FD0545">
      <w:pPr>
        <w:jc w:val="center"/>
        <w:rPr>
          <w:strike/>
          <w:sz w:val="22"/>
          <w:szCs w:val="22"/>
        </w:rPr>
      </w:pPr>
    </w:p>
    <w:p w14:paraId="1167D362" w14:textId="77777777" w:rsidR="00FD0545" w:rsidRPr="00E13CE5" w:rsidRDefault="00FD0545" w:rsidP="00FD0545">
      <w:pPr>
        <w:tabs>
          <w:tab w:val="left" w:pos="9781"/>
        </w:tabs>
        <w:ind w:right="-144"/>
        <w:rPr>
          <w:strike/>
          <w:sz w:val="22"/>
          <w:szCs w:val="22"/>
        </w:rPr>
      </w:pPr>
    </w:p>
    <w:p w14:paraId="57251BFC" w14:textId="77777777" w:rsidR="00FD0545" w:rsidRPr="00E13CE5" w:rsidRDefault="00FD0545" w:rsidP="00FD0545">
      <w:pPr>
        <w:rPr>
          <w:b/>
          <w:sz w:val="22"/>
          <w:szCs w:val="22"/>
        </w:rPr>
      </w:pPr>
      <w:r w:rsidRPr="00E13CE5">
        <w:rPr>
          <w:b/>
          <w:sz w:val="22"/>
          <w:szCs w:val="22"/>
        </w:rPr>
        <w:t>A habilitációs eljárás eljárási díjai</w:t>
      </w:r>
    </w:p>
    <w:p w14:paraId="45AF7407" w14:textId="77777777" w:rsidR="00FD0545" w:rsidRPr="00E13CE5" w:rsidRDefault="00FD0545" w:rsidP="00FD0545">
      <w:pPr>
        <w:widowControl w:val="0"/>
        <w:tabs>
          <w:tab w:val="left" w:pos="9781"/>
        </w:tabs>
        <w:spacing w:line="240" w:lineRule="atLeast"/>
        <w:ind w:right="-144"/>
        <w:jc w:val="both"/>
        <w:rPr>
          <w:sz w:val="22"/>
          <w:szCs w:val="22"/>
        </w:rPr>
      </w:pPr>
    </w:p>
    <w:p w14:paraId="77031671" w14:textId="77777777" w:rsidR="00FD0545" w:rsidRPr="00E13CE5" w:rsidRDefault="00FD0545" w:rsidP="00FD0545">
      <w:pPr>
        <w:widowControl w:val="0"/>
        <w:tabs>
          <w:tab w:val="left" w:pos="9781"/>
        </w:tabs>
        <w:spacing w:line="240" w:lineRule="atLeast"/>
        <w:ind w:right="-144"/>
        <w:jc w:val="both"/>
        <w:rPr>
          <w:sz w:val="22"/>
          <w:szCs w:val="22"/>
        </w:rPr>
      </w:pPr>
    </w:p>
    <w:p w14:paraId="4C80EE74" w14:textId="77777777" w:rsidR="00FD0545" w:rsidRPr="00E13CE5" w:rsidRDefault="00FD0545" w:rsidP="00FD0545">
      <w:pPr>
        <w:widowControl w:val="0"/>
        <w:tabs>
          <w:tab w:val="left" w:pos="9781"/>
        </w:tabs>
        <w:spacing w:line="240" w:lineRule="atLeast"/>
        <w:ind w:right="-144"/>
        <w:jc w:val="both"/>
        <w:rPr>
          <w:sz w:val="22"/>
          <w:szCs w:val="22"/>
        </w:rPr>
      </w:pPr>
      <w:r w:rsidRPr="00E13CE5">
        <w:rPr>
          <w:sz w:val="22"/>
          <w:szCs w:val="22"/>
        </w:rPr>
        <w:t>A habilitációs eljárásban az alábbi eljárási díjak alkalmazandók:</w:t>
      </w:r>
    </w:p>
    <w:p w14:paraId="0948A64B" w14:textId="77777777" w:rsidR="00FD0545" w:rsidRPr="00E13CE5" w:rsidRDefault="00FD0545" w:rsidP="00FD0545">
      <w:pPr>
        <w:widowControl w:val="0"/>
        <w:tabs>
          <w:tab w:val="left" w:pos="9781"/>
        </w:tabs>
        <w:spacing w:line="240" w:lineRule="atLeast"/>
        <w:ind w:right="-144"/>
        <w:jc w:val="both"/>
        <w:rPr>
          <w:sz w:val="22"/>
          <w:szCs w:val="22"/>
        </w:rPr>
      </w:pPr>
    </w:p>
    <w:p w14:paraId="43205008" w14:textId="77777777" w:rsidR="00FD0545" w:rsidRPr="00E13CE5" w:rsidRDefault="00FD0545" w:rsidP="00FD0545">
      <w:pPr>
        <w:widowControl w:val="0"/>
        <w:tabs>
          <w:tab w:val="left" w:pos="9781"/>
        </w:tabs>
        <w:spacing w:line="240" w:lineRule="atLeast"/>
        <w:ind w:left="748" w:right="-144"/>
        <w:jc w:val="both"/>
        <w:rPr>
          <w:sz w:val="22"/>
          <w:szCs w:val="22"/>
        </w:rPr>
      </w:pPr>
      <w:r w:rsidRPr="00E13CE5">
        <w:rPr>
          <w:sz w:val="22"/>
          <w:szCs w:val="22"/>
        </w:rPr>
        <w:t>a) A magyar állampolgár, amennyiben</w:t>
      </w:r>
    </w:p>
    <w:p w14:paraId="49AB1301" w14:textId="77777777" w:rsidR="00FD0545" w:rsidRPr="00E13CE5" w:rsidRDefault="00FD0545" w:rsidP="00F83E93">
      <w:pPr>
        <w:widowControl w:val="0"/>
        <w:numPr>
          <w:ilvl w:val="0"/>
          <w:numId w:val="141"/>
        </w:numPr>
        <w:tabs>
          <w:tab w:val="left" w:pos="9781"/>
        </w:tabs>
        <w:spacing w:line="240" w:lineRule="atLeast"/>
        <w:ind w:left="1122" w:right="-144" w:firstLine="0"/>
        <w:jc w:val="both"/>
        <w:rPr>
          <w:sz w:val="22"/>
          <w:szCs w:val="22"/>
        </w:rPr>
      </w:pPr>
      <w:r w:rsidRPr="00E13CE5">
        <w:rPr>
          <w:sz w:val="22"/>
          <w:szCs w:val="22"/>
        </w:rPr>
        <w:t>a PTE oktatója a mindenkori pótlékalap háromszorosát,</w:t>
      </w:r>
    </w:p>
    <w:p w14:paraId="4304EDDF" w14:textId="77777777" w:rsidR="00FD0545" w:rsidRPr="00E13CE5" w:rsidRDefault="00FD0545" w:rsidP="00F83E93">
      <w:pPr>
        <w:widowControl w:val="0"/>
        <w:numPr>
          <w:ilvl w:val="0"/>
          <w:numId w:val="141"/>
        </w:numPr>
        <w:tabs>
          <w:tab w:val="left" w:pos="9781"/>
        </w:tabs>
        <w:spacing w:line="240" w:lineRule="atLeast"/>
        <w:ind w:left="1122" w:right="-144" w:firstLine="0"/>
        <w:jc w:val="both"/>
        <w:rPr>
          <w:sz w:val="22"/>
          <w:szCs w:val="22"/>
        </w:rPr>
      </w:pPr>
      <w:r w:rsidRPr="00E13CE5">
        <w:rPr>
          <w:sz w:val="22"/>
          <w:szCs w:val="22"/>
        </w:rPr>
        <w:t xml:space="preserve">külső pályázó a mindenkori pótlékalap háromszorosát </w:t>
      </w:r>
    </w:p>
    <w:p w14:paraId="2F265C0E" w14:textId="77777777" w:rsidR="00FD0545" w:rsidRPr="00E13CE5" w:rsidRDefault="00FD0545" w:rsidP="00FD0545">
      <w:pPr>
        <w:widowControl w:val="0"/>
        <w:tabs>
          <w:tab w:val="left" w:pos="9781"/>
        </w:tabs>
        <w:spacing w:line="240" w:lineRule="atLeast"/>
        <w:ind w:left="561" w:right="-144"/>
        <w:jc w:val="both"/>
        <w:rPr>
          <w:sz w:val="22"/>
          <w:szCs w:val="22"/>
        </w:rPr>
      </w:pPr>
      <w:r w:rsidRPr="00E13CE5">
        <w:rPr>
          <w:sz w:val="22"/>
          <w:szCs w:val="22"/>
        </w:rPr>
        <w:t xml:space="preserve">köteles megfizetni. </w:t>
      </w:r>
    </w:p>
    <w:p w14:paraId="6DA648F8" w14:textId="77777777" w:rsidR="00FD0545" w:rsidRPr="00E13CE5" w:rsidRDefault="00FD0545" w:rsidP="00FD0545">
      <w:pPr>
        <w:widowControl w:val="0"/>
        <w:tabs>
          <w:tab w:val="left" w:pos="9781"/>
        </w:tabs>
        <w:spacing w:line="240" w:lineRule="atLeast"/>
        <w:ind w:right="-144"/>
        <w:jc w:val="both"/>
        <w:rPr>
          <w:sz w:val="22"/>
          <w:szCs w:val="22"/>
        </w:rPr>
      </w:pPr>
    </w:p>
    <w:p w14:paraId="1F4A41AA" w14:textId="77777777" w:rsidR="00FD0545" w:rsidRPr="00E13CE5" w:rsidRDefault="00FD0545" w:rsidP="00FD0545">
      <w:pPr>
        <w:widowControl w:val="0"/>
        <w:tabs>
          <w:tab w:val="left" w:pos="9781"/>
        </w:tabs>
        <w:spacing w:line="240" w:lineRule="atLeast"/>
        <w:ind w:left="748" w:right="-144"/>
        <w:jc w:val="both"/>
        <w:rPr>
          <w:sz w:val="22"/>
          <w:szCs w:val="22"/>
        </w:rPr>
      </w:pPr>
    </w:p>
    <w:p w14:paraId="7EC5DC10" w14:textId="77777777" w:rsidR="00FD0545" w:rsidRPr="00E13CE5" w:rsidRDefault="00FD0545" w:rsidP="00FD0545">
      <w:pPr>
        <w:widowControl w:val="0"/>
        <w:tabs>
          <w:tab w:val="left" w:pos="9781"/>
        </w:tabs>
        <w:spacing w:line="240" w:lineRule="atLeast"/>
        <w:ind w:left="748" w:right="-144"/>
        <w:jc w:val="both"/>
        <w:rPr>
          <w:sz w:val="22"/>
          <w:szCs w:val="22"/>
        </w:rPr>
      </w:pPr>
      <w:r w:rsidRPr="00E13CE5">
        <w:rPr>
          <w:sz w:val="22"/>
          <w:szCs w:val="22"/>
        </w:rPr>
        <w:t>b) A külföldi állampolgár a mindenkori pótlékalap hatszorosát köteles megfizetni.</w:t>
      </w:r>
    </w:p>
    <w:p w14:paraId="079852B1" w14:textId="77777777" w:rsidR="00FD0545" w:rsidRPr="00E13CE5" w:rsidRDefault="00FD0545" w:rsidP="00FD0545">
      <w:pPr>
        <w:widowControl w:val="0"/>
        <w:tabs>
          <w:tab w:val="left" w:pos="9781"/>
        </w:tabs>
        <w:spacing w:line="240" w:lineRule="atLeast"/>
        <w:ind w:right="-144"/>
        <w:jc w:val="both"/>
        <w:rPr>
          <w:sz w:val="22"/>
          <w:szCs w:val="22"/>
        </w:rPr>
      </w:pPr>
    </w:p>
    <w:p w14:paraId="79A913F5" w14:textId="77777777" w:rsidR="00FD0545" w:rsidRPr="00E13CE5" w:rsidRDefault="00FD0545" w:rsidP="00FD0545">
      <w:pPr>
        <w:widowControl w:val="0"/>
        <w:tabs>
          <w:tab w:val="left" w:pos="9781"/>
        </w:tabs>
        <w:spacing w:line="240" w:lineRule="atLeast"/>
        <w:ind w:right="-144"/>
        <w:jc w:val="both"/>
        <w:rPr>
          <w:sz w:val="22"/>
          <w:szCs w:val="22"/>
        </w:rPr>
      </w:pPr>
      <w:r w:rsidRPr="00E13CE5">
        <w:rPr>
          <w:sz w:val="22"/>
          <w:szCs w:val="22"/>
        </w:rPr>
        <w:t>A mindenkori pótlékalap alatt a Kjt.-</w:t>
      </w:r>
      <w:proofErr w:type="spellStart"/>
      <w:r w:rsidRPr="00E13CE5">
        <w:rPr>
          <w:sz w:val="22"/>
          <w:szCs w:val="22"/>
        </w:rPr>
        <w:t>ben</w:t>
      </w:r>
      <w:proofErr w:type="spellEnd"/>
      <w:r w:rsidRPr="00E13CE5">
        <w:rPr>
          <w:sz w:val="22"/>
          <w:szCs w:val="22"/>
        </w:rPr>
        <w:t xml:space="preserve"> illetménypótlékot kell érteni, melynek számítási alapját a mindenkori költségvetési törvény állapítja meg. </w:t>
      </w:r>
    </w:p>
    <w:p w14:paraId="666F9F07" w14:textId="77777777" w:rsidR="00FD0545" w:rsidRPr="00E13CE5" w:rsidRDefault="00FD0545" w:rsidP="00FD0545">
      <w:pPr>
        <w:tabs>
          <w:tab w:val="left" w:pos="9781"/>
        </w:tabs>
        <w:ind w:right="-144"/>
        <w:rPr>
          <w:sz w:val="22"/>
          <w:szCs w:val="22"/>
        </w:rPr>
      </w:pPr>
    </w:p>
    <w:p w14:paraId="6334C7A7" w14:textId="77777777" w:rsidR="00FD0545" w:rsidRPr="00E13CE5" w:rsidRDefault="00FD0545" w:rsidP="00FD0545">
      <w:pPr>
        <w:tabs>
          <w:tab w:val="left" w:pos="1701"/>
          <w:tab w:val="left" w:pos="9781"/>
        </w:tabs>
        <w:ind w:right="-144"/>
        <w:jc w:val="right"/>
        <w:rPr>
          <w:b/>
          <w:i/>
          <w:sz w:val="22"/>
          <w:szCs w:val="22"/>
        </w:rPr>
      </w:pPr>
    </w:p>
    <w:p w14:paraId="7ADC3206" w14:textId="77777777" w:rsidR="00FD0545" w:rsidRPr="00E13CE5" w:rsidRDefault="00FD0545" w:rsidP="00FD0545">
      <w:pPr>
        <w:pStyle w:val="Cmsor1"/>
        <w:rPr>
          <w:lang w:val="hu-HU"/>
        </w:rPr>
      </w:pPr>
      <w:r w:rsidRPr="00E13CE5">
        <w:br w:type="page"/>
      </w:r>
      <w:bookmarkStart w:id="412" w:name="_Toc432753659"/>
      <w:bookmarkStart w:id="413" w:name="_Toc444603593"/>
      <w:bookmarkStart w:id="414" w:name="_Toc21961987"/>
      <w:bookmarkStart w:id="415" w:name="_Toc58569595"/>
      <w:bookmarkStart w:id="416" w:name="_Toc445200851"/>
      <w:r w:rsidRPr="00E13CE5">
        <w:lastRenderedPageBreak/>
        <w:t>7. számú melléklet</w:t>
      </w:r>
      <w:bookmarkEnd w:id="412"/>
      <w:bookmarkEnd w:id="413"/>
      <w:bookmarkEnd w:id="414"/>
      <w:bookmarkEnd w:id="415"/>
      <w:r w:rsidRPr="00E13CE5">
        <w:rPr>
          <w:lang w:val="hu-HU"/>
        </w:rPr>
        <w:t xml:space="preserve"> </w:t>
      </w:r>
    </w:p>
    <w:bookmarkEnd w:id="416"/>
    <w:p w14:paraId="6C7800A5" w14:textId="77777777" w:rsidR="00FD0545" w:rsidRPr="00E13CE5" w:rsidRDefault="00FD0545" w:rsidP="00FD0545">
      <w:pPr>
        <w:jc w:val="center"/>
        <w:rPr>
          <w:sz w:val="22"/>
          <w:szCs w:val="22"/>
        </w:rPr>
      </w:pPr>
      <w:r w:rsidRPr="00E13CE5">
        <w:rPr>
          <w:sz w:val="22"/>
          <w:szCs w:val="22"/>
          <w:bdr w:val="single" w:sz="4" w:space="0" w:color="auto" w:shadow="1"/>
          <w:shd w:val="clear" w:color="auto" w:fill="B3B3B3"/>
        </w:rPr>
        <w:t>HABILITÁCIÓS OKLEVÉL</w:t>
      </w:r>
    </w:p>
    <w:p w14:paraId="52BDAC82" w14:textId="77777777" w:rsidR="00FD0545" w:rsidRPr="00E13CE5" w:rsidRDefault="00FD0545" w:rsidP="00FD0545">
      <w:pPr>
        <w:tabs>
          <w:tab w:val="left" w:pos="9781"/>
        </w:tabs>
        <w:ind w:right="-144"/>
        <w:jc w:val="center"/>
        <w:rPr>
          <w:i/>
          <w:sz w:val="22"/>
          <w:szCs w:val="22"/>
        </w:rPr>
      </w:pPr>
      <w:r w:rsidRPr="00E13CE5">
        <w:rPr>
          <w:i/>
          <w:sz w:val="22"/>
          <w:szCs w:val="22"/>
        </w:rPr>
        <w:t>(Minta)</w:t>
      </w:r>
    </w:p>
    <w:p w14:paraId="518FC6BA" w14:textId="77777777" w:rsidR="00FD0545" w:rsidRPr="00E13CE5" w:rsidRDefault="00FD0545" w:rsidP="00FD0545">
      <w:pPr>
        <w:tabs>
          <w:tab w:val="left" w:pos="9781"/>
        </w:tabs>
        <w:ind w:right="-144"/>
        <w:rPr>
          <w:sz w:val="22"/>
          <w:szCs w:val="22"/>
        </w:rPr>
      </w:pPr>
    </w:p>
    <w:p w14:paraId="13C79CB3" w14:textId="77777777" w:rsidR="00FD0545" w:rsidRPr="00E13CE5" w:rsidRDefault="00FD0545" w:rsidP="00FD0545">
      <w:pPr>
        <w:tabs>
          <w:tab w:val="left" w:pos="9781"/>
        </w:tabs>
        <w:ind w:right="-144"/>
        <w:jc w:val="center"/>
        <w:rPr>
          <w:sz w:val="22"/>
          <w:szCs w:val="22"/>
        </w:rPr>
      </w:pPr>
      <w:r w:rsidRPr="00E13CE5">
        <w:rPr>
          <w:sz w:val="22"/>
          <w:szCs w:val="22"/>
        </w:rPr>
        <w:t>(</w:t>
      </w:r>
      <w:proofErr w:type="spellStart"/>
      <w:r w:rsidRPr="00E13CE5">
        <w:rPr>
          <w:sz w:val="22"/>
          <w:szCs w:val="22"/>
        </w:rPr>
        <w:t>Decretum</w:t>
      </w:r>
      <w:proofErr w:type="spellEnd"/>
      <w:r w:rsidRPr="00E13CE5">
        <w:rPr>
          <w:sz w:val="22"/>
          <w:szCs w:val="22"/>
        </w:rPr>
        <w:t xml:space="preserve"> </w:t>
      </w:r>
      <w:proofErr w:type="spellStart"/>
      <w:r w:rsidRPr="00E13CE5">
        <w:rPr>
          <w:sz w:val="22"/>
          <w:szCs w:val="22"/>
        </w:rPr>
        <w:t>habilitationis</w:t>
      </w:r>
      <w:proofErr w:type="spellEnd"/>
      <w:r w:rsidRPr="00E13CE5">
        <w:rPr>
          <w:sz w:val="22"/>
          <w:szCs w:val="22"/>
        </w:rPr>
        <w:t>)</w:t>
      </w:r>
    </w:p>
    <w:p w14:paraId="6BD32B4F" w14:textId="77777777" w:rsidR="00FD0545" w:rsidRPr="00E13CE5" w:rsidRDefault="00FD0545" w:rsidP="00FD0545">
      <w:pPr>
        <w:tabs>
          <w:tab w:val="left" w:pos="9781"/>
        </w:tabs>
        <w:ind w:right="-144"/>
        <w:jc w:val="center"/>
        <w:rPr>
          <w:sz w:val="22"/>
          <w:szCs w:val="22"/>
        </w:rPr>
      </w:pPr>
    </w:p>
    <w:p w14:paraId="1F315CF4" w14:textId="77777777" w:rsidR="00FD0545" w:rsidRPr="00E13CE5" w:rsidRDefault="00FD0545" w:rsidP="00FD0545">
      <w:pPr>
        <w:tabs>
          <w:tab w:val="left" w:pos="9781"/>
        </w:tabs>
        <w:ind w:right="-144"/>
        <w:jc w:val="center"/>
        <w:rPr>
          <w:sz w:val="22"/>
          <w:szCs w:val="22"/>
        </w:rPr>
      </w:pPr>
      <w:r w:rsidRPr="00E13CE5">
        <w:rPr>
          <w:sz w:val="22"/>
          <w:szCs w:val="22"/>
        </w:rPr>
        <w:t>Mi, a Pécsi Tudományegyetem Rektora, valamint Egyetemi Habitusvizsgáló és Habilitációs Bizottsága köszöntjük az olvasót.</w:t>
      </w:r>
    </w:p>
    <w:p w14:paraId="43C7BBCE" w14:textId="77777777" w:rsidR="00FD0545" w:rsidRPr="00E13CE5" w:rsidRDefault="00FD0545" w:rsidP="00FD0545">
      <w:pPr>
        <w:tabs>
          <w:tab w:val="left" w:pos="9781"/>
        </w:tabs>
        <w:ind w:right="-144"/>
        <w:jc w:val="center"/>
        <w:rPr>
          <w:sz w:val="22"/>
          <w:szCs w:val="22"/>
        </w:rPr>
      </w:pPr>
      <w:r w:rsidRPr="00E13CE5">
        <w:rPr>
          <w:sz w:val="22"/>
          <w:szCs w:val="22"/>
        </w:rPr>
        <w:t>Ezennel hitelt érdemlő módon tudatjuk, hogy</w:t>
      </w:r>
    </w:p>
    <w:p w14:paraId="607CAC65" w14:textId="77777777" w:rsidR="00FD0545" w:rsidRPr="00E13CE5" w:rsidRDefault="00FD0545" w:rsidP="00FD0545">
      <w:pPr>
        <w:tabs>
          <w:tab w:val="left" w:pos="9781"/>
        </w:tabs>
        <w:ind w:right="-144"/>
        <w:jc w:val="center"/>
        <w:rPr>
          <w:sz w:val="22"/>
          <w:szCs w:val="22"/>
        </w:rPr>
      </w:pPr>
    </w:p>
    <w:p w14:paraId="29EE8160" w14:textId="77777777" w:rsidR="00FD0545" w:rsidRPr="00E13CE5" w:rsidRDefault="00FD0545" w:rsidP="00FD0545">
      <w:pPr>
        <w:rPr>
          <w:sz w:val="22"/>
          <w:szCs w:val="22"/>
        </w:rPr>
      </w:pPr>
      <w:r w:rsidRPr="00E13CE5">
        <w:rPr>
          <w:sz w:val="22"/>
          <w:szCs w:val="22"/>
        </w:rPr>
        <w:t>…………………………………………………</w:t>
      </w:r>
    </w:p>
    <w:p w14:paraId="3DE5FBD1" w14:textId="77777777" w:rsidR="00FD0545" w:rsidRPr="00E13CE5" w:rsidRDefault="00FD0545" w:rsidP="00FD0545">
      <w:pPr>
        <w:tabs>
          <w:tab w:val="left" w:pos="9781"/>
        </w:tabs>
        <w:ind w:right="-144"/>
        <w:jc w:val="center"/>
        <w:rPr>
          <w:i/>
          <w:sz w:val="22"/>
          <w:szCs w:val="22"/>
        </w:rPr>
      </w:pPr>
      <w:r w:rsidRPr="00E13CE5">
        <w:rPr>
          <w:i/>
          <w:sz w:val="22"/>
          <w:szCs w:val="22"/>
        </w:rPr>
        <w:t>(név)</w:t>
      </w:r>
    </w:p>
    <w:p w14:paraId="3AFA66C1" w14:textId="77777777" w:rsidR="00FD0545" w:rsidRPr="00E13CE5" w:rsidRDefault="00FD0545" w:rsidP="00FD0545">
      <w:pPr>
        <w:tabs>
          <w:tab w:val="left" w:pos="9781"/>
        </w:tabs>
        <w:ind w:right="-144"/>
        <w:jc w:val="center"/>
        <w:rPr>
          <w:sz w:val="22"/>
          <w:szCs w:val="22"/>
        </w:rPr>
      </w:pPr>
    </w:p>
    <w:p w14:paraId="3344CE2F" w14:textId="77777777" w:rsidR="00FD0545" w:rsidRPr="00E13CE5" w:rsidRDefault="00FD0545" w:rsidP="00FD0545">
      <w:pPr>
        <w:tabs>
          <w:tab w:val="left" w:pos="9781"/>
        </w:tabs>
        <w:ind w:right="-144"/>
        <w:jc w:val="center"/>
        <w:rPr>
          <w:i/>
          <w:sz w:val="22"/>
          <w:szCs w:val="22"/>
        </w:rPr>
      </w:pPr>
      <w:r w:rsidRPr="00E13CE5">
        <w:rPr>
          <w:sz w:val="22"/>
          <w:szCs w:val="22"/>
        </w:rPr>
        <w:t xml:space="preserve">doktor </w:t>
      </w:r>
      <w:r w:rsidRPr="00E13CE5">
        <w:rPr>
          <w:i/>
          <w:sz w:val="22"/>
          <w:szCs w:val="22"/>
        </w:rPr>
        <w:t>(</w:t>
      </w:r>
      <w:proofErr w:type="spellStart"/>
      <w:r w:rsidRPr="00E13CE5">
        <w:rPr>
          <w:i/>
          <w:sz w:val="22"/>
          <w:szCs w:val="22"/>
        </w:rPr>
        <w:t>Ph.D</w:t>
      </w:r>
      <w:proofErr w:type="spellEnd"/>
      <w:r w:rsidRPr="00E13CE5">
        <w:rPr>
          <w:i/>
          <w:sz w:val="22"/>
          <w:szCs w:val="22"/>
        </w:rPr>
        <w:t>)</w:t>
      </w:r>
      <w:r w:rsidRPr="00E13CE5">
        <w:rPr>
          <w:sz w:val="22"/>
          <w:szCs w:val="22"/>
        </w:rPr>
        <w:t xml:space="preserve"> </w:t>
      </w:r>
      <w:r w:rsidRPr="00E13CE5">
        <w:rPr>
          <w:i/>
          <w:sz w:val="22"/>
          <w:szCs w:val="22"/>
        </w:rPr>
        <w:t>urat/hölgyet,</w:t>
      </w:r>
    </w:p>
    <w:p w14:paraId="71A6B345" w14:textId="77777777" w:rsidR="00FD0545" w:rsidRPr="00E13CE5" w:rsidRDefault="00FD0545" w:rsidP="00FD0545">
      <w:pPr>
        <w:tabs>
          <w:tab w:val="left" w:pos="9781"/>
        </w:tabs>
        <w:ind w:right="-144"/>
        <w:jc w:val="center"/>
        <w:rPr>
          <w:sz w:val="22"/>
          <w:szCs w:val="22"/>
        </w:rPr>
      </w:pPr>
    </w:p>
    <w:p w14:paraId="233841DF" w14:textId="77777777" w:rsidR="00FD0545" w:rsidRPr="00E13CE5" w:rsidRDefault="00FD0545" w:rsidP="00FD0545">
      <w:pPr>
        <w:tabs>
          <w:tab w:val="left" w:pos="9781"/>
        </w:tabs>
        <w:ind w:right="-144"/>
        <w:jc w:val="center"/>
        <w:rPr>
          <w:sz w:val="22"/>
          <w:szCs w:val="22"/>
        </w:rPr>
      </w:pPr>
      <w:r w:rsidRPr="00E13CE5">
        <w:rPr>
          <w:sz w:val="22"/>
          <w:szCs w:val="22"/>
        </w:rPr>
        <w:t>aki ……….. helységben az ……...-ik esztendő ……….. havának ……… ik napján született,</w:t>
      </w:r>
    </w:p>
    <w:p w14:paraId="4043DFC1" w14:textId="77777777" w:rsidR="00FD0545" w:rsidRPr="00E13CE5" w:rsidRDefault="00FD0545" w:rsidP="00FD0545">
      <w:pPr>
        <w:tabs>
          <w:tab w:val="left" w:pos="9781"/>
        </w:tabs>
        <w:ind w:right="-144"/>
        <w:jc w:val="center"/>
        <w:rPr>
          <w:sz w:val="22"/>
          <w:szCs w:val="22"/>
        </w:rPr>
      </w:pPr>
      <w:r w:rsidRPr="00E13CE5">
        <w:rPr>
          <w:sz w:val="22"/>
          <w:szCs w:val="22"/>
        </w:rPr>
        <w:t>a(z) ………………. (egyetemen) az ………évben ……………. számú oklevelet szerzett, majd</w:t>
      </w:r>
    </w:p>
    <w:p w14:paraId="06EBBD7E" w14:textId="77777777" w:rsidR="00FD0545" w:rsidRPr="00E13CE5" w:rsidRDefault="00FD0545" w:rsidP="00FD0545">
      <w:pPr>
        <w:tabs>
          <w:tab w:val="left" w:pos="9781"/>
        </w:tabs>
        <w:ind w:right="-144"/>
        <w:jc w:val="center"/>
        <w:rPr>
          <w:sz w:val="22"/>
          <w:szCs w:val="22"/>
        </w:rPr>
      </w:pPr>
      <w:r w:rsidRPr="00E13CE5">
        <w:rPr>
          <w:sz w:val="22"/>
          <w:szCs w:val="22"/>
        </w:rPr>
        <w:t>…….-</w:t>
      </w:r>
      <w:proofErr w:type="spellStart"/>
      <w:r w:rsidRPr="00E13CE5">
        <w:rPr>
          <w:sz w:val="22"/>
          <w:szCs w:val="22"/>
        </w:rPr>
        <w:t>ben</w:t>
      </w:r>
      <w:proofErr w:type="spellEnd"/>
      <w:r w:rsidRPr="00E13CE5">
        <w:rPr>
          <w:sz w:val="22"/>
          <w:szCs w:val="22"/>
        </w:rPr>
        <w:t xml:space="preserve"> kandidátusi/</w:t>
      </w:r>
      <w:proofErr w:type="spellStart"/>
      <w:r w:rsidRPr="00E13CE5">
        <w:rPr>
          <w:sz w:val="22"/>
          <w:szCs w:val="22"/>
        </w:rPr>
        <w:t>Ph.D</w:t>
      </w:r>
      <w:proofErr w:type="spellEnd"/>
      <w:r w:rsidRPr="00E13CE5">
        <w:rPr>
          <w:sz w:val="22"/>
          <w:szCs w:val="22"/>
        </w:rPr>
        <w:t xml:space="preserve"> oklevelet nyert el, aki a Pécsi Tudományegyetemen oktatói és előadói képességét az Egyetem foglalkoztatási követelményrendszerében, valamint a…Kar Habilitációs Szabályzatában megkívánt módon minden kétséget kizáró módon bizonyította, a törvényben </w:t>
      </w:r>
      <w:proofErr w:type="spellStart"/>
      <w:r w:rsidRPr="00E13CE5">
        <w:rPr>
          <w:sz w:val="22"/>
          <w:szCs w:val="22"/>
        </w:rPr>
        <w:t>ránkruházott</w:t>
      </w:r>
      <w:proofErr w:type="spellEnd"/>
      <w:r w:rsidRPr="00E13CE5">
        <w:rPr>
          <w:sz w:val="22"/>
          <w:szCs w:val="22"/>
        </w:rPr>
        <w:t xml:space="preserve"> hatalomnál fogva a mai napon</w:t>
      </w:r>
    </w:p>
    <w:p w14:paraId="1CD13E1A" w14:textId="77777777" w:rsidR="00FD0545" w:rsidRPr="00E13CE5" w:rsidRDefault="00FD0545" w:rsidP="00FD0545">
      <w:pPr>
        <w:tabs>
          <w:tab w:val="left" w:pos="9781"/>
        </w:tabs>
        <w:ind w:right="-144"/>
        <w:jc w:val="center"/>
        <w:rPr>
          <w:sz w:val="22"/>
          <w:szCs w:val="22"/>
        </w:rPr>
      </w:pPr>
    </w:p>
    <w:p w14:paraId="22482F2F" w14:textId="77777777" w:rsidR="00FD0545" w:rsidRPr="00E13CE5" w:rsidRDefault="00FD0545" w:rsidP="00FD0545">
      <w:pPr>
        <w:tabs>
          <w:tab w:val="left" w:pos="9781"/>
        </w:tabs>
        <w:ind w:right="-144"/>
        <w:jc w:val="center"/>
        <w:rPr>
          <w:b/>
          <w:sz w:val="22"/>
          <w:szCs w:val="22"/>
        </w:rPr>
      </w:pPr>
      <w:r w:rsidRPr="00E13CE5">
        <w:rPr>
          <w:b/>
          <w:sz w:val="22"/>
          <w:szCs w:val="22"/>
        </w:rPr>
        <w:t>habilitált doktorrá (Dr. habil)</w:t>
      </w:r>
    </w:p>
    <w:p w14:paraId="4646D958" w14:textId="77777777" w:rsidR="00FD0545" w:rsidRPr="00E13CE5" w:rsidRDefault="00FD0545" w:rsidP="00FD0545">
      <w:pPr>
        <w:tabs>
          <w:tab w:val="left" w:pos="9781"/>
        </w:tabs>
        <w:ind w:right="-144"/>
        <w:jc w:val="center"/>
        <w:rPr>
          <w:b/>
          <w:sz w:val="22"/>
          <w:szCs w:val="22"/>
        </w:rPr>
      </w:pPr>
    </w:p>
    <w:p w14:paraId="270CD272" w14:textId="77777777" w:rsidR="00FD0545" w:rsidRPr="00E13CE5" w:rsidRDefault="00FD0545" w:rsidP="00FD0545">
      <w:pPr>
        <w:tabs>
          <w:tab w:val="left" w:pos="9781"/>
        </w:tabs>
        <w:ind w:right="-144"/>
        <w:jc w:val="center"/>
        <w:rPr>
          <w:sz w:val="22"/>
          <w:szCs w:val="22"/>
        </w:rPr>
      </w:pPr>
      <w:r w:rsidRPr="00E13CE5">
        <w:rPr>
          <w:sz w:val="22"/>
          <w:szCs w:val="22"/>
        </w:rPr>
        <w:t>nyilvánítjuk, és egyben a(z) ………………….(tudomány) tudományágban</w:t>
      </w:r>
    </w:p>
    <w:p w14:paraId="31F23236" w14:textId="77777777" w:rsidR="00FD0545" w:rsidRPr="00E13CE5" w:rsidRDefault="00FD0545" w:rsidP="00FD0545">
      <w:pPr>
        <w:tabs>
          <w:tab w:val="left" w:pos="9781"/>
        </w:tabs>
        <w:ind w:right="-144"/>
        <w:jc w:val="center"/>
        <w:rPr>
          <w:sz w:val="22"/>
          <w:szCs w:val="22"/>
        </w:rPr>
      </w:pPr>
      <w:r w:rsidRPr="00E13CE5">
        <w:rPr>
          <w:sz w:val="22"/>
          <w:szCs w:val="22"/>
        </w:rPr>
        <w:t>önálló egyetemi előadások tartásának jogával (</w:t>
      </w:r>
      <w:proofErr w:type="spellStart"/>
      <w:r w:rsidRPr="00E13CE5">
        <w:rPr>
          <w:sz w:val="22"/>
          <w:szCs w:val="22"/>
        </w:rPr>
        <w:t>venia</w:t>
      </w:r>
      <w:proofErr w:type="spellEnd"/>
      <w:r w:rsidRPr="00E13CE5">
        <w:rPr>
          <w:sz w:val="22"/>
          <w:szCs w:val="22"/>
        </w:rPr>
        <w:t xml:space="preserve"> legendi) ruházzuk fel.</w:t>
      </w:r>
    </w:p>
    <w:p w14:paraId="337D1071" w14:textId="77777777" w:rsidR="00FD0545" w:rsidRPr="00E13CE5" w:rsidRDefault="00FD0545" w:rsidP="00FD0545">
      <w:pPr>
        <w:tabs>
          <w:tab w:val="left" w:pos="9781"/>
        </w:tabs>
        <w:ind w:right="-144"/>
        <w:jc w:val="center"/>
        <w:rPr>
          <w:sz w:val="22"/>
          <w:szCs w:val="22"/>
        </w:rPr>
      </w:pPr>
    </w:p>
    <w:p w14:paraId="5FEC9C2F" w14:textId="77777777" w:rsidR="00FD0545" w:rsidRPr="00E13CE5" w:rsidRDefault="00FD0545" w:rsidP="00FD0545">
      <w:pPr>
        <w:tabs>
          <w:tab w:val="left" w:pos="9781"/>
        </w:tabs>
        <w:ind w:right="-144"/>
        <w:jc w:val="center"/>
        <w:rPr>
          <w:sz w:val="22"/>
          <w:szCs w:val="22"/>
        </w:rPr>
      </w:pPr>
      <w:r w:rsidRPr="00E13CE5">
        <w:rPr>
          <w:sz w:val="22"/>
          <w:szCs w:val="22"/>
        </w:rPr>
        <w:t xml:space="preserve">Fentiek tanúsítására jelen oklevelet a Pécsi Tudományegyetem pecsétjével és </w:t>
      </w:r>
      <w:proofErr w:type="spellStart"/>
      <w:r w:rsidRPr="00E13CE5">
        <w:rPr>
          <w:sz w:val="22"/>
          <w:szCs w:val="22"/>
        </w:rPr>
        <w:t>sajátkezű</w:t>
      </w:r>
      <w:proofErr w:type="spellEnd"/>
      <w:r w:rsidRPr="00E13CE5">
        <w:rPr>
          <w:sz w:val="22"/>
          <w:szCs w:val="22"/>
        </w:rPr>
        <w:t xml:space="preserve"> aláírásunkkal erősítjük meg.</w:t>
      </w:r>
    </w:p>
    <w:p w14:paraId="1330AED0" w14:textId="77777777" w:rsidR="00FD0545" w:rsidRPr="00E13CE5" w:rsidRDefault="00FD0545" w:rsidP="00FD0545">
      <w:pPr>
        <w:tabs>
          <w:tab w:val="left" w:pos="9781"/>
        </w:tabs>
        <w:ind w:right="-144"/>
        <w:jc w:val="center"/>
        <w:rPr>
          <w:sz w:val="22"/>
          <w:szCs w:val="22"/>
        </w:rPr>
      </w:pPr>
    </w:p>
    <w:p w14:paraId="4DAF1F14" w14:textId="77777777" w:rsidR="00FD0545" w:rsidRPr="00E13CE5" w:rsidRDefault="00FD0545" w:rsidP="00FD0545">
      <w:pPr>
        <w:tabs>
          <w:tab w:val="left" w:pos="9781"/>
        </w:tabs>
        <w:ind w:right="-144"/>
        <w:jc w:val="center"/>
        <w:rPr>
          <w:sz w:val="22"/>
          <w:szCs w:val="22"/>
        </w:rPr>
      </w:pPr>
      <w:r w:rsidRPr="00E13CE5">
        <w:rPr>
          <w:sz w:val="22"/>
          <w:szCs w:val="22"/>
        </w:rPr>
        <w:t>Kelt Pécsett, a …………..-</w:t>
      </w:r>
      <w:proofErr w:type="spellStart"/>
      <w:r w:rsidRPr="00E13CE5">
        <w:rPr>
          <w:sz w:val="22"/>
          <w:szCs w:val="22"/>
        </w:rPr>
        <w:t>dik</w:t>
      </w:r>
      <w:proofErr w:type="spellEnd"/>
      <w:r w:rsidRPr="00E13CE5">
        <w:rPr>
          <w:sz w:val="22"/>
          <w:szCs w:val="22"/>
        </w:rPr>
        <w:t xml:space="preserve"> esztendő …………havának ………….... napján.</w:t>
      </w:r>
    </w:p>
    <w:p w14:paraId="524820F9" w14:textId="77777777" w:rsidR="00FD0545" w:rsidRPr="00E13CE5" w:rsidRDefault="00FD0545" w:rsidP="00FD0545">
      <w:pPr>
        <w:tabs>
          <w:tab w:val="left" w:pos="9781"/>
        </w:tabs>
        <w:ind w:right="-144"/>
        <w:jc w:val="center"/>
        <w:rPr>
          <w:sz w:val="22"/>
          <w:szCs w:val="22"/>
        </w:rPr>
      </w:pPr>
    </w:p>
    <w:p w14:paraId="3425E113" w14:textId="77777777" w:rsidR="00FD0545" w:rsidRPr="00E13CE5" w:rsidRDefault="00FD0545" w:rsidP="00FD0545">
      <w:pPr>
        <w:tabs>
          <w:tab w:val="left" w:pos="9781"/>
        </w:tabs>
        <w:ind w:right="-144"/>
        <w:jc w:val="center"/>
        <w:rPr>
          <w:sz w:val="22"/>
          <w:szCs w:val="22"/>
        </w:rPr>
      </w:pPr>
    </w:p>
    <w:p w14:paraId="2C386FF8" w14:textId="77777777" w:rsidR="00FD0545" w:rsidRPr="00E13CE5" w:rsidRDefault="00FD0545" w:rsidP="00FD0545">
      <w:pPr>
        <w:tabs>
          <w:tab w:val="left" w:pos="9781"/>
        </w:tabs>
        <w:ind w:right="-144"/>
        <w:jc w:val="center"/>
        <w:rPr>
          <w:sz w:val="22"/>
          <w:szCs w:val="22"/>
        </w:rPr>
      </w:pPr>
    </w:p>
    <w:p w14:paraId="0C2C3D50" w14:textId="77777777" w:rsidR="00FD0545" w:rsidRPr="00E13CE5" w:rsidRDefault="00FD0545" w:rsidP="00FD0545">
      <w:pPr>
        <w:tabs>
          <w:tab w:val="left" w:pos="9781"/>
        </w:tabs>
        <w:ind w:right="-144"/>
        <w:jc w:val="center"/>
        <w:rPr>
          <w:sz w:val="22"/>
          <w:szCs w:val="22"/>
        </w:rPr>
      </w:pPr>
    </w:p>
    <w:p w14:paraId="1838CCBA" w14:textId="77777777" w:rsidR="00FD0545" w:rsidRPr="00E13CE5" w:rsidRDefault="00FD0545" w:rsidP="00FD0545">
      <w:pPr>
        <w:tabs>
          <w:tab w:val="left" w:pos="9781"/>
        </w:tabs>
        <w:ind w:right="-144"/>
        <w:jc w:val="center"/>
        <w:rPr>
          <w:sz w:val="22"/>
          <w:szCs w:val="22"/>
        </w:rPr>
      </w:pPr>
    </w:p>
    <w:p w14:paraId="5612CAEB" w14:textId="77777777" w:rsidR="00FD0545" w:rsidRPr="00E13CE5" w:rsidRDefault="00FD0545" w:rsidP="00FD0545">
      <w:pPr>
        <w:tabs>
          <w:tab w:val="left" w:pos="9781"/>
        </w:tabs>
        <w:ind w:left="708" w:right="-144"/>
        <w:rPr>
          <w:sz w:val="22"/>
          <w:szCs w:val="22"/>
        </w:rPr>
      </w:pPr>
      <w:r w:rsidRPr="00E13CE5">
        <w:rPr>
          <w:sz w:val="22"/>
          <w:szCs w:val="22"/>
        </w:rPr>
        <w:t>………………………………                                    …………………………………..</w:t>
      </w:r>
    </w:p>
    <w:p w14:paraId="29FF80EC" w14:textId="77777777" w:rsidR="00FD0545" w:rsidRPr="00E13CE5" w:rsidRDefault="00FD0545" w:rsidP="00FD0545">
      <w:pPr>
        <w:tabs>
          <w:tab w:val="left" w:pos="9781"/>
        </w:tabs>
        <w:ind w:left="708" w:right="-144"/>
        <w:rPr>
          <w:sz w:val="22"/>
          <w:szCs w:val="22"/>
        </w:rPr>
      </w:pPr>
      <w:r w:rsidRPr="00E13CE5">
        <w:rPr>
          <w:sz w:val="22"/>
          <w:szCs w:val="22"/>
        </w:rPr>
        <w:t>az EHHB elnöke                                                              a Pécsi Tudományegyetem</w:t>
      </w:r>
    </w:p>
    <w:p w14:paraId="4A01B89F" w14:textId="77777777" w:rsidR="00FD0545" w:rsidRPr="00E13CE5" w:rsidRDefault="00FD0545" w:rsidP="00FD0545">
      <w:pPr>
        <w:tabs>
          <w:tab w:val="left" w:pos="9781"/>
        </w:tabs>
        <w:ind w:left="6372" w:right="-144"/>
        <w:rPr>
          <w:sz w:val="22"/>
          <w:szCs w:val="22"/>
        </w:rPr>
      </w:pPr>
      <w:r w:rsidRPr="00E13CE5">
        <w:rPr>
          <w:sz w:val="22"/>
          <w:szCs w:val="22"/>
        </w:rPr>
        <w:t>rektora</w:t>
      </w:r>
    </w:p>
    <w:p w14:paraId="3F149244" w14:textId="77777777" w:rsidR="00FD0545" w:rsidRPr="00E13CE5" w:rsidRDefault="00FD0545" w:rsidP="00FD0545">
      <w:pPr>
        <w:tabs>
          <w:tab w:val="left" w:pos="9781"/>
        </w:tabs>
        <w:ind w:right="-144"/>
        <w:jc w:val="center"/>
        <w:rPr>
          <w:sz w:val="22"/>
          <w:szCs w:val="22"/>
        </w:rPr>
      </w:pPr>
    </w:p>
    <w:p w14:paraId="133C00C4" w14:textId="77777777" w:rsidR="00FD0545" w:rsidRPr="00E13CE5" w:rsidRDefault="00FD0545" w:rsidP="00FD0545">
      <w:pPr>
        <w:tabs>
          <w:tab w:val="left" w:pos="9781"/>
        </w:tabs>
        <w:ind w:right="-144"/>
        <w:rPr>
          <w:sz w:val="22"/>
          <w:szCs w:val="22"/>
        </w:rPr>
      </w:pPr>
    </w:p>
    <w:p w14:paraId="7FF60C4E" w14:textId="77777777" w:rsidR="00FD0545" w:rsidRPr="00E13CE5" w:rsidRDefault="00FD0545" w:rsidP="00FD0545">
      <w:pPr>
        <w:pStyle w:val="Cmsor1"/>
      </w:pPr>
      <w:r w:rsidRPr="00E13CE5">
        <w:br w:type="page"/>
      </w:r>
      <w:bookmarkStart w:id="417" w:name="_Toc432753660"/>
      <w:bookmarkStart w:id="418" w:name="_Toc21961988"/>
      <w:bookmarkStart w:id="419" w:name="_Toc58569596"/>
      <w:bookmarkStart w:id="420" w:name="_Toc445200852"/>
      <w:r w:rsidRPr="00E13CE5">
        <w:lastRenderedPageBreak/>
        <w:t>8. számú melléklet</w:t>
      </w:r>
      <w:bookmarkEnd w:id="417"/>
      <w:bookmarkEnd w:id="418"/>
      <w:bookmarkEnd w:id="419"/>
      <w:r w:rsidRPr="00E13CE5">
        <w:t xml:space="preserve"> </w:t>
      </w:r>
    </w:p>
    <w:bookmarkEnd w:id="420"/>
    <w:p w14:paraId="1D4319E1" w14:textId="77777777" w:rsidR="00FD0545" w:rsidRPr="00E13CE5" w:rsidRDefault="00FD0545" w:rsidP="00FD0545">
      <w:pPr>
        <w:jc w:val="center"/>
      </w:pPr>
    </w:p>
    <w:p w14:paraId="324484DC" w14:textId="77777777" w:rsidR="00FD0545" w:rsidRPr="00E13CE5" w:rsidRDefault="00FD0545" w:rsidP="00FD0545">
      <w:pPr>
        <w:pStyle w:val="Cmsor1"/>
        <w:rPr>
          <w:b w:val="0"/>
          <w:i/>
        </w:rPr>
      </w:pPr>
    </w:p>
    <w:tbl>
      <w:tblPr>
        <w:tblW w:w="10395" w:type="dxa"/>
        <w:tblCellMar>
          <w:left w:w="30" w:type="dxa"/>
          <w:right w:w="30" w:type="dxa"/>
        </w:tblCellMar>
        <w:tblLook w:val="0000" w:firstRow="0" w:lastRow="0" w:firstColumn="0" w:lastColumn="0" w:noHBand="0" w:noVBand="0"/>
      </w:tblPr>
      <w:tblGrid>
        <w:gridCol w:w="30"/>
        <w:gridCol w:w="1547"/>
        <w:gridCol w:w="353"/>
        <w:gridCol w:w="4245"/>
        <w:gridCol w:w="4220"/>
      </w:tblGrid>
      <w:tr w:rsidR="00FD0545" w:rsidRPr="00E13CE5" w14:paraId="515C7847" w14:textId="77777777" w:rsidTr="00026782">
        <w:trPr>
          <w:cantSplit/>
          <w:trHeight w:val="284"/>
        </w:trPr>
        <w:tc>
          <w:tcPr>
            <w:tcW w:w="9380" w:type="dxa"/>
            <w:gridSpan w:val="5"/>
            <w:tcBorders>
              <w:top w:val="single" w:sz="4" w:space="0" w:color="auto"/>
              <w:left w:val="single" w:sz="4" w:space="0" w:color="auto"/>
              <w:bottom w:val="single" w:sz="4" w:space="0" w:color="auto"/>
              <w:right w:val="single" w:sz="4" w:space="0" w:color="auto"/>
            </w:tcBorders>
            <w:shd w:val="clear" w:color="auto" w:fill="B3B3B3"/>
          </w:tcPr>
          <w:p w14:paraId="09A9C7A3" w14:textId="77777777" w:rsidR="00FD0545" w:rsidRPr="00E13CE5" w:rsidRDefault="00FD0545" w:rsidP="00026782">
            <w:pPr>
              <w:jc w:val="center"/>
              <w:rPr>
                <w:b/>
              </w:rPr>
            </w:pPr>
            <w:r w:rsidRPr="00E13CE5">
              <w:rPr>
                <w:b/>
              </w:rPr>
              <w:t>Adatlap habilitációs oklevél kiállításához</w:t>
            </w:r>
          </w:p>
        </w:tc>
      </w:tr>
      <w:tr w:rsidR="00FD0545" w:rsidRPr="00E13CE5" w14:paraId="7C49C731" w14:textId="77777777" w:rsidTr="00026782">
        <w:trPr>
          <w:trHeight w:val="567"/>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7F213E"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Név:</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2B457B" w14:textId="77777777" w:rsidR="00FD0545" w:rsidRPr="00E13CE5" w:rsidRDefault="00FD0545" w:rsidP="00026782">
            <w:pPr>
              <w:pStyle w:val="Cmsor1"/>
              <w:rPr>
                <w:snapToGrid w:val="0"/>
              </w:rPr>
            </w:pPr>
          </w:p>
          <w:p w14:paraId="5A15401F" w14:textId="77777777" w:rsidR="00FD0545" w:rsidRPr="00E13CE5" w:rsidRDefault="00FD0545" w:rsidP="00026782">
            <w:pPr>
              <w:pStyle w:val="Cmsor1"/>
              <w:rPr>
                <w:snapToGrid w:val="0"/>
              </w:rPr>
            </w:pPr>
          </w:p>
        </w:tc>
      </w:tr>
      <w:tr w:rsidR="00FD0545" w:rsidRPr="00E13CE5" w14:paraId="7F8FDCBF" w14:textId="77777777" w:rsidTr="00026782">
        <w:trPr>
          <w:trHeight w:val="567"/>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6B8C27"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Születési hely:</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EC76A0" w14:textId="77777777" w:rsidR="00FD0545" w:rsidRPr="00E13CE5" w:rsidRDefault="00FD0545" w:rsidP="00026782">
            <w:pPr>
              <w:pStyle w:val="Cmsor1"/>
              <w:rPr>
                <w:snapToGrid w:val="0"/>
              </w:rPr>
            </w:pPr>
          </w:p>
        </w:tc>
      </w:tr>
      <w:tr w:rsidR="00FD0545" w:rsidRPr="00E13CE5" w14:paraId="116044DC" w14:textId="77777777" w:rsidTr="00026782">
        <w:trPr>
          <w:trHeight w:val="567"/>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1478B5"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Születési idő:</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679232" w14:textId="77777777" w:rsidR="00FD0545" w:rsidRPr="00E13CE5" w:rsidRDefault="00FD0545" w:rsidP="00026782">
            <w:pPr>
              <w:pStyle w:val="Cmsor1"/>
              <w:rPr>
                <w:snapToGrid w:val="0"/>
              </w:rPr>
            </w:pPr>
          </w:p>
        </w:tc>
      </w:tr>
      <w:tr w:rsidR="00FD0545" w:rsidRPr="00E13CE5" w14:paraId="497D0EBE" w14:textId="77777777" w:rsidTr="00026782">
        <w:trPr>
          <w:trHeight w:val="567"/>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3E6458"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Anyja neve:</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9C5531" w14:textId="77777777" w:rsidR="00FD0545" w:rsidRPr="00E13CE5" w:rsidRDefault="00FD0545" w:rsidP="00026782">
            <w:pPr>
              <w:pStyle w:val="Cmsor1"/>
              <w:rPr>
                <w:snapToGrid w:val="0"/>
              </w:rPr>
            </w:pPr>
          </w:p>
        </w:tc>
      </w:tr>
      <w:tr w:rsidR="00FD0545" w:rsidRPr="00E13CE5" w14:paraId="5DDA6E42" w14:textId="77777777" w:rsidTr="00026782">
        <w:trPr>
          <w:trHeight w:val="680"/>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AB75F9"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Állandó lakcím:</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D9C154" w14:textId="77777777" w:rsidR="00FD0545" w:rsidRPr="00E13CE5" w:rsidRDefault="00FD0545" w:rsidP="00026782">
            <w:pPr>
              <w:pStyle w:val="Cmsor1"/>
              <w:rPr>
                <w:snapToGrid w:val="0"/>
              </w:rPr>
            </w:pPr>
          </w:p>
        </w:tc>
      </w:tr>
      <w:tr w:rsidR="00FD0545" w:rsidRPr="00E13CE5" w14:paraId="572C123A" w14:textId="77777777" w:rsidTr="00026782">
        <w:trPr>
          <w:trHeight w:val="680"/>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C4C367"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Értesítési cím:</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A890FB2" w14:textId="77777777" w:rsidR="00FD0545" w:rsidRPr="00E13CE5" w:rsidRDefault="00FD0545" w:rsidP="00026782">
            <w:pPr>
              <w:pStyle w:val="Cmsor1"/>
              <w:rPr>
                <w:snapToGrid w:val="0"/>
              </w:rPr>
            </w:pPr>
          </w:p>
        </w:tc>
      </w:tr>
      <w:tr w:rsidR="00FD0545" w:rsidRPr="00E13CE5" w14:paraId="56A84608" w14:textId="77777777" w:rsidTr="00026782">
        <w:trPr>
          <w:trHeight w:val="567"/>
        </w:trPr>
        <w:tc>
          <w:tcPr>
            <w:tcW w:w="5079"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C430DB"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Az alap oklevelet kiállító intézmény:</w:t>
            </w:r>
          </w:p>
        </w:tc>
        <w:tc>
          <w:tcPr>
            <w:tcW w:w="4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1933015" w14:textId="77777777" w:rsidR="00FD0545" w:rsidRPr="00E13CE5" w:rsidRDefault="00FD0545" w:rsidP="00026782">
            <w:pPr>
              <w:pStyle w:val="Cmsor1"/>
              <w:rPr>
                <w:snapToGrid w:val="0"/>
              </w:rPr>
            </w:pPr>
          </w:p>
        </w:tc>
      </w:tr>
      <w:tr w:rsidR="00FD0545" w:rsidRPr="00E13CE5" w14:paraId="7E9BE8D0" w14:textId="77777777" w:rsidTr="00026782">
        <w:tblPrEx>
          <w:tblCellMar>
            <w:left w:w="0" w:type="dxa"/>
            <w:right w:w="0" w:type="dxa"/>
          </w:tblCellMar>
        </w:tblPrEx>
        <w:trPr>
          <w:gridBefore w:val="1"/>
          <w:gridAfter w:val="2"/>
          <w:wBefore w:w="30" w:type="dxa"/>
          <w:wAfter w:w="8630" w:type="dxa"/>
        </w:trPr>
        <w:tc>
          <w:tcPr>
            <w:tcW w:w="360" w:type="dxa"/>
          </w:tcPr>
          <w:p w14:paraId="109387C9" w14:textId="77777777" w:rsidR="00FD0545" w:rsidRPr="00E13CE5" w:rsidRDefault="00FD0545" w:rsidP="00026782">
            <w:pPr>
              <w:tabs>
                <w:tab w:val="left" w:pos="4833"/>
                <w:tab w:val="left" w:pos="9669"/>
                <w:tab w:val="left" w:pos="9781"/>
              </w:tabs>
              <w:ind w:right="-144"/>
              <w:rPr>
                <w:bCs/>
                <w:snapToGrid w:val="0"/>
              </w:rPr>
            </w:pPr>
            <w:r w:rsidRPr="00E13CE5">
              <w:rPr>
                <w:bCs/>
                <w:snapToGrid w:val="0"/>
              </w:rPr>
              <w:t>Alapvégzettség:</w:t>
            </w:r>
          </w:p>
        </w:tc>
        <w:tc>
          <w:tcPr>
            <w:tcW w:w="360" w:type="dxa"/>
          </w:tcPr>
          <w:p w14:paraId="06CCEC8F" w14:textId="77777777" w:rsidR="00FD0545" w:rsidRPr="00E13CE5" w:rsidRDefault="00FD0545" w:rsidP="00026782">
            <w:pPr>
              <w:pStyle w:val="Cmsor1"/>
              <w:rPr>
                <w:snapToGrid w:val="0"/>
              </w:rPr>
            </w:pPr>
          </w:p>
        </w:tc>
      </w:tr>
    </w:tbl>
    <w:p w14:paraId="3E3F5C9D" w14:textId="77777777" w:rsidR="00FD0545" w:rsidRPr="00E13CE5" w:rsidRDefault="00FD0545" w:rsidP="00FD0545">
      <w:pPr>
        <w:pStyle w:val="Cmsor1"/>
      </w:pPr>
    </w:p>
    <w:tbl>
      <w:tblPr>
        <w:tblW w:w="9627" w:type="dxa"/>
        <w:tblInd w:w="-70" w:type="dxa"/>
        <w:tblLayout w:type="fixed"/>
        <w:tblCellMar>
          <w:left w:w="0" w:type="dxa"/>
          <w:right w:w="0" w:type="dxa"/>
        </w:tblCellMar>
        <w:tblLook w:val="0000" w:firstRow="0" w:lastRow="0" w:firstColumn="0" w:lastColumn="0" w:noHBand="0" w:noVBand="0"/>
      </w:tblPr>
      <w:tblGrid>
        <w:gridCol w:w="124"/>
        <w:gridCol w:w="65"/>
        <w:gridCol w:w="15"/>
        <w:gridCol w:w="3686"/>
        <w:gridCol w:w="312"/>
        <w:gridCol w:w="1165"/>
        <w:gridCol w:w="3693"/>
        <w:gridCol w:w="80"/>
        <w:gridCol w:w="487"/>
      </w:tblGrid>
      <w:tr w:rsidR="00FD0545" w:rsidRPr="00E13CE5" w14:paraId="1BD7A38F" w14:textId="77777777" w:rsidTr="00026782">
        <w:trPr>
          <w:gridBefore w:val="2"/>
          <w:gridAfter w:val="4"/>
          <w:wBefore w:w="185" w:type="dxa"/>
          <w:wAfter w:w="5426" w:type="dxa"/>
          <w:trHeight w:val="271"/>
        </w:trPr>
        <w:tc>
          <w:tcPr>
            <w:tcW w:w="3703" w:type="dxa"/>
            <w:gridSpan w:val="2"/>
          </w:tcPr>
          <w:p w14:paraId="1FD0BFFD" w14:textId="77777777" w:rsidR="00FD0545" w:rsidRPr="00E13CE5" w:rsidRDefault="00FD0545" w:rsidP="00026782">
            <w:pPr>
              <w:tabs>
                <w:tab w:val="left" w:pos="4833"/>
                <w:tab w:val="left" w:pos="9669"/>
                <w:tab w:val="left" w:pos="9781"/>
              </w:tabs>
              <w:ind w:right="-144"/>
              <w:jc w:val="both"/>
              <w:rPr>
                <w:bCs/>
                <w:snapToGrid w:val="0"/>
              </w:rPr>
            </w:pPr>
            <w:r w:rsidRPr="00E13CE5">
              <w:rPr>
                <w:bCs/>
                <w:snapToGrid w:val="0"/>
              </w:rPr>
              <w:t>Az alapoklevél megszerzésének ideje:</w:t>
            </w:r>
          </w:p>
        </w:tc>
        <w:tc>
          <w:tcPr>
            <w:tcW w:w="313" w:type="dxa"/>
          </w:tcPr>
          <w:p w14:paraId="2662154B" w14:textId="77777777" w:rsidR="00FD0545" w:rsidRPr="00E13CE5" w:rsidRDefault="00FD0545" w:rsidP="00026782">
            <w:pPr>
              <w:tabs>
                <w:tab w:val="left" w:pos="4833"/>
                <w:tab w:val="left" w:pos="9669"/>
                <w:tab w:val="left" w:pos="9781"/>
              </w:tabs>
              <w:ind w:right="-144"/>
              <w:jc w:val="both"/>
              <w:rPr>
                <w:snapToGrid w:val="0"/>
              </w:rPr>
            </w:pPr>
          </w:p>
        </w:tc>
      </w:tr>
      <w:tr w:rsidR="00FD0545" w:rsidRPr="00E13CE5" w14:paraId="23A92C79" w14:textId="77777777" w:rsidTr="00026782">
        <w:tblPrEx>
          <w:tblCellMar>
            <w:left w:w="30" w:type="dxa"/>
            <w:right w:w="30" w:type="dxa"/>
          </w:tblCellMar>
        </w:tblPrEx>
        <w:trPr>
          <w:gridAfter w:val="2"/>
          <w:wAfter w:w="556" w:type="dxa"/>
          <w:trHeight w:val="392"/>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AA591A" w14:textId="77777777" w:rsidR="00FD0545" w:rsidRPr="00E13CE5" w:rsidRDefault="00FD0545" w:rsidP="00026782">
            <w:pPr>
              <w:tabs>
                <w:tab w:val="left" w:pos="4833"/>
                <w:tab w:val="left" w:pos="9669"/>
                <w:tab w:val="left" w:pos="9781"/>
              </w:tabs>
              <w:ind w:right="-144"/>
              <w:rPr>
                <w:bCs/>
                <w:snapToGrid w:val="0"/>
              </w:rPr>
            </w:pPr>
            <w:proofErr w:type="spellStart"/>
            <w:r w:rsidRPr="00E13CE5">
              <w:rPr>
                <w:bCs/>
                <w:snapToGrid w:val="0"/>
              </w:rPr>
              <w:t>Ph.D</w:t>
            </w:r>
            <w:proofErr w:type="spellEnd"/>
            <w:r w:rsidRPr="00E13CE5">
              <w:rPr>
                <w:bCs/>
                <w:snapToGrid w:val="0"/>
              </w:rPr>
              <w:t xml:space="preserve"> oklevél megszerzésének ideje:</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28FE1B" w14:textId="77777777" w:rsidR="00FD0545" w:rsidRPr="00E13CE5" w:rsidRDefault="00FD0545" w:rsidP="00026782">
            <w:pPr>
              <w:pStyle w:val="Cmsor1"/>
              <w:rPr>
                <w:snapToGrid w:val="0"/>
              </w:rPr>
            </w:pPr>
          </w:p>
        </w:tc>
      </w:tr>
      <w:tr w:rsidR="00FD0545" w:rsidRPr="00E13CE5" w14:paraId="18AE3813" w14:textId="77777777" w:rsidTr="00026782">
        <w:tblPrEx>
          <w:tblCellMar>
            <w:left w:w="30" w:type="dxa"/>
            <w:right w:w="30" w:type="dxa"/>
          </w:tblCellMar>
        </w:tblPrEx>
        <w:trPr>
          <w:gridAfter w:val="2"/>
          <w:wAfter w:w="556" w:type="dxa"/>
          <w:trHeight w:val="392"/>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1BEF8E" w14:textId="77777777" w:rsidR="00FD0545" w:rsidRPr="00E13CE5" w:rsidRDefault="00FD0545" w:rsidP="00026782">
            <w:pPr>
              <w:tabs>
                <w:tab w:val="left" w:pos="4253"/>
                <w:tab w:val="left" w:pos="9102"/>
                <w:tab w:val="left" w:pos="9781"/>
              </w:tabs>
              <w:ind w:right="-144"/>
              <w:rPr>
                <w:bCs/>
                <w:snapToGrid w:val="0"/>
              </w:rPr>
            </w:pPr>
            <w:r w:rsidRPr="00E13CE5">
              <w:rPr>
                <w:bCs/>
                <w:snapToGrid w:val="0"/>
              </w:rPr>
              <w:t>Kandidátusi oklevél megszerzésének ideje:</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C1ED02" w14:textId="77777777" w:rsidR="00FD0545" w:rsidRPr="00E13CE5" w:rsidRDefault="00FD0545" w:rsidP="00026782">
            <w:pPr>
              <w:pStyle w:val="Cmsor1"/>
              <w:rPr>
                <w:snapToGrid w:val="0"/>
              </w:rPr>
            </w:pPr>
          </w:p>
        </w:tc>
      </w:tr>
      <w:tr w:rsidR="00FD0545" w:rsidRPr="00E13CE5" w14:paraId="59F16D3B" w14:textId="77777777" w:rsidTr="00026782">
        <w:tblPrEx>
          <w:tblCellMar>
            <w:left w:w="30" w:type="dxa"/>
            <w:right w:w="30" w:type="dxa"/>
          </w:tblCellMar>
        </w:tblPrEx>
        <w:trPr>
          <w:gridAfter w:val="2"/>
          <w:wAfter w:w="556" w:type="dxa"/>
          <w:trHeight w:val="392"/>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A9FC47" w14:textId="77777777" w:rsidR="00FD0545" w:rsidRPr="00E13CE5" w:rsidRDefault="00FD0545" w:rsidP="00026782">
            <w:pPr>
              <w:tabs>
                <w:tab w:val="left" w:pos="4253"/>
                <w:tab w:val="left" w:pos="9102"/>
                <w:tab w:val="left" w:pos="9781"/>
              </w:tabs>
              <w:ind w:right="-144"/>
              <w:rPr>
                <w:bCs/>
                <w:snapToGrid w:val="0"/>
              </w:rPr>
            </w:pPr>
            <w:proofErr w:type="spellStart"/>
            <w:r w:rsidRPr="00E13CE5">
              <w:rPr>
                <w:bCs/>
                <w:snapToGrid w:val="0"/>
              </w:rPr>
              <w:t>DSc</w:t>
            </w:r>
            <w:proofErr w:type="spellEnd"/>
            <w:r w:rsidRPr="00E13CE5">
              <w:rPr>
                <w:bCs/>
                <w:snapToGrid w:val="0"/>
              </w:rPr>
              <w:t xml:space="preserve"> fokozat megszerzésének ideje:</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4025A9" w14:textId="77777777" w:rsidR="00FD0545" w:rsidRPr="00E13CE5" w:rsidRDefault="00FD0545" w:rsidP="00026782">
            <w:pPr>
              <w:pStyle w:val="Cmsor1"/>
              <w:rPr>
                <w:snapToGrid w:val="0"/>
              </w:rPr>
            </w:pPr>
          </w:p>
        </w:tc>
      </w:tr>
      <w:tr w:rsidR="00FD0545" w:rsidRPr="00E13CE5" w14:paraId="2A034E2A" w14:textId="77777777" w:rsidTr="00026782">
        <w:tblPrEx>
          <w:tblCellMar>
            <w:left w:w="30" w:type="dxa"/>
            <w:right w:w="30" w:type="dxa"/>
          </w:tblCellMar>
        </w:tblPrEx>
        <w:trPr>
          <w:gridAfter w:val="2"/>
          <w:wAfter w:w="556" w:type="dxa"/>
          <w:trHeight w:val="561"/>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F84A0D" w14:textId="77777777" w:rsidR="00FD0545" w:rsidRPr="00E13CE5" w:rsidRDefault="00FD0545" w:rsidP="00026782">
            <w:pPr>
              <w:tabs>
                <w:tab w:val="left" w:pos="4253"/>
                <w:tab w:val="left" w:pos="9102"/>
                <w:tab w:val="left" w:pos="9781"/>
              </w:tabs>
              <w:ind w:right="-144"/>
              <w:rPr>
                <w:bCs/>
                <w:snapToGrid w:val="0"/>
              </w:rPr>
            </w:pPr>
            <w:r w:rsidRPr="00E13CE5">
              <w:rPr>
                <w:bCs/>
                <w:snapToGrid w:val="0"/>
              </w:rPr>
              <w:t>A habilitáció tudományterülete:</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3D917D" w14:textId="77777777" w:rsidR="00FD0545" w:rsidRPr="00E13CE5" w:rsidRDefault="00FD0545" w:rsidP="00026782">
            <w:pPr>
              <w:pStyle w:val="Cmsor1"/>
              <w:rPr>
                <w:snapToGrid w:val="0"/>
              </w:rPr>
            </w:pPr>
          </w:p>
        </w:tc>
      </w:tr>
      <w:tr w:rsidR="00FD0545" w:rsidRPr="00E13CE5" w14:paraId="5B255717" w14:textId="77777777" w:rsidTr="00026782">
        <w:tblPrEx>
          <w:tblCellMar>
            <w:left w:w="30" w:type="dxa"/>
            <w:right w:w="30" w:type="dxa"/>
          </w:tblCellMar>
        </w:tblPrEx>
        <w:trPr>
          <w:gridAfter w:val="2"/>
          <w:wAfter w:w="556" w:type="dxa"/>
          <w:cantSplit/>
          <w:trHeight w:val="785"/>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DA6E5C" w14:textId="77777777" w:rsidR="00FD0545" w:rsidRPr="00E13CE5" w:rsidRDefault="00FD0545" w:rsidP="00026782">
            <w:pPr>
              <w:tabs>
                <w:tab w:val="left" w:pos="4253"/>
                <w:tab w:val="left" w:pos="9102"/>
                <w:tab w:val="left" w:pos="9781"/>
              </w:tabs>
              <w:ind w:right="-144"/>
              <w:rPr>
                <w:bCs/>
              </w:rPr>
            </w:pPr>
            <w:r w:rsidRPr="00E13CE5">
              <w:t xml:space="preserve">Az oklevelet magyar </w:t>
            </w:r>
            <w:r w:rsidRPr="00E13CE5">
              <w:rPr>
                <w:u w:val="single"/>
              </w:rPr>
              <w:t>és</w:t>
            </w:r>
            <w:r w:rsidRPr="00E13CE5">
              <w:t xml:space="preserve"> latin </w:t>
            </w:r>
            <w:r w:rsidRPr="00E13CE5">
              <w:rPr>
                <w:u w:val="single"/>
              </w:rPr>
              <w:t>vagy</w:t>
            </w:r>
            <w:r w:rsidRPr="00E13CE5">
              <w:t xml:space="preserve"> angol nyelven állítjuk ki. Ez alapján </w:t>
            </w:r>
            <w:r w:rsidRPr="00E13CE5">
              <w:rPr>
                <w:b/>
                <w:bCs/>
              </w:rPr>
              <w:t>az idegen nyelvű oklevél választott nyelve</w:t>
            </w:r>
            <w:r w:rsidRPr="00E13CE5">
              <w:t xml:space="preserve"> </w:t>
            </w:r>
            <w:r w:rsidRPr="00E13CE5">
              <w:rPr>
                <w:bCs/>
              </w:rPr>
              <w:t>(angol vagy latin):</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C895BD" w14:textId="77777777" w:rsidR="00FD0545" w:rsidRPr="00E13CE5" w:rsidRDefault="00FD0545" w:rsidP="00026782">
            <w:pPr>
              <w:rPr>
                <w:b/>
              </w:rPr>
            </w:pPr>
            <w:r w:rsidRPr="00E13CE5">
              <w:rPr>
                <w:b/>
              </w:rPr>
              <w:t>Az eljárási díj fizetési módjától is függ!</w:t>
            </w:r>
          </w:p>
        </w:tc>
      </w:tr>
      <w:tr w:rsidR="00FD0545" w:rsidRPr="00E13CE5" w14:paraId="4C62C36E" w14:textId="77777777" w:rsidTr="00026782">
        <w:tblPrEx>
          <w:tblCellMar>
            <w:left w:w="30" w:type="dxa"/>
            <w:right w:w="30" w:type="dxa"/>
          </w:tblCellMar>
        </w:tblPrEx>
        <w:trPr>
          <w:gridAfter w:val="2"/>
          <w:wAfter w:w="556" w:type="dxa"/>
          <w:trHeight w:val="1083"/>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8AE89E" w14:textId="77777777" w:rsidR="00FD0545" w:rsidRPr="00E13CE5" w:rsidRDefault="00FD0545" w:rsidP="00026782">
            <w:pPr>
              <w:tabs>
                <w:tab w:val="left" w:pos="4253"/>
                <w:tab w:val="left" w:pos="9102"/>
                <w:tab w:val="left" w:pos="9781"/>
              </w:tabs>
              <w:ind w:right="-144"/>
              <w:rPr>
                <w:bCs/>
                <w:snapToGrid w:val="0"/>
              </w:rPr>
            </w:pPr>
            <w:r w:rsidRPr="00E13CE5">
              <w:rPr>
                <w:bCs/>
                <w:snapToGrid w:val="0"/>
              </w:rPr>
              <w:t>Egyéni kérelemre az oklevelet az igénylő költségére a harmadik nyelven is kiállítjuk.</w:t>
            </w:r>
          </w:p>
          <w:p w14:paraId="660AD860" w14:textId="77777777" w:rsidR="00FD0545" w:rsidRPr="00E13CE5" w:rsidRDefault="00FD0545" w:rsidP="00026782">
            <w:pPr>
              <w:tabs>
                <w:tab w:val="left" w:pos="4253"/>
                <w:tab w:val="left" w:pos="9102"/>
                <w:tab w:val="left" w:pos="9781"/>
              </w:tabs>
              <w:ind w:right="-144"/>
              <w:rPr>
                <w:b/>
                <w:snapToGrid w:val="0"/>
              </w:rPr>
            </w:pPr>
            <w:r w:rsidRPr="00E13CE5">
              <w:rPr>
                <w:b/>
                <w:snapToGrid w:val="0"/>
              </w:rPr>
              <w:t>Kérem oklevelem harmadik nyelven történő kiállítását is, melynek költségeit vállalom.</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1BD90E" w14:textId="77777777" w:rsidR="00FD0545" w:rsidRPr="00E13CE5" w:rsidRDefault="00FD0545" w:rsidP="00026782">
            <w:pPr>
              <w:rPr>
                <w:b/>
              </w:rPr>
            </w:pPr>
            <w:r w:rsidRPr="00E13CE5">
              <w:rPr>
                <w:b/>
              </w:rPr>
              <w:t>Az eljárási díj fizetési módjától is függ!</w:t>
            </w:r>
          </w:p>
        </w:tc>
      </w:tr>
      <w:tr w:rsidR="00FD0545" w:rsidRPr="00E13CE5" w14:paraId="1EC07F11" w14:textId="77777777" w:rsidTr="00026782">
        <w:tblPrEx>
          <w:tblCellMar>
            <w:left w:w="30" w:type="dxa"/>
            <w:right w:w="30" w:type="dxa"/>
          </w:tblCellMar>
        </w:tblPrEx>
        <w:trPr>
          <w:gridAfter w:val="2"/>
          <w:wAfter w:w="556" w:type="dxa"/>
          <w:trHeight w:val="374"/>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F02888" w14:textId="77777777" w:rsidR="00FD0545" w:rsidRPr="00E13CE5" w:rsidRDefault="00FD0545" w:rsidP="00026782">
            <w:pPr>
              <w:tabs>
                <w:tab w:val="left" w:pos="4253"/>
                <w:tab w:val="left" w:pos="9102"/>
                <w:tab w:val="left" w:pos="9781"/>
              </w:tabs>
              <w:ind w:right="-144"/>
              <w:rPr>
                <w:bCs/>
                <w:snapToGrid w:val="0"/>
              </w:rPr>
            </w:pPr>
            <w:r w:rsidRPr="00E13CE5">
              <w:rPr>
                <w:bCs/>
                <w:snapToGrid w:val="0"/>
              </w:rPr>
              <w:t>Adatszolgáltatás dátuma:</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4FAD84" w14:textId="77777777" w:rsidR="00FD0545" w:rsidRPr="00E13CE5" w:rsidRDefault="00FD0545" w:rsidP="00026782">
            <w:pPr>
              <w:pStyle w:val="Cmsor1"/>
              <w:rPr>
                <w:snapToGrid w:val="0"/>
              </w:rPr>
            </w:pPr>
          </w:p>
        </w:tc>
      </w:tr>
      <w:tr w:rsidR="00FD0545" w:rsidRPr="00E13CE5" w14:paraId="6D902F75" w14:textId="77777777" w:rsidTr="00026782">
        <w:tblPrEx>
          <w:tblCellMar>
            <w:left w:w="30" w:type="dxa"/>
            <w:right w:w="30" w:type="dxa"/>
          </w:tblCellMar>
        </w:tblPrEx>
        <w:trPr>
          <w:gridAfter w:val="2"/>
          <w:wAfter w:w="556" w:type="dxa"/>
          <w:trHeight w:val="536"/>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D7680C" w14:textId="77777777" w:rsidR="00FD0545" w:rsidRPr="00E13CE5" w:rsidRDefault="00FD0545" w:rsidP="00026782">
            <w:pPr>
              <w:rPr>
                <w:b/>
              </w:rPr>
            </w:pPr>
            <w:proofErr w:type="spellStart"/>
            <w:r w:rsidRPr="00E13CE5">
              <w:rPr>
                <w:b/>
              </w:rPr>
              <w:t>Sajátkezű</w:t>
            </w:r>
            <w:proofErr w:type="spellEnd"/>
            <w:r w:rsidRPr="00E13CE5">
              <w:rPr>
                <w:b/>
              </w:rPr>
              <w:t xml:space="preserve"> aláírás</w:t>
            </w:r>
          </w:p>
          <w:p w14:paraId="37BF6907" w14:textId="77777777" w:rsidR="00FD0545" w:rsidRPr="00E13CE5" w:rsidRDefault="00FD0545" w:rsidP="00026782">
            <w:pPr>
              <w:rPr>
                <w:bCs/>
                <w:snapToGrid w:val="0"/>
              </w:rPr>
            </w:pPr>
            <w:r w:rsidRPr="00E13CE5">
              <w:rPr>
                <w:bCs/>
                <w:snapToGrid w:val="0"/>
              </w:rPr>
              <w:t>Aláírásommal igazolom, hogy az adatok a valóságnak megfelelnek. A hibás adatszolgáltatásból eredő költségeket vállalom.</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2D151F" w14:textId="77777777" w:rsidR="00FD0545" w:rsidRPr="00E13CE5" w:rsidRDefault="00FD0545" w:rsidP="00026782">
            <w:pPr>
              <w:rPr>
                <w:snapToGrid w:val="0"/>
              </w:rPr>
            </w:pPr>
          </w:p>
        </w:tc>
      </w:tr>
      <w:tr w:rsidR="00FD0545" w:rsidRPr="00E13CE5" w14:paraId="4D3BDA75" w14:textId="77777777" w:rsidTr="00026782">
        <w:tblPrEx>
          <w:tblCellMar>
            <w:left w:w="30" w:type="dxa"/>
            <w:right w:w="30" w:type="dxa"/>
          </w:tblCellMar>
        </w:tblPrEx>
        <w:trPr>
          <w:gridAfter w:val="2"/>
          <w:wAfter w:w="556" w:type="dxa"/>
          <w:trHeight w:val="541"/>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799C9B" w14:textId="77777777" w:rsidR="00FD0545" w:rsidRPr="00E13CE5" w:rsidRDefault="00FD0545" w:rsidP="00026782">
            <w:pPr>
              <w:tabs>
                <w:tab w:val="left" w:pos="4283"/>
                <w:tab w:val="left" w:pos="9102"/>
                <w:tab w:val="left" w:pos="9781"/>
              </w:tabs>
              <w:ind w:right="-144"/>
              <w:rPr>
                <w:b/>
                <w:i/>
                <w:iCs/>
                <w:snapToGrid w:val="0"/>
              </w:rPr>
            </w:pPr>
          </w:p>
          <w:p w14:paraId="0779BEF4" w14:textId="77777777" w:rsidR="00FD0545" w:rsidRPr="00E13CE5" w:rsidRDefault="00FD0545" w:rsidP="00026782">
            <w:pPr>
              <w:tabs>
                <w:tab w:val="left" w:pos="4283"/>
                <w:tab w:val="left" w:pos="9102"/>
                <w:tab w:val="left" w:pos="9781"/>
              </w:tabs>
              <w:ind w:right="-144"/>
              <w:rPr>
                <w:b/>
                <w:i/>
                <w:iCs/>
                <w:snapToGrid w:val="0"/>
              </w:rPr>
            </w:pPr>
            <w:r w:rsidRPr="00E13CE5">
              <w:rPr>
                <w:b/>
                <w:i/>
                <w:iCs/>
                <w:snapToGrid w:val="0"/>
              </w:rPr>
              <w:t>A Pécsi Tudományegyetem tölti ki:</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9F458B" w14:textId="77777777" w:rsidR="00FD0545" w:rsidRPr="00E13CE5" w:rsidRDefault="00FD0545" w:rsidP="00026782">
            <w:pPr>
              <w:pStyle w:val="Cmsor1"/>
              <w:rPr>
                <w:b w:val="0"/>
                <w:i/>
                <w:iCs/>
                <w:snapToGrid w:val="0"/>
              </w:rPr>
            </w:pPr>
          </w:p>
        </w:tc>
      </w:tr>
      <w:tr w:rsidR="00FD0545" w:rsidRPr="00E13CE5" w14:paraId="3D47A9A3" w14:textId="77777777" w:rsidTr="00026782">
        <w:tblPrEx>
          <w:tblCellMar>
            <w:left w:w="30" w:type="dxa"/>
            <w:right w:w="30" w:type="dxa"/>
          </w:tblCellMar>
        </w:tblPrEx>
        <w:trPr>
          <w:gridAfter w:val="2"/>
          <w:wAfter w:w="556" w:type="dxa"/>
          <w:trHeight w:val="561"/>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38A91A" w14:textId="77777777" w:rsidR="00FD0545" w:rsidRPr="00E13CE5" w:rsidRDefault="00FD0545" w:rsidP="00026782">
            <w:pPr>
              <w:tabs>
                <w:tab w:val="left" w:pos="4283"/>
                <w:tab w:val="left" w:pos="9102"/>
                <w:tab w:val="left" w:pos="9781"/>
              </w:tabs>
              <w:ind w:right="-144"/>
              <w:rPr>
                <w:bCs/>
                <w:snapToGrid w:val="0"/>
              </w:rPr>
            </w:pPr>
          </w:p>
          <w:p w14:paraId="74BC01D0" w14:textId="77777777" w:rsidR="00FD0545" w:rsidRPr="00E13CE5" w:rsidRDefault="00FD0545" w:rsidP="00026782">
            <w:pPr>
              <w:tabs>
                <w:tab w:val="left" w:pos="4283"/>
                <w:tab w:val="left" w:pos="9102"/>
                <w:tab w:val="left" w:pos="9781"/>
              </w:tabs>
              <w:ind w:right="-144"/>
              <w:rPr>
                <w:bCs/>
                <w:snapToGrid w:val="0"/>
              </w:rPr>
            </w:pPr>
            <w:r w:rsidRPr="00E13CE5">
              <w:rPr>
                <w:bCs/>
                <w:snapToGrid w:val="0"/>
              </w:rPr>
              <w:t>Az EHHB döntésének időpontja:</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9E91AE" w14:textId="77777777" w:rsidR="00FD0545" w:rsidRPr="00E13CE5" w:rsidRDefault="00FD0545" w:rsidP="00026782">
            <w:pPr>
              <w:pStyle w:val="Cmsor1"/>
              <w:rPr>
                <w:snapToGrid w:val="0"/>
              </w:rPr>
            </w:pPr>
          </w:p>
        </w:tc>
      </w:tr>
      <w:tr w:rsidR="00FD0545" w:rsidRPr="00E13CE5" w14:paraId="29EBF9EC" w14:textId="77777777" w:rsidTr="00026782">
        <w:tblPrEx>
          <w:tblCellMar>
            <w:left w:w="30" w:type="dxa"/>
            <w:right w:w="30" w:type="dxa"/>
          </w:tblCellMar>
        </w:tblPrEx>
        <w:trPr>
          <w:gridAfter w:val="2"/>
          <w:wAfter w:w="556" w:type="dxa"/>
          <w:trHeight w:val="561"/>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439B93" w14:textId="77777777" w:rsidR="00FD0545" w:rsidRPr="00E13CE5" w:rsidRDefault="00FD0545" w:rsidP="00026782">
            <w:pPr>
              <w:tabs>
                <w:tab w:val="left" w:pos="4283"/>
                <w:tab w:val="left" w:pos="9102"/>
                <w:tab w:val="left" w:pos="9781"/>
              </w:tabs>
              <w:ind w:right="-144"/>
              <w:rPr>
                <w:bCs/>
                <w:snapToGrid w:val="0"/>
              </w:rPr>
            </w:pPr>
            <w:r w:rsidRPr="00E13CE5">
              <w:rPr>
                <w:bCs/>
                <w:snapToGrid w:val="0"/>
              </w:rPr>
              <w:lastRenderedPageBreak/>
              <w:t>Az oklevél iktatószáma:</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B40336" w14:textId="77777777" w:rsidR="00FD0545" w:rsidRPr="00E13CE5" w:rsidRDefault="00FD0545" w:rsidP="00026782">
            <w:pPr>
              <w:pStyle w:val="Cmsor1"/>
              <w:rPr>
                <w:snapToGrid w:val="0"/>
              </w:rPr>
            </w:pPr>
          </w:p>
        </w:tc>
      </w:tr>
      <w:tr w:rsidR="00FD0545" w:rsidRPr="00E13CE5" w14:paraId="223784CE" w14:textId="77777777" w:rsidTr="00026782">
        <w:tblPrEx>
          <w:tblCellMar>
            <w:left w:w="30" w:type="dxa"/>
            <w:right w:w="30" w:type="dxa"/>
          </w:tblCellMar>
        </w:tblPrEx>
        <w:trPr>
          <w:gridAfter w:val="2"/>
          <w:wAfter w:w="556" w:type="dxa"/>
          <w:trHeight w:val="561"/>
        </w:trPr>
        <w:tc>
          <w:tcPr>
            <w:tcW w:w="5369"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DFA6C4" w14:textId="77777777" w:rsidR="00FD0545" w:rsidRPr="00E13CE5" w:rsidRDefault="00FD0545" w:rsidP="00026782">
            <w:pPr>
              <w:tabs>
                <w:tab w:val="left" w:pos="4283"/>
                <w:tab w:val="left" w:pos="9102"/>
                <w:tab w:val="left" w:pos="9781"/>
              </w:tabs>
              <w:ind w:right="-144"/>
              <w:rPr>
                <w:bCs/>
                <w:snapToGrid w:val="0"/>
              </w:rPr>
            </w:pPr>
            <w:r w:rsidRPr="00E13CE5">
              <w:rPr>
                <w:bCs/>
                <w:snapToGrid w:val="0"/>
              </w:rPr>
              <w:t>Az adatlap alapján az oklevél elkészíthető:</w:t>
            </w:r>
          </w:p>
        </w:tc>
        <w:tc>
          <w:tcPr>
            <w:tcW w:w="37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0D8F1A" w14:textId="77777777" w:rsidR="00FD0545" w:rsidRPr="00E13CE5" w:rsidRDefault="00FD0545" w:rsidP="00026782">
            <w:pPr>
              <w:pStyle w:val="Cmsor1"/>
              <w:rPr>
                <w:snapToGrid w:val="0"/>
              </w:rPr>
            </w:pPr>
          </w:p>
        </w:tc>
      </w:tr>
      <w:tr w:rsidR="00FD0545" w:rsidRPr="00E13CE5" w14:paraId="33DB5039" w14:textId="77777777" w:rsidTr="00026782">
        <w:tblPrEx>
          <w:tblCellMar>
            <w:left w:w="30" w:type="dxa"/>
            <w:right w:w="30" w:type="dxa"/>
          </w:tblCellMar>
        </w:tblPrEx>
        <w:trPr>
          <w:trHeight w:val="271"/>
        </w:trPr>
        <w:tc>
          <w:tcPr>
            <w:tcW w:w="124" w:type="dxa"/>
            <w:tcBorders>
              <w:top w:val="nil"/>
              <w:left w:val="nil"/>
              <w:bottom w:val="nil"/>
              <w:right w:val="nil"/>
            </w:tcBorders>
            <w:vAlign w:val="center"/>
          </w:tcPr>
          <w:p w14:paraId="46EE9AB1" w14:textId="77777777" w:rsidR="00FD0545" w:rsidRPr="00E13CE5" w:rsidRDefault="00FD0545" w:rsidP="00026782">
            <w:pPr>
              <w:tabs>
                <w:tab w:val="left" w:pos="9781"/>
              </w:tabs>
              <w:ind w:right="-144"/>
            </w:pPr>
          </w:p>
        </w:tc>
        <w:tc>
          <w:tcPr>
            <w:tcW w:w="69" w:type="dxa"/>
            <w:gridSpan w:val="2"/>
            <w:tcBorders>
              <w:top w:val="nil"/>
              <w:left w:val="nil"/>
              <w:bottom w:val="nil"/>
              <w:right w:val="nil"/>
            </w:tcBorders>
            <w:vAlign w:val="center"/>
          </w:tcPr>
          <w:p w14:paraId="4AB1598F" w14:textId="77777777" w:rsidR="00FD0545" w:rsidRPr="00E13CE5" w:rsidRDefault="00FD0545" w:rsidP="00026782">
            <w:pPr>
              <w:tabs>
                <w:tab w:val="left" w:pos="9781"/>
              </w:tabs>
              <w:ind w:right="-144"/>
            </w:pPr>
          </w:p>
        </w:tc>
        <w:tc>
          <w:tcPr>
            <w:tcW w:w="5175" w:type="dxa"/>
            <w:gridSpan w:val="3"/>
            <w:tcBorders>
              <w:top w:val="nil"/>
              <w:left w:val="nil"/>
              <w:bottom w:val="nil"/>
              <w:right w:val="nil"/>
            </w:tcBorders>
            <w:vAlign w:val="center"/>
          </w:tcPr>
          <w:p w14:paraId="10C593F3" w14:textId="77777777" w:rsidR="00FD0545" w:rsidRPr="00E13CE5" w:rsidRDefault="00FD0545" w:rsidP="00026782">
            <w:pPr>
              <w:tabs>
                <w:tab w:val="left" w:pos="9781"/>
              </w:tabs>
              <w:ind w:right="-144"/>
            </w:pPr>
          </w:p>
        </w:tc>
        <w:tc>
          <w:tcPr>
            <w:tcW w:w="3702" w:type="dxa"/>
            <w:tcBorders>
              <w:top w:val="nil"/>
              <w:left w:val="nil"/>
              <w:bottom w:val="nil"/>
              <w:right w:val="nil"/>
            </w:tcBorders>
            <w:vAlign w:val="center"/>
          </w:tcPr>
          <w:p w14:paraId="06C99252" w14:textId="77777777" w:rsidR="00FD0545" w:rsidRPr="00E13CE5" w:rsidRDefault="00FD0545" w:rsidP="00026782">
            <w:pPr>
              <w:tabs>
                <w:tab w:val="left" w:pos="9781"/>
              </w:tabs>
              <w:ind w:right="-144"/>
            </w:pPr>
          </w:p>
        </w:tc>
        <w:tc>
          <w:tcPr>
            <w:tcW w:w="69" w:type="dxa"/>
            <w:tcBorders>
              <w:top w:val="nil"/>
              <w:left w:val="nil"/>
              <w:bottom w:val="nil"/>
              <w:right w:val="nil"/>
            </w:tcBorders>
            <w:vAlign w:val="center"/>
          </w:tcPr>
          <w:p w14:paraId="7DFEFA60" w14:textId="77777777" w:rsidR="00FD0545" w:rsidRPr="00E13CE5" w:rsidRDefault="00FD0545" w:rsidP="00026782">
            <w:pPr>
              <w:tabs>
                <w:tab w:val="left" w:pos="9781"/>
              </w:tabs>
              <w:ind w:right="-144"/>
            </w:pPr>
          </w:p>
        </w:tc>
        <w:tc>
          <w:tcPr>
            <w:tcW w:w="488" w:type="dxa"/>
            <w:tcBorders>
              <w:top w:val="nil"/>
              <w:left w:val="nil"/>
              <w:bottom w:val="nil"/>
              <w:right w:val="nil"/>
            </w:tcBorders>
            <w:vAlign w:val="center"/>
          </w:tcPr>
          <w:p w14:paraId="39D8239F" w14:textId="77777777" w:rsidR="00FD0545" w:rsidRPr="00E13CE5" w:rsidRDefault="00FD0545" w:rsidP="00026782">
            <w:pPr>
              <w:tabs>
                <w:tab w:val="left" w:pos="9781"/>
              </w:tabs>
              <w:ind w:right="-144"/>
            </w:pPr>
          </w:p>
        </w:tc>
      </w:tr>
    </w:tbl>
    <w:p w14:paraId="7FA15CCA" w14:textId="77777777" w:rsidR="00FD0545" w:rsidRPr="00E13CE5" w:rsidRDefault="00FD0545" w:rsidP="00FD0545">
      <w:pPr>
        <w:tabs>
          <w:tab w:val="left" w:pos="9781"/>
        </w:tabs>
        <w:ind w:right="-144"/>
        <w:jc w:val="both"/>
        <w:rPr>
          <w:b/>
          <w:i/>
          <w:sz w:val="22"/>
          <w:szCs w:val="22"/>
        </w:rPr>
      </w:pPr>
    </w:p>
    <w:p w14:paraId="6C71B986" w14:textId="77777777" w:rsidR="00FD0545" w:rsidRPr="00E13CE5" w:rsidRDefault="00FD0545" w:rsidP="00FD0545">
      <w:pPr>
        <w:tabs>
          <w:tab w:val="left" w:pos="9781"/>
        </w:tabs>
        <w:ind w:right="-144"/>
        <w:jc w:val="both"/>
        <w:rPr>
          <w:b/>
          <w:i/>
          <w:sz w:val="22"/>
          <w:szCs w:val="22"/>
        </w:rPr>
      </w:pPr>
      <w:r w:rsidRPr="00E13CE5">
        <w:rPr>
          <w:b/>
          <w:i/>
          <w:sz w:val="22"/>
          <w:szCs w:val="22"/>
        </w:rPr>
        <w:br w:type="page"/>
      </w:r>
    </w:p>
    <w:tbl>
      <w:tblPr>
        <w:tblW w:w="9072" w:type="dxa"/>
        <w:tblCellMar>
          <w:left w:w="70" w:type="dxa"/>
          <w:right w:w="70" w:type="dxa"/>
        </w:tblCellMar>
        <w:tblLook w:val="04A0" w:firstRow="1" w:lastRow="0" w:firstColumn="1" w:lastColumn="0" w:noHBand="0" w:noVBand="1"/>
      </w:tblPr>
      <w:tblGrid>
        <w:gridCol w:w="9072"/>
      </w:tblGrid>
      <w:tr w:rsidR="00FD0545" w:rsidRPr="00E13CE5" w14:paraId="25858B5E" w14:textId="77777777" w:rsidTr="00026782">
        <w:trPr>
          <w:trHeight w:val="373"/>
        </w:trPr>
        <w:tc>
          <w:tcPr>
            <w:tcW w:w="9072" w:type="dxa"/>
            <w:vMerge w:val="restart"/>
            <w:tcBorders>
              <w:top w:val="nil"/>
              <w:left w:val="nil"/>
              <w:bottom w:val="nil"/>
              <w:right w:val="nil"/>
            </w:tcBorders>
            <w:shd w:val="clear" w:color="auto" w:fill="auto"/>
            <w:vAlign w:val="bottom"/>
          </w:tcPr>
          <w:p w14:paraId="61E74B87" w14:textId="77777777" w:rsidR="00FD0545" w:rsidRPr="00E13CE5" w:rsidRDefault="00FD0545" w:rsidP="00026782">
            <w:pPr>
              <w:pStyle w:val="Cmsor1"/>
            </w:pPr>
            <w:r w:rsidRPr="00E13CE5">
              <w:rPr>
                <w:i/>
              </w:rPr>
              <w:lastRenderedPageBreak/>
              <w:br w:type="page"/>
            </w:r>
            <w:bookmarkStart w:id="421" w:name="_Toc432753661"/>
            <w:bookmarkStart w:id="422" w:name="_Toc444603594"/>
            <w:bookmarkStart w:id="423" w:name="_Toc21961989"/>
            <w:bookmarkStart w:id="424" w:name="_Toc58569597"/>
            <w:bookmarkStart w:id="425" w:name="_Toc445200853"/>
            <w:r w:rsidRPr="00E13CE5">
              <w:t>9. számú melléklet</w:t>
            </w:r>
            <w:bookmarkEnd w:id="421"/>
            <w:bookmarkEnd w:id="422"/>
            <w:r w:rsidRPr="00E13CE5">
              <w:t xml:space="preserve"> </w:t>
            </w:r>
            <w:r w:rsidRPr="00E13CE5">
              <w:rPr>
                <w:rStyle w:val="Lbjegyzet-hivatkozs"/>
              </w:rPr>
              <w:footnoteReference w:id="503"/>
            </w:r>
            <w:bookmarkEnd w:id="423"/>
            <w:bookmarkEnd w:id="424"/>
          </w:p>
          <w:bookmarkEnd w:id="425"/>
          <w:p w14:paraId="01497202" w14:textId="77777777" w:rsidR="00FD0545" w:rsidRPr="00E13CE5" w:rsidRDefault="00FD0545" w:rsidP="00026782">
            <w:pPr>
              <w:jc w:val="center"/>
            </w:pPr>
          </w:p>
          <w:p w14:paraId="79A762C8" w14:textId="77777777" w:rsidR="00FD0545" w:rsidRPr="00E13CE5" w:rsidRDefault="00FD0545" w:rsidP="00026782">
            <w:pPr>
              <w:rPr>
                <w:b/>
                <w:bCs/>
                <w:i/>
                <w:sz w:val="22"/>
                <w:szCs w:val="22"/>
              </w:rPr>
            </w:pPr>
          </w:p>
        </w:tc>
      </w:tr>
      <w:tr w:rsidR="00FD0545" w:rsidRPr="00E13CE5" w14:paraId="3581767F" w14:textId="77777777" w:rsidTr="00026782">
        <w:trPr>
          <w:trHeight w:val="255"/>
        </w:trPr>
        <w:tc>
          <w:tcPr>
            <w:tcW w:w="9072" w:type="dxa"/>
            <w:vMerge/>
            <w:tcBorders>
              <w:top w:val="nil"/>
              <w:left w:val="nil"/>
              <w:bottom w:val="nil"/>
              <w:right w:val="nil"/>
            </w:tcBorders>
            <w:vAlign w:val="center"/>
          </w:tcPr>
          <w:p w14:paraId="0F406C25" w14:textId="77777777" w:rsidR="00FD0545" w:rsidRPr="00E13CE5" w:rsidRDefault="00FD0545" w:rsidP="00026782">
            <w:pPr>
              <w:tabs>
                <w:tab w:val="left" w:pos="9781"/>
              </w:tabs>
              <w:ind w:right="-144"/>
              <w:rPr>
                <w:b/>
                <w:bCs/>
                <w:strike/>
                <w:sz w:val="22"/>
                <w:szCs w:val="22"/>
              </w:rPr>
            </w:pPr>
          </w:p>
        </w:tc>
      </w:tr>
    </w:tbl>
    <w:p w14:paraId="42ABC2AC" w14:textId="77777777" w:rsidR="00FD0545" w:rsidRPr="00E13CE5" w:rsidRDefault="00FD0545" w:rsidP="00FD0545">
      <w:pPr>
        <w:rPr>
          <w:sz w:val="22"/>
          <w:szCs w:val="22"/>
        </w:rPr>
      </w:pPr>
    </w:p>
    <w:p w14:paraId="525826D6" w14:textId="77777777" w:rsidR="001601FB" w:rsidRDefault="001601FB" w:rsidP="00893D5B"/>
    <w:sectPr w:rsidR="001601FB" w:rsidSect="00BB53E6">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86D4" w14:textId="77777777" w:rsidR="00D90123" w:rsidRDefault="00D90123" w:rsidP="00893D5B">
      <w:r>
        <w:separator/>
      </w:r>
    </w:p>
  </w:endnote>
  <w:endnote w:type="continuationSeparator" w:id="0">
    <w:p w14:paraId="063313AB" w14:textId="77777777" w:rsidR="00D90123" w:rsidRDefault="00D90123" w:rsidP="0089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3348"/>
      <w:docPartObj>
        <w:docPartGallery w:val="Page Numbers (Bottom of Page)"/>
        <w:docPartUnique/>
      </w:docPartObj>
    </w:sdtPr>
    <w:sdtEndPr/>
    <w:sdtContent>
      <w:p w14:paraId="04D16E56" w14:textId="084D982E" w:rsidR="00BD6AF1" w:rsidRDefault="00BD6AF1">
        <w:pPr>
          <w:pStyle w:val="llb"/>
          <w:jc w:val="center"/>
        </w:pPr>
        <w:r>
          <w:fldChar w:fldCharType="begin"/>
        </w:r>
        <w:r>
          <w:instrText>PAGE   \* MERGEFORMAT</w:instrText>
        </w:r>
        <w:r>
          <w:fldChar w:fldCharType="separate"/>
        </w:r>
        <w:r w:rsidR="00C54B98" w:rsidRPr="00C54B98">
          <w:rPr>
            <w:noProof/>
            <w:lang w:val="hu-HU"/>
          </w:rPr>
          <w:t>175</w:t>
        </w:r>
        <w:r>
          <w:fldChar w:fldCharType="end"/>
        </w:r>
      </w:p>
    </w:sdtContent>
  </w:sdt>
  <w:p w14:paraId="71827D94" w14:textId="77777777" w:rsidR="00BD6AF1" w:rsidRDefault="00BD6AF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DD45" w14:textId="77777777" w:rsidR="00D90123" w:rsidRDefault="00D90123" w:rsidP="00893D5B">
      <w:r>
        <w:separator/>
      </w:r>
    </w:p>
  </w:footnote>
  <w:footnote w:type="continuationSeparator" w:id="0">
    <w:p w14:paraId="30AE6BF1" w14:textId="77777777" w:rsidR="00D90123" w:rsidRDefault="00D90123" w:rsidP="00893D5B">
      <w:r>
        <w:continuationSeparator/>
      </w:r>
    </w:p>
  </w:footnote>
  <w:footnote w:id="1">
    <w:p w14:paraId="0D1A723D" w14:textId="77777777" w:rsidR="00BD6AF1" w:rsidRPr="00E61CEC" w:rsidRDefault="00BD6AF1" w:rsidP="00893D5B">
      <w:pPr>
        <w:pStyle w:val="Lbjegyzetszveg"/>
        <w:jc w:val="both"/>
        <w:rPr>
          <w:i/>
        </w:rPr>
      </w:pPr>
      <w:r>
        <w:rPr>
          <w:rStyle w:val="Lbjegyzet-hivatkozs"/>
        </w:rPr>
        <w:t>*</w:t>
      </w:r>
      <w:r>
        <w:t xml:space="preserve"> </w:t>
      </w:r>
      <w:r w:rsidRPr="00DC595F">
        <w:rPr>
          <w:i/>
        </w:rPr>
        <w:t>A szabályzatot a Szenátus 200</w:t>
      </w:r>
      <w:r>
        <w:rPr>
          <w:i/>
        </w:rPr>
        <w:t>7. január</w:t>
      </w:r>
      <w:r w:rsidRPr="00DC595F">
        <w:rPr>
          <w:i/>
        </w:rPr>
        <w:t xml:space="preserve"> 2</w:t>
      </w:r>
      <w:r>
        <w:rPr>
          <w:i/>
        </w:rPr>
        <w:t>5</w:t>
      </w:r>
      <w:r w:rsidRPr="00DC595F">
        <w:rPr>
          <w:i/>
        </w:rPr>
        <w:t>-én f</w:t>
      </w:r>
      <w:r>
        <w:rPr>
          <w:i/>
        </w:rPr>
        <w:t>ogadta el. Hatályos: 2007</w:t>
      </w:r>
      <w:r w:rsidRPr="00DC595F">
        <w:rPr>
          <w:i/>
        </w:rPr>
        <w:t xml:space="preserve">. </w:t>
      </w:r>
      <w:r>
        <w:rPr>
          <w:i/>
        </w:rPr>
        <w:t>február 01. napjától.</w:t>
      </w:r>
    </w:p>
  </w:footnote>
  <w:footnote w:id="2">
    <w:p w14:paraId="4A9D4861" w14:textId="77777777" w:rsidR="00BD6AF1" w:rsidRPr="00E61CEC" w:rsidRDefault="00BD6AF1" w:rsidP="00893D5B">
      <w:pPr>
        <w:pStyle w:val="Lbjegyzetszveg"/>
        <w:jc w:val="both"/>
        <w:rPr>
          <w:i/>
        </w:rPr>
      </w:pPr>
      <w:r>
        <w:rPr>
          <w:rStyle w:val="Lbjegyzet-hivatkozs"/>
        </w:rPr>
        <w:footnoteRef/>
      </w:r>
      <w:r>
        <w:t xml:space="preserve"> </w:t>
      </w:r>
      <w:r>
        <w:rPr>
          <w:i/>
        </w:rPr>
        <w:t xml:space="preserve">Beépítette a Szenátus 2008. február 28-ai ülésén elfogadott módosítás, a bekezdések számozása </w:t>
      </w:r>
      <w:proofErr w:type="gramStart"/>
      <w:r>
        <w:rPr>
          <w:i/>
        </w:rPr>
        <w:t>automatikusan</w:t>
      </w:r>
      <w:proofErr w:type="gramEnd"/>
      <w:r>
        <w:rPr>
          <w:i/>
        </w:rPr>
        <w:t xml:space="preserve"> módosul. Hatályos:2008. február 28. napjától.</w:t>
      </w:r>
    </w:p>
  </w:footnote>
  <w:footnote w:id="3">
    <w:p w14:paraId="0EEE9040" w14:textId="77777777" w:rsidR="00BD6AF1" w:rsidRPr="00B3055A" w:rsidRDefault="00BD6AF1" w:rsidP="00893D5B">
      <w:pPr>
        <w:pStyle w:val="Lbjegyzetszveg"/>
        <w:jc w:val="both"/>
        <w:rPr>
          <w:i/>
        </w:rPr>
      </w:pPr>
      <w:r>
        <w:rPr>
          <w:rStyle w:val="Lbjegyzet-hivatkozs"/>
        </w:rPr>
        <w:footnoteRef/>
      </w:r>
      <w:r>
        <w:t xml:space="preserve"> </w:t>
      </w:r>
      <w:r>
        <w:rPr>
          <w:i/>
        </w:rPr>
        <w:t>A módosítást a Szenátus 2009. április 9-ei ülésén fogadta el. Hatályos: 2009. április 9. napjától.</w:t>
      </w:r>
    </w:p>
  </w:footnote>
  <w:footnote w:id="4">
    <w:p w14:paraId="7120A703" w14:textId="77777777" w:rsidR="00BD6AF1" w:rsidRPr="00A26191"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5">
    <w:p w14:paraId="0CB40E09" w14:textId="77777777" w:rsidR="00BD6AF1" w:rsidRPr="008A0835" w:rsidRDefault="00BD6AF1" w:rsidP="00893D5B">
      <w:pPr>
        <w:pStyle w:val="Lbjegyzetszveg"/>
        <w:jc w:val="both"/>
        <w:rPr>
          <w:i/>
        </w:rPr>
      </w:pPr>
      <w:r>
        <w:rPr>
          <w:rStyle w:val="Lbjegyzet-hivatkozs"/>
        </w:rPr>
        <w:footnoteRef/>
      </w:r>
      <w:r>
        <w:t xml:space="preserve"> </w:t>
      </w:r>
      <w:r>
        <w:rPr>
          <w:i/>
        </w:rPr>
        <w:t>A módosítást a Szenátus 2012. június 28-ai ülésén fogadta el. Hatályos: 2012. július 1. napjától.</w:t>
      </w:r>
    </w:p>
  </w:footnote>
  <w:footnote w:id="6">
    <w:p w14:paraId="728B3121" w14:textId="77777777" w:rsidR="00BD6AF1" w:rsidRPr="00170067" w:rsidRDefault="00BD6AF1" w:rsidP="00893D5B">
      <w:pPr>
        <w:pStyle w:val="Lbjegyzetszveg"/>
        <w:jc w:val="both"/>
        <w:rPr>
          <w:i/>
        </w:rPr>
      </w:pPr>
      <w:r>
        <w:rPr>
          <w:rStyle w:val="Lbjegyzet-hivatkozs"/>
        </w:rPr>
        <w:footnoteRef/>
      </w:r>
      <w:r>
        <w:t xml:space="preserve"> </w:t>
      </w:r>
      <w:r>
        <w:rPr>
          <w:i/>
        </w:rPr>
        <w:t>Beépítette a Szenátus 2008. február 28-ai ülésén elfogadott módosítás. Hatályos:2008. február 28. napjától.</w:t>
      </w:r>
    </w:p>
  </w:footnote>
  <w:footnote w:id="7">
    <w:p w14:paraId="60E8B23A" w14:textId="77777777" w:rsidR="00BD6AF1" w:rsidRDefault="00BD6AF1" w:rsidP="00893D5B">
      <w:pPr>
        <w:pStyle w:val="Lbjegyzetszveg"/>
        <w:jc w:val="both"/>
      </w:pPr>
      <w:r>
        <w:rPr>
          <w:rStyle w:val="Lbjegyzet-hivatkozs"/>
        </w:rPr>
        <w:footnoteRef/>
      </w:r>
      <w:r>
        <w:t xml:space="preserve"> </w:t>
      </w:r>
      <w:r w:rsidRPr="00170067">
        <w:rPr>
          <w:i/>
        </w:rPr>
        <w:t>Beépítette a Szenátus 2012. június 28-ai ülésén elfogadott módosítás. Hatályos: 2012. július 1. napjától.</w:t>
      </w:r>
    </w:p>
  </w:footnote>
  <w:footnote w:id="8">
    <w:p w14:paraId="5A0A42FF" w14:textId="77777777" w:rsidR="00BD6AF1" w:rsidRPr="0057124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9">
    <w:p w14:paraId="56B90801" w14:textId="77777777" w:rsidR="00BD6AF1" w:rsidRPr="004F7733" w:rsidRDefault="00BD6AF1" w:rsidP="00893D5B">
      <w:pPr>
        <w:pStyle w:val="Lbjegyzetszveg"/>
        <w:jc w:val="both"/>
        <w:rPr>
          <w:i/>
        </w:rPr>
      </w:pPr>
      <w:r>
        <w:rPr>
          <w:rStyle w:val="Lbjegyzet-hivatkozs"/>
        </w:rPr>
        <w:footnoteRef/>
      </w:r>
      <w:r>
        <w:t xml:space="preserve"> </w:t>
      </w:r>
      <w:r>
        <w:rPr>
          <w:i/>
        </w:rPr>
        <w:t>A módosítást a Szenátus 2015. május 28-ai ülésén fogadta el. Hatályos: 2015. május 28. napjától. A Humán Szolgáltató Iroda elnevezése a szabályzatban Humánpolitikai Igazgatóság (HPI) elnevezésre módosul.</w:t>
      </w:r>
    </w:p>
  </w:footnote>
  <w:footnote w:id="10">
    <w:p w14:paraId="6A0736FB" w14:textId="59115815" w:rsidR="00BD6AF1" w:rsidRPr="00FB278D" w:rsidRDefault="00BD6AF1" w:rsidP="00FB278D">
      <w:pPr>
        <w:pStyle w:val="Lbjegyzetszveg"/>
        <w:jc w:val="both"/>
        <w:rPr>
          <w:i/>
        </w:rPr>
      </w:pPr>
      <w:r>
        <w:rPr>
          <w:rStyle w:val="Lbjegyzet-hivatkozs"/>
        </w:rPr>
        <w:footnoteRef/>
      </w:r>
      <w:r>
        <w:t xml:space="preserve"> </w:t>
      </w:r>
      <w:r>
        <w:rPr>
          <w:i/>
        </w:rPr>
        <w:t>A módosítást a Szenátus a 2020. december 03-ai online ülését követő elektronikus döntéshozatali eljárásában fogadta el. A Humánpolitikai Igazgatóság elnevezés Humánpolitikai Főosztályra módosul. Hatályos: 2021. január 01. napjától.</w:t>
      </w:r>
    </w:p>
  </w:footnote>
  <w:footnote w:id="11">
    <w:p w14:paraId="1374E043" w14:textId="77777777" w:rsidR="00BD6AF1" w:rsidRPr="00AF597E" w:rsidRDefault="00BD6AF1" w:rsidP="00893D5B">
      <w:pPr>
        <w:pStyle w:val="Lbjegyzetszveg"/>
        <w:jc w:val="both"/>
        <w:rPr>
          <w:i/>
        </w:rPr>
      </w:pPr>
      <w:r>
        <w:rPr>
          <w:rStyle w:val="Lbjegyzet-hivatkozs"/>
        </w:rPr>
        <w:footnoteRef/>
      </w:r>
      <w:r>
        <w:t xml:space="preserve"> </w:t>
      </w:r>
      <w:r>
        <w:rPr>
          <w:i/>
        </w:rPr>
        <w:t>A módosítást a Szenátus 2012. június 28-ai ülésén fogadta el. Hatályos: 2012. július 1. napjától.</w:t>
      </w:r>
    </w:p>
  </w:footnote>
  <w:footnote w:id="12">
    <w:p w14:paraId="05CC3246" w14:textId="77777777" w:rsidR="00BD6AF1" w:rsidRPr="00AE4C08" w:rsidRDefault="00BD6AF1" w:rsidP="00893D5B">
      <w:pPr>
        <w:pStyle w:val="Lbjegyzetszveg"/>
        <w:jc w:val="both"/>
        <w:rPr>
          <w:i/>
        </w:rPr>
      </w:pPr>
      <w:r>
        <w:rPr>
          <w:rStyle w:val="Lbjegyzet-hivatkozs"/>
        </w:rPr>
        <w:footnoteRef/>
      </w:r>
      <w:r>
        <w:t xml:space="preserve"> </w:t>
      </w:r>
      <w:r w:rsidRPr="0046335D">
        <w:rPr>
          <w:i/>
        </w:rPr>
        <w:t>A módosítást a Szenátus 2013. február 11-ei ülésén fogadta el. Hatál</w:t>
      </w:r>
      <w:r>
        <w:rPr>
          <w:i/>
        </w:rPr>
        <w:t>yos: 2013. február 11. napjától.</w:t>
      </w:r>
    </w:p>
  </w:footnote>
  <w:footnote w:id="13">
    <w:p w14:paraId="05B1694C" w14:textId="77777777" w:rsidR="00BD6AF1" w:rsidRPr="00CC0BBD" w:rsidRDefault="00BD6AF1" w:rsidP="00893D5B">
      <w:pPr>
        <w:pStyle w:val="Lbjegyzetszveg"/>
        <w:jc w:val="both"/>
        <w:rPr>
          <w:i/>
        </w:rPr>
      </w:pPr>
      <w:r>
        <w:rPr>
          <w:rStyle w:val="Lbjegyzet-hivatkozs"/>
        </w:rPr>
        <w:footnoteRef/>
      </w:r>
      <w:r>
        <w:t xml:space="preserve"> </w:t>
      </w:r>
      <w:r>
        <w:rPr>
          <w:i/>
        </w:rPr>
        <w:t>A módosítást a Szenátus 2015. május 28-ai ülésén fogadta el. Hatályos: 2015. május 28. napjától.</w:t>
      </w:r>
    </w:p>
  </w:footnote>
  <w:footnote w:id="14">
    <w:p w14:paraId="02212F20" w14:textId="77777777" w:rsidR="00BD6AF1" w:rsidRPr="00FE6021" w:rsidRDefault="00BD6AF1" w:rsidP="00893D5B">
      <w:pPr>
        <w:pStyle w:val="Lbjegyzetszveg"/>
        <w:rPr>
          <w:i/>
        </w:rPr>
      </w:pPr>
      <w:r w:rsidRPr="00FE6021">
        <w:rPr>
          <w:rStyle w:val="Lbjegyzet-hivatkozs"/>
          <w:i/>
        </w:rPr>
        <w:footnoteRef/>
      </w:r>
      <w:r w:rsidRPr="00FE6021">
        <w:rPr>
          <w:i/>
        </w:rPr>
        <w:t xml:space="preserve"> A módosítást a Szenátus 2016. március 17-ei ülésén fogadta el. Hatályos: 2016. március 17. napjától.</w:t>
      </w:r>
    </w:p>
  </w:footnote>
  <w:footnote w:id="15">
    <w:p w14:paraId="4E19A009" w14:textId="77777777" w:rsidR="00BD6AF1" w:rsidRPr="00533642" w:rsidRDefault="00BD6AF1" w:rsidP="00893D5B">
      <w:pPr>
        <w:pStyle w:val="Lbjegyzetszveg"/>
        <w:jc w:val="both"/>
        <w:rPr>
          <w:i/>
        </w:rPr>
      </w:pPr>
      <w:r>
        <w:rPr>
          <w:rStyle w:val="Lbjegyzet-hivatkozs"/>
        </w:rPr>
        <w:footnoteRef/>
      </w:r>
      <w:r>
        <w:t xml:space="preserve"> </w:t>
      </w:r>
      <w:r>
        <w:rPr>
          <w:i/>
        </w:rPr>
        <w:t>Beépítette a Szenátus 2018. március 22-ei ülésén elfogadott módosítás. Hatályos: 2018. március 22. napjától.</w:t>
      </w:r>
    </w:p>
  </w:footnote>
  <w:footnote w:id="16">
    <w:p w14:paraId="481D6911" w14:textId="77777777" w:rsidR="00BD6AF1" w:rsidRPr="003A2B95" w:rsidRDefault="00BD6AF1" w:rsidP="00893D5B">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17">
    <w:p w14:paraId="2B547BF5" w14:textId="77777777" w:rsidR="00BD6AF1" w:rsidRPr="000E6473"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18">
    <w:p w14:paraId="07160C75" w14:textId="65161E1A" w:rsidR="00081692" w:rsidRPr="00081692" w:rsidRDefault="00081692" w:rsidP="00081692">
      <w:pPr>
        <w:pStyle w:val="Lbjegyzetszveg"/>
        <w:jc w:val="both"/>
        <w:rPr>
          <w:i/>
        </w:rPr>
      </w:pPr>
      <w:r>
        <w:rPr>
          <w:rStyle w:val="Lbjegyzet-hivatkozs"/>
        </w:rPr>
        <w:footnoteRef/>
      </w:r>
      <w:r>
        <w:t xml:space="preserve"> </w:t>
      </w:r>
      <w:r>
        <w:rPr>
          <w:i/>
        </w:rPr>
        <w:t>Beépítette a Szenátus 2020. december 30-ai rendkívüli online ülését követő elektronikus döntéshozatali eljárásban elfogadott módosítás. Hatályos: 2021. január 01. napjától. A módosítás a veszélyhelyzet megszűnését követő napon hatályát veszti.</w:t>
      </w:r>
    </w:p>
  </w:footnote>
  <w:footnote w:id="19">
    <w:p w14:paraId="6324241E" w14:textId="77777777" w:rsidR="00BD6AF1" w:rsidRPr="00FE6021" w:rsidRDefault="00BD6AF1" w:rsidP="00893D5B">
      <w:pPr>
        <w:pStyle w:val="Lbjegyzetszveg"/>
        <w:jc w:val="both"/>
        <w:rPr>
          <w:i/>
        </w:rPr>
      </w:pPr>
      <w:r w:rsidRPr="00FE6021">
        <w:rPr>
          <w:rStyle w:val="Lbjegyzet-hivatkozs"/>
        </w:rPr>
        <w:footnoteRef/>
      </w:r>
      <w:r w:rsidRPr="00FE6021">
        <w:t xml:space="preserve"> </w:t>
      </w:r>
      <w:r w:rsidRPr="00FE6021">
        <w:rPr>
          <w:i/>
        </w:rPr>
        <w:t>A módosítást a Szenátus 2015. május 28-ai ülésén fogadta el. Hatályos: 2015. május 28. napjától.</w:t>
      </w:r>
    </w:p>
  </w:footnote>
  <w:footnote w:id="20">
    <w:p w14:paraId="7C8A82FD" w14:textId="77777777" w:rsidR="00BD6AF1" w:rsidRPr="00FE6021" w:rsidRDefault="00BD6AF1" w:rsidP="00893D5B">
      <w:pPr>
        <w:pStyle w:val="Lbjegyzetszveg"/>
        <w:rPr>
          <w:i/>
        </w:rPr>
      </w:pPr>
      <w:r>
        <w:rPr>
          <w:rStyle w:val="Lbjegyzet-hivatkozs"/>
        </w:rPr>
        <w:footnoteRef/>
      </w:r>
      <w:r w:rsidRPr="00FE6021">
        <w:rPr>
          <w:i/>
        </w:rPr>
        <w:t xml:space="preserve"> A módosítást a Szenátus 2016. március 17-ei ülésén fogadta el. Hatályos: 2016. március 17. napjától.</w:t>
      </w:r>
    </w:p>
  </w:footnote>
  <w:footnote w:id="21">
    <w:p w14:paraId="68D019EC" w14:textId="77777777" w:rsidR="00BD6AF1" w:rsidRDefault="00BD6AF1" w:rsidP="00893D5B">
      <w:pPr>
        <w:pStyle w:val="Lbjegyzetszveg"/>
      </w:pPr>
      <w:r>
        <w:rPr>
          <w:rStyle w:val="Lbjegyzet-hivatkozs"/>
        </w:rPr>
        <w:footnoteRef/>
      </w:r>
      <w:r>
        <w:t xml:space="preserve"> </w:t>
      </w:r>
      <w:r>
        <w:rPr>
          <w:i/>
        </w:rPr>
        <w:t>Beépítette a Szenátus 2017. június 22-ei</w:t>
      </w:r>
      <w:r w:rsidRPr="003E74F9">
        <w:rPr>
          <w:i/>
        </w:rPr>
        <w:t xml:space="preserve"> ülésén elfogadott módosítás. Hatályos 2017.</w:t>
      </w:r>
      <w:r>
        <w:rPr>
          <w:i/>
        </w:rPr>
        <w:t xml:space="preserve"> június 23</w:t>
      </w:r>
      <w:r w:rsidRPr="003E74F9">
        <w:rPr>
          <w:i/>
        </w:rPr>
        <w:t>. napjától.</w:t>
      </w:r>
    </w:p>
  </w:footnote>
  <w:footnote w:id="22">
    <w:p w14:paraId="4DCFA864" w14:textId="7EF1A6B1" w:rsidR="00BD6AF1" w:rsidRPr="00BD6AF1" w:rsidRDefault="00BD6AF1" w:rsidP="00BD6AF1">
      <w:pPr>
        <w:pStyle w:val="Lbjegyzetszveg"/>
        <w:jc w:val="both"/>
        <w:rPr>
          <w:i/>
        </w:rPr>
      </w:pPr>
      <w:r>
        <w:rPr>
          <w:rStyle w:val="Lbjegyzet-hivatkozs"/>
        </w:rPr>
        <w:footnoteRef/>
      </w:r>
      <w:r>
        <w:t xml:space="preserve"> </w:t>
      </w:r>
      <w:r>
        <w:rPr>
          <w:i/>
        </w:rPr>
        <w:t>Beépítette a Szenátus 2020. december 03-ai online ülését követő elektronikus döntéshozatali eljárásban elfogadott módosítás. Hatályos: 2021. január 01. napjától.</w:t>
      </w:r>
    </w:p>
  </w:footnote>
  <w:footnote w:id="23">
    <w:p w14:paraId="127F4FE0" w14:textId="77777777" w:rsidR="00BD6AF1" w:rsidRPr="00900F69"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4">
    <w:p w14:paraId="3927EF62" w14:textId="77777777" w:rsidR="00BD6AF1" w:rsidRPr="00A270BA" w:rsidRDefault="00BD6AF1" w:rsidP="00893D5B">
      <w:pPr>
        <w:pStyle w:val="Lbjegyzetszveg"/>
        <w:rPr>
          <w:i/>
        </w:rPr>
      </w:pPr>
      <w:r>
        <w:rPr>
          <w:rStyle w:val="Lbjegyzet-hivatkozs"/>
        </w:rPr>
        <w:footnoteRef/>
      </w:r>
      <w:r w:rsidRPr="00FE6021">
        <w:rPr>
          <w:i/>
        </w:rPr>
        <w:t xml:space="preserve"> A módosítást a Szenátus 2016. március 17-ei ülésén fogadta el. Hatályos: 2016. március 17. napjától.</w:t>
      </w:r>
    </w:p>
  </w:footnote>
  <w:footnote w:id="25">
    <w:p w14:paraId="4C17667B" w14:textId="77777777" w:rsidR="00BD6AF1" w:rsidRPr="00EF67A7" w:rsidRDefault="00BD6AF1" w:rsidP="00893D5B">
      <w:pPr>
        <w:pStyle w:val="Lbjegyzetszveg"/>
        <w:jc w:val="both"/>
        <w:rPr>
          <w:i/>
        </w:rPr>
      </w:pPr>
      <w:r>
        <w:rPr>
          <w:rStyle w:val="Lbjegyzet-hivatkozs"/>
        </w:rPr>
        <w:footnoteRef/>
      </w:r>
      <w:r>
        <w:t xml:space="preserve"> </w:t>
      </w:r>
      <w:r>
        <w:rPr>
          <w:i/>
        </w:rPr>
        <w:t>A módosítást a Szenátus 2012. június 28-ai ülésén fogadta el. Hatályos: 2012. július 1. napjától.</w:t>
      </w:r>
    </w:p>
  </w:footnote>
  <w:footnote w:id="26">
    <w:p w14:paraId="38C35B65" w14:textId="77777777" w:rsidR="00BD6AF1" w:rsidRPr="00CD4F44" w:rsidRDefault="00BD6AF1" w:rsidP="00893D5B">
      <w:pPr>
        <w:pStyle w:val="Lbjegyzetszveg"/>
        <w:jc w:val="both"/>
        <w:rPr>
          <w:i/>
        </w:rPr>
      </w:pPr>
      <w:r>
        <w:rPr>
          <w:rStyle w:val="Lbjegyzet-hivatkozs"/>
        </w:rPr>
        <w:footnoteRef/>
      </w:r>
      <w:r>
        <w:t xml:space="preserve"> </w:t>
      </w:r>
      <w:r>
        <w:rPr>
          <w:i/>
        </w:rPr>
        <w:t>A módosítást a Szenátus 2008. február 28-ai ülésén fogadta el. Hatályos: 2008. február 28. napjától.</w:t>
      </w:r>
    </w:p>
  </w:footnote>
  <w:footnote w:id="27">
    <w:p w14:paraId="3995FBF2" w14:textId="77777777" w:rsidR="00BD6AF1" w:rsidRPr="001B5494" w:rsidRDefault="00BD6AF1" w:rsidP="00893D5B">
      <w:pPr>
        <w:pStyle w:val="Lbjegyzetszveg"/>
        <w:jc w:val="both"/>
        <w:rPr>
          <w:i/>
        </w:rPr>
      </w:pPr>
      <w:r w:rsidRPr="001B5494">
        <w:rPr>
          <w:rStyle w:val="Lbjegyzet-hivatkozs"/>
          <w:i/>
        </w:rPr>
        <w:footnoteRef/>
      </w:r>
      <w:r w:rsidRPr="001B5494">
        <w:rPr>
          <w:i/>
        </w:rPr>
        <w:t xml:space="preserve"> Beépítette a Szenátus 2008. február 28-ai ülésén elfogadott módosítás. Hatályos 2008. február 28. napjától.</w:t>
      </w:r>
    </w:p>
  </w:footnote>
  <w:footnote w:id="28">
    <w:p w14:paraId="49EF4CFA" w14:textId="77777777" w:rsidR="00BD6AF1" w:rsidRPr="00827537" w:rsidRDefault="00BD6AF1" w:rsidP="00827537">
      <w:pPr>
        <w:pStyle w:val="Lbjegyzetszveg"/>
        <w:jc w:val="both"/>
        <w:rPr>
          <w:i/>
        </w:rPr>
      </w:pPr>
      <w:r>
        <w:rPr>
          <w:rStyle w:val="Lbjegyzet-hivatkozs"/>
        </w:rPr>
        <w:footnoteRef/>
      </w:r>
      <w:r>
        <w:t xml:space="preserve"> </w:t>
      </w:r>
      <w:r>
        <w:rPr>
          <w:i/>
        </w:rPr>
        <w:t>Beépítette a Szenátus 2016. december 15-e</w:t>
      </w:r>
      <w:r w:rsidRPr="001B5494">
        <w:rPr>
          <w:i/>
        </w:rPr>
        <w:t>i ülésén elfogadott módo</w:t>
      </w:r>
      <w:r>
        <w:rPr>
          <w:i/>
        </w:rPr>
        <w:t>sítás. Hatályos 2017</w:t>
      </w:r>
      <w:r w:rsidRPr="001B5494">
        <w:rPr>
          <w:i/>
        </w:rPr>
        <w:t>.</w:t>
      </w:r>
      <w:r>
        <w:rPr>
          <w:i/>
        </w:rPr>
        <w:t xml:space="preserve"> január 1.</w:t>
      </w:r>
      <w:r w:rsidRPr="001B5494">
        <w:rPr>
          <w:i/>
        </w:rPr>
        <w:t xml:space="preserve"> napjától.</w:t>
      </w:r>
    </w:p>
  </w:footnote>
  <w:footnote w:id="29">
    <w:p w14:paraId="7C68F965" w14:textId="77777777" w:rsidR="00BD6AF1" w:rsidRPr="001D40F3" w:rsidRDefault="00BD6AF1" w:rsidP="00893D5B">
      <w:pPr>
        <w:pStyle w:val="Lbjegyzetszveg"/>
        <w:jc w:val="both"/>
        <w:rPr>
          <w:i/>
        </w:rPr>
      </w:pPr>
      <w:r>
        <w:rPr>
          <w:rStyle w:val="Lbjegyzet-hivatkozs"/>
        </w:rPr>
        <w:footnoteRef/>
      </w:r>
      <w:r>
        <w:t xml:space="preserve"> </w:t>
      </w:r>
      <w:r>
        <w:rPr>
          <w:i/>
        </w:rPr>
        <w:t>A módosítást a Szenátus 2009. április 9-ei ülésén fogadta el. Hatályos: 2009. április 9. napjától.</w:t>
      </w:r>
    </w:p>
  </w:footnote>
  <w:footnote w:id="30">
    <w:p w14:paraId="62348B14" w14:textId="77777777" w:rsidR="00BD6AF1" w:rsidRPr="00316948"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31">
    <w:p w14:paraId="14C873FB" w14:textId="77777777" w:rsidR="00BD6AF1" w:rsidRDefault="00BD6AF1" w:rsidP="00893D5B">
      <w:pPr>
        <w:pStyle w:val="Lbjegyzetszveg"/>
        <w:jc w:val="both"/>
      </w:pPr>
      <w:r>
        <w:rPr>
          <w:rStyle w:val="Lbjegyzet-hivatkozs"/>
        </w:rPr>
        <w:footnoteRef/>
      </w:r>
      <w:r>
        <w:t xml:space="preserve"> </w:t>
      </w:r>
      <w:r w:rsidRPr="001420CC">
        <w:rPr>
          <w:i/>
        </w:rPr>
        <w:t>A módosítást a Szenátus 2015. november 12-ei ülésén fogadta el. Hatályos: 2015. november 12. napjától.</w:t>
      </w:r>
    </w:p>
  </w:footnote>
  <w:footnote w:id="32">
    <w:p w14:paraId="6916255E" w14:textId="77777777" w:rsidR="00BD6AF1" w:rsidRDefault="00BD6AF1" w:rsidP="00893D5B">
      <w:pPr>
        <w:pStyle w:val="Lbjegyzetszveg"/>
      </w:pPr>
      <w:r>
        <w:rPr>
          <w:rStyle w:val="Lbjegyzet-hivatkozs"/>
        </w:rPr>
        <w:footnoteRef/>
      </w:r>
      <w:r>
        <w:t xml:space="preserve"> </w:t>
      </w:r>
      <w:r w:rsidRPr="001420CC">
        <w:rPr>
          <w:i/>
        </w:rPr>
        <w:t>A módosítást a Szenátus 2015. november 12-ei ülésén fogadta el. Hatályos: 2015. november 12. napjától.</w:t>
      </w:r>
    </w:p>
  </w:footnote>
  <w:footnote w:id="33">
    <w:p w14:paraId="11A48867"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34">
    <w:p w14:paraId="7011978E"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35">
    <w:p w14:paraId="6DF00F01" w14:textId="77777777" w:rsidR="00BD6AF1" w:rsidRPr="00AD62DC" w:rsidRDefault="00BD6AF1" w:rsidP="00893D5B">
      <w:pPr>
        <w:pStyle w:val="Lbjegyzetszveg"/>
        <w:jc w:val="both"/>
        <w:rPr>
          <w:i/>
        </w:rPr>
      </w:pPr>
      <w:r>
        <w:rPr>
          <w:rStyle w:val="Lbjegyzet-hivatkozs"/>
        </w:rPr>
        <w:footnoteRef/>
      </w:r>
      <w:r>
        <w:t xml:space="preserve"> </w:t>
      </w:r>
      <w:r>
        <w:rPr>
          <w:i/>
        </w:rPr>
        <w:t>Beépítette a Szenátus 2010. február 18-ai ülésén elfogadott módosítás. Hatályos: 2010. február 18. napjától.</w:t>
      </w:r>
    </w:p>
  </w:footnote>
  <w:footnote w:id="36">
    <w:p w14:paraId="2D7C9346" w14:textId="77777777" w:rsidR="00BD6AF1" w:rsidRDefault="00BD6AF1" w:rsidP="00893D5B">
      <w:pPr>
        <w:pStyle w:val="Lbjegyzetszveg"/>
        <w:jc w:val="both"/>
      </w:pPr>
      <w:r>
        <w:rPr>
          <w:rStyle w:val="Lbjegyzet-hivatkozs"/>
        </w:rPr>
        <w:footnoteRef/>
      </w:r>
      <w:r>
        <w:t xml:space="preserve"> </w:t>
      </w:r>
      <w:r w:rsidRPr="00996351">
        <w:rPr>
          <w:i/>
        </w:rPr>
        <w:t>A módosítást a Szenátus 2015. november 12-ei ülésén fogadta el. Hatályos: 2015. november 12. napjától.</w:t>
      </w:r>
    </w:p>
  </w:footnote>
  <w:footnote w:id="37">
    <w:p w14:paraId="1F2AAC4A" w14:textId="77777777" w:rsidR="00BD6AF1" w:rsidRPr="00C546EC" w:rsidRDefault="00BD6AF1" w:rsidP="00893D5B">
      <w:pPr>
        <w:pStyle w:val="Lbjegyzetszveg"/>
        <w:jc w:val="both"/>
        <w:rPr>
          <w:i/>
        </w:rPr>
      </w:pPr>
      <w:r>
        <w:rPr>
          <w:rStyle w:val="Lbjegyzet-hivatkozs"/>
        </w:rPr>
        <w:footnoteRef/>
      </w:r>
      <w:r>
        <w:t xml:space="preserve"> </w:t>
      </w:r>
      <w:r>
        <w:rPr>
          <w:i/>
        </w:rPr>
        <w:t>A módosítást a Szenátus 2014. április 24-</w:t>
      </w:r>
      <w:proofErr w:type="gramStart"/>
      <w:r>
        <w:rPr>
          <w:i/>
        </w:rPr>
        <w:t>.ei</w:t>
      </w:r>
      <w:proofErr w:type="gramEnd"/>
      <w:r>
        <w:rPr>
          <w:i/>
        </w:rPr>
        <w:t xml:space="preserve"> ülésén fogadta el. Hatályos: 2014. április 24. napjától.</w:t>
      </w:r>
    </w:p>
  </w:footnote>
  <w:footnote w:id="38">
    <w:p w14:paraId="43204DC7" w14:textId="77777777" w:rsidR="00BD6AF1" w:rsidRPr="009E3439" w:rsidRDefault="00BD6AF1" w:rsidP="00893D5B">
      <w:pPr>
        <w:pStyle w:val="Lbjegyzetszveg"/>
        <w:jc w:val="both"/>
        <w:rPr>
          <w:i/>
        </w:rPr>
      </w:pPr>
      <w:r w:rsidRPr="009E3439">
        <w:rPr>
          <w:rStyle w:val="Lbjegyzet-hivatkozs"/>
          <w:i/>
        </w:rPr>
        <w:footnoteRef/>
      </w:r>
      <w:r w:rsidRPr="009E3439">
        <w:rPr>
          <w:i/>
        </w:rPr>
        <w:t xml:space="preserve"> A módosítást a Szenátus 2008. június 26-ai ülésén fogadta el. Hatályos 2008. június 26. napjától.</w:t>
      </w:r>
    </w:p>
  </w:footnote>
  <w:footnote w:id="39">
    <w:p w14:paraId="49549C4A"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w:t>
      </w:r>
      <w:r w:rsidRPr="001B5494">
        <w:rPr>
          <w:i/>
        </w:rPr>
        <w:t>.</w:t>
      </w:r>
      <w:r>
        <w:rPr>
          <w:i/>
        </w:rPr>
        <w:t xml:space="preserve"> január 1.</w:t>
      </w:r>
      <w:r w:rsidRPr="001B5494">
        <w:rPr>
          <w:i/>
        </w:rPr>
        <w:t xml:space="preserve"> napjától.</w:t>
      </w:r>
    </w:p>
  </w:footnote>
  <w:footnote w:id="40">
    <w:p w14:paraId="4DFCAA49" w14:textId="77777777" w:rsidR="00BD6AF1" w:rsidRPr="00E4288C" w:rsidRDefault="00BD6AF1" w:rsidP="00893D5B">
      <w:pPr>
        <w:pStyle w:val="Lbjegyzetszveg"/>
        <w:jc w:val="both"/>
        <w:rPr>
          <w:i/>
        </w:rPr>
      </w:pPr>
      <w:r>
        <w:rPr>
          <w:rStyle w:val="Lbjegyzet-hivatkozs"/>
        </w:rPr>
        <w:footnoteRef/>
      </w:r>
      <w:r>
        <w:t xml:space="preserve"> </w:t>
      </w:r>
      <w:r>
        <w:rPr>
          <w:i/>
        </w:rPr>
        <w:t>Hatályát kívül helyezte a Szenátus 2013. november 14-ei ülésén elfogadott módosítás. Hatálytalan: 2013. november 14. napjától.</w:t>
      </w:r>
    </w:p>
  </w:footnote>
  <w:footnote w:id="41">
    <w:p w14:paraId="711D7F78" w14:textId="77777777" w:rsidR="00BD6AF1" w:rsidRPr="002B0AAB"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42">
    <w:p w14:paraId="13B00D57" w14:textId="77777777" w:rsidR="00BD6AF1" w:rsidRPr="009755E2" w:rsidRDefault="00BD6AF1" w:rsidP="00893D5B">
      <w:pPr>
        <w:pStyle w:val="Lbjegyzetszveg"/>
        <w:jc w:val="both"/>
        <w:rPr>
          <w:i/>
        </w:rPr>
      </w:pPr>
      <w:r>
        <w:rPr>
          <w:rStyle w:val="Lbjegyzet-hivatkozs"/>
        </w:rPr>
        <w:footnoteRef/>
      </w:r>
      <w:r>
        <w:t xml:space="preserve"> </w:t>
      </w:r>
      <w:r>
        <w:rPr>
          <w:i/>
        </w:rPr>
        <w:t>Beépítette a Szenátus 2013. november 14-ei ülésén elfogadott módosítás. Hatályos: 2013. november 14. napjától.</w:t>
      </w:r>
    </w:p>
  </w:footnote>
  <w:footnote w:id="43">
    <w:p w14:paraId="63FC8810" w14:textId="77777777" w:rsidR="00BD6AF1" w:rsidRPr="00434562" w:rsidRDefault="00BD6AF1" w:rsidP="00893D5B">
      <w:pPr>
        <w:pStyle w:val="Lbjegyzetszveg"/>
        <w:jc w:val="both"/>
        <w:rPr>
          <w:i/>
        </w:rPr>
      </w:pPr>
      <w:r>
        <w:rPr>
          <w:rStyle w:val="Lbjegyzet-hivatkozs"/>
        </w:rPr>
        <w:footnoteRef/>
      </w:r>
      <w:r>
        <w:t xml:space="preserve"> </w:t>
      </w:r>
      <w:r>
        <w:rPr>
          <w:i/>
        </w:rPr>
        <w:t>A (4) bekezdés d) pontját hatályon kívül helyezte és az (5) bekezdést beépítette a Szenátus 2011. december 15-ei ülésén elfogadott módosítás. Hatályos: 2011. december 15. napjától.</w:t>
      </w:r>
    </w:p>
  </w:footnote>
  <w:footnote w:id="44">
    <w:p w14:paraId="69FCB643" w14:textId="77777777" w:rsidR="00BD6AF1" w:rsidRPr="00A80C11" w:rsidRDefault="00BD6AF1" w:rsidP="00893D5B">
      <w:pPr>
        <w:pStyle w:val="Lbjegyzetszveg"/>
        <w:jc w:val="both"/>
        <w:rPr>
          <w:i/>
        </w:rPr>
      </w:pPr>
      <w:r>
        <w:rPr>
          <w:rStyle w:val="Lbjegyzet-hivatkozs"/>
        </w:rPr>
        <w:footnoteRef/>
      </w:r>
      <w:r>
        <w:t xml:space="preserve"> </w:t>
      </w:r>
      <w:r>
        <w:rPr>
          <w:i/>
        </w:rPr>
        <w:t xml:space="preserve">Beépítette a Szenátus 2012. június 28-ai ülésén elfogadott módosítás. </w:t>
      </w:r>
    </w:p>
  </w:footnote>
  <w:footnote w:id="45">
    <w:p w14:paraId="1EE90A20" w14:textId="77777777" w:rsidR="00BD6AF1" w:rsidRPr="00AE4C08" w:rsidRDefault="00BD6AF1" w:rsidP="00893D5B">
      <w:pPr>
        <w:pStyle w:val="Lbjegyzetszveg"/>
        <w:jc w:val="both"/>
        <w:rPr>
          <w:i/>
        </w:rPr>
      </w:pPr>
      <w:r>
        <w:rPr>
          <w:rStyle w:val="Lbjegyzet-hivatkozs"/>
        </w:rPr>
        <w:footnoteRef/>
      </w:r>
      <w:r>
        <w:t xml:space="preserve"> </w:t>
      </w:r>
      <w:r w:rsidRPr="005658EE">
        <w:rPr>
          <w:i/>
        </w:rPr>
        <w:t>A módosítást a Szenátus 2012. június 28-ai ülésén fogadta el.</w:t>
      </w:r>
    </w:p>
  </w:footnote>
  <w:footnote w:id="46">
    <w:p w14:paraId="6D3622AC" w14:textId="77777777" w:rsidR="00BD6AF1" w:rsidRPr="00C87775" w:rsidRDefault="00BD6AF1" w:rsidP="00893D5B">
      <w:pPr>
        <w:pStyle w:val="Lbjegyzetszveg"/>
        <w:jc w:val="both"/>
        <w:rPr>
          <w:i/>
        </w:rPr>
      </w:pPr>
      <w:r>
        <w:rPr>
          <w:rStyle w:val="Lbjegyzet-hivatkozs"/>
        </w:rPr>
        <w:footnoteRef/>
      </w:r>
      <w:r>
        <w:t xml:space="preserve"> </w:t>
      </w:r>
      <w:r w:rsidRPr="005658EE">
        <w:rPr>
          <w:i/>
        </w:rPr>
        <w:t>A módosítást a Szenátus 2013. november 14-ei ülésén fogadta el. Hatál</w:t>
      </w:r>
      <w:r>
        <w:rPr>
          <w:i/>
        </w:rPr>
        <w:t>yos: 2013. november 14. napjától.</w:t>
      </w:r>
    </w:p>
  </w:footnote>
  <w:footnote w:id="47">
    <w:p w14:paraId="50DD1167" w14:textId="77777777" w:rsidR="00BD6AF1" w:rsidRDefault="00BD6AF1" w:rsidP="00893D5B">
      <w:pPr>
        <w:pStyle w:val="Lbjegyzetszveg"/>
        <w:jc w:val="both"/>
      </w:pPr>
      <w:r>
        <w:rPr>
          <w:rStyle w:val="Lbjegyzet-hivatkozs"/>
        </w:rPr>
        <w:footnoteRef/>
      </w:r>
      <w:r>
        <w:t xml:space="preserve"> </w:t>
      </w:r>
      <w:r w:rsidRPr="0046152B">
        <w:rPr>
          <w:i/>
        </w:rPr>
        <w:t>A módosítást a Szenátus 2015. november 12-ei ülésén fogadta el. Hatályos: 2015. november 12. napjától</w:t>
      </w:r>
      <w:r>
        <w:rPr>
          <w:i/>
        </w:rPr>
        <w:t>.</w:t>
      </w:r>
    </w:p>
  </w:footnote>
  <w:footnote w:id="48">
    <w:p w14:paraId="4BF16C11" w14:textId="77777777" w:rsidR="00BD6AF1" w:rsidRPr="00AE4C08" w:rsidRDefault="00BD6AF1" w:rsidP="00893D5B">
      <w:pPr>
        <w:pStyle w:val="Lbjegyzetszveg"/>
        <w:jc w:val="both"/>
        <w:rPr>
          <w:i/>
          <w:strike/>
        </w:rPr>
      </w:pPr>
      <w:r>
        <w:rPr>
          <w:rStyle w:val="Lbjegyzet-hivatkozs"/>
        </w:rPr>
        <w:footnoteRef/>
      </w:r>
      <w:r>
        <w:t xml:space="preserve"> </w:t>
      </w:r>
      <w:r w:rsidRPr="005658EE">
        <w:rPr>
          <w:i/>
        </w:rPr>
        <w:t>A módosítást a Szenátus 2013. február 11-ei ülésén fogadta el. Hatályos: 2013. február 11. napjától.</w:t>
      </w:r>
    </w:p>
  </w:footnote>
  <w:footnote w:id="49">
    <w:p w14:paraId="07CBA53E" w14:textId="77777777" w:rsidR="00BD6AF1" w:rsidRPr="005658EE" w:rsidRDefault="00BD6AF1" w:rsidP="00893D5B">
      <w:pPr>
        <w:pStyle w:val="Lbjegyzetszveg"/>
        <w:rPr>
          <w:i/>
        </w:rPr>
      </w:pPr>
      <w:r>
        <w:rPr>
          <w:rStyle w:val="Lbjegyzet-hivatkozs"/>
        </w:rPr>
        <w:footnoteRef/>
      </w:r>
      <w:r>
        <w:t xml:space="preserve"> </w:t>
      </w:r>
      <w:r>
        <w:rPr>
          <w:i/>
        </w:rPr>
        <w:t>A módosítást a Szenátus 2015. május 28-ai ülésén fogadta el. Hatályos: 2015. május 28. napjától.</w:t>
      </w:r>
    </w:p>
  </w:footnote>
  <w:footnote w:id="50">
    <w:p w14:paraId="2A8EDF91" w14:textId="77777777" w:rsidR="00BD6AF1" w:rsidRPr="00AE4C08" w:rsidRDefault="00BD6AF1" w:rsidP="00893D5B">
      <w:pPr>
        <w:pStyle w:val="Lbjegyzetszveg"/>
        <w:rPr>
          <w:i/>
          <w:strike/>
        </w:rPr>
      </w:pPr>
      <w:r>
        <w:rPr>
          <w:rStyle w:val="Lbjegyzet-hivatkozs"/>
        </w:rPr>
        <w:footnoteRef/>
      </w:r>
      <w:r>
        <w:t xml:space="preserve"> </w:t>
      </w:r>
      <w:r w:rsidRPr="005658EE">
        <w:rPr>
          <w:i/>
        </w:rPr>
        <w:t>A módosítást a Szenátus 2013. február 11-ei ülésén fogadta el. Hatályos: 2013. február 11. napjától.</w:t>
      </w:r>
    </w:p>
  </w:footnote>
  <w:footnote w:id="51">
    <w:p w14:paraId="46237F50" w14:textId="77777777" w:rsidR="00BD6AF1" w:rsidRPr="00B000E0" w:rsidRDefault="00BD6AF1" w:rsidP="00893D5B">
      <w:pPr>
        <w:pStyle w:val="Lbjegyzetszveg"/>
        <w:rPr>
          <w:i/>
        </w:rPr>
      </w:pPr>
      <w:r>
        <w:rPr>
          <w:rStyle w:val="Lbjegyzet-hivatkozs"/>
        </w:rPr>
        <w:footnoteRef/>
      </w:r>
      <w:r>
        <w:t xml:space="preserve"> </w:t>
      </w:r>
      <w:r w:rsidRPr="00B000E0">
        <w:rPr>
          <w:i/>
        </w:rPr>
        <w:t>A módosítást a Szenátus 2015. május 28-ai ülésén fogadta el. Hatályos: 2015. május 28. napjától.</w:t>
      </w:r>
    </w:p>
  </w:footnote>
  <w:footnote w:id="52">
    <w:p w14:paraId="5AD7FE65" w14:textId="77777777" w:rsidR="00BD6AF1" w:rsidRPr="00A270BA" w:rsidRDefault="00BD6AF1" w:rsidP="00893D5B">
      <w:pPr>
        <w:pStyle w:val="Lbjegyzetszveg"/>
        <w:rPr>
          <w:i/>
        </w:rPr>
      </w:pPr>
      <w:r>
        <w:rPr>
          <w:rStyle w:val="Lbjegyzet-hivatkozs"/>
        </w:rPr>
        <w:footnoteRef/>
      </w:r>
      <w:r>
        <w:t xml:space="preserve"> </w:t>
      </w:r>
      <w:r>
        <w:rPr>
          <w:i/>
        </w:rPr>
        <w:t>Beépítette</w:t>
      </w:r>
      <w:r w:rsidRPr="00FE6021">
        <w:rPr>
          <w:i/>
        </w:rPr>
        <w:t xml:space="preserve"> a Szenátus 20</w:t>
      </w:r>
      <w:r>
        <w:rPr>
          <w:i/>
        </w:rPr>
        <w:t>16. március 17-ei ülésén</w:t>
      </w:r>
      <w:r w:rsidRPr="00FE6021">
        <w:rPr>
          <w:i/>
        </w:rPr>
        <w:t xml:space="preserve"> el</w:t>
      </w:r>
      <w:r>
        <w:rPr>
          <w:i/>
        </w:rPr>
        <w:t>fogadott módosítás</w:t>
      </w:r>
      <w:r w:rsidRPr="00FE6021">
        <w:rPr>
          <w:i/>
        </w:rPr>
        <w:t>. Hatályos: 2016. március 17. napjától.</w:t>
      </w:r>
    </w:p>
  </w:footnote>
  <w:footnote w:id="53">
    <w:p w14:paraId="2B475CD5" w14:textId="77777777" w:rsidR="00BD6AF1" w:rsidRPr="00D45118" w:rsidRDefault="00BD6AF1" w:rsidP="00893D5B">
      <w:pPr>
        <w:pStyle w:val="Lbjegyzetszveg"/>
        <w:rPr>
          <w:i/>
        </w:rPr>
      </w:pPr>
      <w:r>
        <w:rPr>
          <w:rStyle w:val="Lbjegyzet-hivatkozs"/>
        </w:rPr>
        <w:footnoteRef/>
      </w:r>
      <w:r>
        <w:t xml:space="preserve"> </w:t>
      </w:r>
      <w:r>
        <w:rPr>
          <w:i/>
        </w:rPr>
        <w:t>A módosítást a Szenátus 2012. június 28-ai ülésén fogadta el.</w:t>
      </w:r>
    </w:p>
  </w:footnote>
  <w:footnote w:id="54">
    <w:p w14:paraId="6BC11FAF" w14:textId="77777777" w:rsidR="00BD6AF1" w:rsidRPr="00DF2B7B" w:rsidRDefault="00BD6AF1" w:rsidP="00893D5B">
      <w:pPr>
        <w:pStyle w:val="Lbjegyzetszveg"/>
        <w:rPr>
          <w:i/>
        </w:rPr>
      </w:pPr>
      <w:r>
        <w:rPr>
          <w:rStyle w:val="Lbjegyzet-hivatkozs"/>
        </w:rPr>
        <w:footnoteRef/>
      </w:r>
      <w:r>
        <w:t xml:space="preserve"> </w:t>
      </w:r>
      <w:r>
        <w:rPr>
          <w:i/>
        </w:rPr>
        <w:t>A módosítást a Szenátus 2013. február 11-ei ülésén fogadta el. Hatályos: 2013. február 11. napjától.</w:t>
      </w:r>
    </w:p>
  </w:footnote>
  <w:footnote w:id="55">
    <w:p w14:paraId="6AE96147" w14:textId="77777777" w:rsidR="00BD6AF1" w:rsidRPr="00DF2B7B" w:rsidRDefault="00BD6AF1" w:rsidP="00893D5B">
      <w:pPr>
        <w:pStyle w:val="Lbjegyzetszveg"/>
        <w:rPr>
          <w:i/>
        </w:rPr>
      </w:pPr>
      <w:r>
        <w:rPr>
          <w:rStyle w:val="Lbjegyzet-hivatkozs"/>
        </w:rPr>
        <w:footnoteRef/>
      </w:r>
      <w:r>
        <w:t xml:space="preserve"> </w:t>
      </w:r>
      <w:r>
        <w:rPr>
          <w:i/>
        </w:rPr>
        <w:t>A módosítást a Szenátus 2013. november 14-ei ülésén fogadta el. Hatályos: 2013. november 14. napjától.</w:t>
      </w:r>
    </w:p>
  </w:footnote>
  <w:footnote w:id="56">
    <w:p w14:paraId="1645BF6E" w14:textId="77777777" w:rsidR="00BD6AF1" w:rsidRPr="00045735" w:rsidRDefault="00BD6AF1" w:rsidP="00893D5B">
      <w:pPr>
        <w:pStyle w:val="Lbjegyzetszveg"/>
        <w:rPr>
          <w:i/>
        </w:rPr>
      </w:pPr>
      <w:r>
        <w:rPr>
          <w:rStyle w:val="Lbjegyzet-hivatkozs"/>
        </w:rPr>
        <w:footnoteRef/>
      </w:r>
      <w:r>
        <w:t xml:space="preserve"> </w:t>
      </w:r>
      <w:r>
        <w:rPr>
          <w:i/>
        </w:rPr>
        <w:t>A módosítást a Szenátus 2013. november 14-ei ülésén fogadta el. Hatályos: 2013. november 14. napjától.</w:t>
      </w:r>
    </w:p>
  </w:footnote>
  <w:footnote w:id="57">
    <w:p w14:paraId="0CCDA253" w14:textId="77777777" w:rsidR="00BD6AF1" w:rsidRPr="00183779" w:rsidRDefault="00BD6AF1" w:rsidP="00893D5B">
      <w:pPr>
        <w:pStyle w:val="Lbjegyzetszveg"/>
        <w:rPr>
          <w:i/>
        </w:rPr>
      </w:pPr>
      <w:r>
        <w:rPr>
          <w:rStyle w:val="Lbjegyzet-hivatkozs"/>
        </w:rPr>
        <w:footnoteRef/>
      </w:r>
      <w:r>
        <w:t xml:space="preserve"> </w:t>
      </w:r>
      <w:r w:rsidRPr="00071F01">
        <w:rPr>
          <w:i/>
        </w:rPr>
        <w:t>A módosítást a Szenátus 2013. november 14-ei ülésén fogadta el. Hatályos: 2013. november 14. napjától.</w:t>
      </w:r>
    </w:p>
  </w:footnote>
  <w:footnote w:id="58">
    <w:p w14:paraId="47D908F1" w14:textId="77777777" w:rsidR="00BD6AF1" w:rsidRPr="006256BB" w:rsidRDefault="00BD6AF1" w:rsidP="00893D5B">
      <w:pPr>
        <w:pStyle w:val="Lbjegyzetszveg"/>
        <w:jc w:val="both"/>
        <w:rPr>
          <w:i/>
        </w:rPr>
      </w:pPr>
      <w:r>
        <w:rPr>
          <w:rStyle w:val="Lbjegyzet-hivatkozs"/>
        </w:rPr>
        <w:footnoteRef/>
      </w:r>
      <w:r>
        <w:t xml:space="preserve"> </w:t>
      </w:r>
      <w:r w:rsidRPr="007B73C5">
        <w:rPr>
          <w:i/>
        </w:rPr>
        <w:t>A módosítást a Szenátus 2012. június 28-ai ülésén fogadta el.</w:t>
      </w:r>
    </w:p>
  </w:footnote>
  <w:footnote w:id="59">
    <w:p w14:paraId="6C38E7A1" w14:textId="77777777" w:rsidR="00BD6AF1" w:rsidRPr="00A270BA" w:rsidRDefault="00BD6AF1" w:rsidP="00893D5B">
      <w:pPr>
        <w:pStyle w:val="Lbjegyzetszveg"/>
        <w:rPr>
          <w:i/>
        </w:rPr>
      </w:pPr>
      <w:r w:rsidRPr="00FE6021">
        <w:rPr>
          <w:rStyle w:val="Lbjegyzet-hivatkozs"/>
          <w:i/>
        </w:rPr>
        <w:footnoteRef/>
      </w:r>
      <w:r w:rsidRPr="00FE6021">
        <w:rPr>
          <w:i/>
        </w:rPr>
        <w:t xml:space="preserve"> A módosítást a Szenátus 2016. március 17-ei ülésén fogadta el. Hatályos: 2016. március 17. napjától.</w:t>
      </w:r>
    </w:p>
  </w:footnote>
  <w:footnote w:id="60">
    <w:p w14:paraId="5E1B02C6" w14:textId="77777777" w:rsidR="00BD6AF1" w:rsidRPr="008F1F4D" w:rsidRDefault="00BD6AF1" w:rsidP="00893D5B">
      <w:pPr>
        <w:pStyle w:val="Lbjegyzetszveg"/>
        <w:jc w:val="both"/>
        <w:rPr>
          <w:i/>
        </w:rPr>
      </w:pPr>
      <w:r>
        <w:rPr>
          <w:rStyle w:val="Lbjegyzet-hivatkozs"/>
        </w:rPr>
        <w:footnoteRef/>
      </w:r>
      <w:r>
        <w:t xml:space="preserve"> </w:t>
      </w:r>
      <w:r>
        <w:rPr>
          <w:i/>
        </w:rPr>
        <w:t>A módosítást a Szenátus 2015. június 25-ei ülésén fogadta el. Hatályos: 2015. június 25. napjától.</w:t>
      </w:r>
    </w:p>
  </w:footnote>
  <w:footnote w:id="61">
    <w:p w14:paraId="4D46465D"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w:t>
      </w:r>
      <w:r w:rsidRPr="001B5494">
        <w:rPr>
          <w:i/>
        </w:rPr>
        <w:t>.</w:t>
      </w:r>
      <w:r>
        <w:rPr>
          <w:i/>
        </w:rPr>
        <w:t xml:space="preserve"> január 1.</w:t>
      </w:r>
      <w:r w:rsidRPr="001B5494">
        <w:rPr>
          <w:i/>
        </w:rPr>
        <w:t xml:space="preserve"> napjától.</w:t>
      </w:r>
    </w:p>
  </w:footnote>
  <w:footnote w:id="62">
    <w:p w14:paraId="1C062EDC" w14:textId="77777777" w:rsidR="00BD6AF1" w:rsidRPr="00D118C1" w:rsidRDefault="00BD6AF1" w:rsidP="00893D5B">
      <w:pPr>
        <w:pStyle w:val="Lbjegyzetszveg"/>
        <w:jc w:val="both"/>
        <w:rPr>
          <w:i/>
        </w:rPr>
      </w:pPr>
      <w:r>
        <w:rPr>
          <w:rStyle w:val="Lbjegyzet-hivatkozs"/>
        </w:rPr>
        <w:footnoteRef/>
      </w:r>
      <w:r>
        <w:t xml:space="preserve"> </w:t>
      </w:r>
      <w:r w:rsidRPr="007B73C5">
        <w:rPr>
          <w:i/>
        </w:rPr>
        <w:t>A módosítást a Szenátus 2014. április 24-ei ülésén fogadta el. Hatályos: 2014. április 24. napjától.</w:t>
      </w:r>
    </w:p>
  </w:footnote>
  <w:footnote w:id="63">
    <w:p w14:paraId="344075EE" w14:textId="77777777" w:rsidR="00BD6AF1" w:rsidRPr="007B73C5" w:rsidRDefault="00BD6AF1" w:rsidP="00893D5B">
      <w:pPr>
        <w:pStyle w:val="Lbjegyzetszveg"/>
        <w:jc w:val="both"/>
        <w:rPr>
          <w:i/>
        </w:rPr>
      </w:pPr>
      <w:r>
        <w:rPr>
          <w:rStyle w:val="Lbjegyzet-hivatkozs"/>
        </w:rPr>
        <w:footnoteRef/>
      </w:r>
      <w:r>
        <w:t xml:space="preserve"> </w:t>
      </w:r>
      <w:r w:rsidRPr="007B73C5">
        <w:rPr>
          <w:i/>
        </w:rPr>
        <w:t>A módosítást a Szenátus 2015. május 28-ai ülésén fogadta el. Hatályos: 2015. május 28. napjától.</w:t>
      </w:r>
    </w:p>
  </w:footnote>
  <w:footnote w:id="64">
    <w:p w14:paraId="27F8F44B" w14:textId="77777777" w:rsidR="00BD6AF1" w:rsidRDefault="00BD6AF1" w:rsidP="00893D5B">
      <w:pPr>
        <w:pStyle w:val="Lbjegyzetszveg"/>
      </w:pPr>
      <w:r>
        <w:rPr>
          <w:rStyle w:val="Lbjegyzet-hivatkozs"/>
        </w:rPr>
        <w:footnoteRef/>
      </w:r>
      <w:r>
        <w:t xml:space="preserve"> </w:t>
      </w:r>
      <w:r>
        <w:rPr>
          <w:i/>
        </w:rPr>
        <w:t>Hatályon kívül helyezte a Szenátus 2016. december 15-ei ülésén elfogadott módosítás. Hatálytalan 2017</w:t>
      </w:r>
      <w:r w:rsidRPr="001B5494">
        <w:rPr>
          <w:i/>
        </w:rPr>
        <w:t>.</w:t>
      </w:r>
      <w:r>
        <w:rPr>
          <w:i/>
        </w:rPr>
        <w:t xml:space="preserve"> január 1.</w:t>
      </w:r>
      <w:r w:rsidRPr="001B5494">
        <w:rPr>
          <w:i/>
        </w:rPr>
        <w:t xml:space="preserve"> napjától.</w:t>
      </w:r>
    </w:p>
  </w:footnote>
  <w:footnote w:id="65">
    <w:p w14:paraId="14C0AA01" w14:textId="77777777" w:rsidR="00BD6AF1" w:rsidRDefault="00BD6AF1" w:rsidP="00893D5B">
      <w:pPr>
        <w:pStyle w:val="Lbjegyzetszveg"/>
      </w:pPr>
      <w:r>
        <w:rPr>
          <w:rStyle w:val="Lbjegyzet-hivatkozs"/>
        </w:rPr>
        <w:footnoteRef/>
      </w:r>
      <w:r>
        <w:t xml:space="preserve"> </w:t>
      </w:r>
      <w:r>
        <w:rPr>
          <w:i/>
        </w:rPr>
        <w:t>Hatályon kívül helyezte a Szenátus 2016. december 15-ei ülésén elfogadott módosítás. Hatálytalan 2017</w:t>
      </w:r>
      <w:r w:rsidRPr="001B5494">
        <w:rPr>
          <w:i/>
        </w:rPr>
        <w:t>.</w:t>
      </w:r>
      <w:r>
        <w:rPr>
          <w:i/>
        </w:rPr>
        <w:t xml:space="preserve"> január 1.</w:t>
      </w:r>
      <w:r w:rsidRPr="001B5494">
        <w:rPr>
          <w:i/>
        </w:rPr>
        <w:t xml:space="preserve"> napjától.</w:t>
      </w:r>
    </w:p>
  </w:footnote>
  <w:footnote w:id="66">
    <w:p w14:paraId="3E46AA27" w14:textId="77777777" w:rsidR="00BD6AF1" w:rsidRPr="00D118C1"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67">
    <w:p w14:paraId="37FA6014" w14:textId="77777777" w:rsidR="00BD6AF1" w:rsidRDefault="00BD6AF1" w:rsidP="00893D5B">
      <w:pPr>
        <w:pStyle w:val="Lbjegyzetszveg"/>
      </w:pPr>
      <w:r>
        <w:rPr>
          <w:rStyle w:val="Lbjegyzet-hivatkozs"/>
        </w:rPr>
        <w:footnoteRef/>
      </w:r>
      <w:r>
        <w:t xml:space="preserve"> </w:t>
      </w:r>
      <w:r>
        <w:rPr>
          <w:i/>
        </w:rPr>
        <w:t>Hatályon kívül helyezte a Szenátus 2016. december 15-ei ülésén elfogadott módosítás. Hatálytalan 2017</w:t>
      </w:r>
      <w:r w:rsidRPr="001B5494">
        <w:rPr>
          <w:i/>
        </w:rPr>
        <w:t>.</w:t>
      </w:r>
      <w:r>
        <w:rPr>
          <w:i/>
        </w:rPr>
        <w:t xml:space="preserve"> január 1.</w:t>
      </w:r>
      <w:r w:rsidRPr="001B5494">
        <w:rPr>
          <w:i/>
        </w:rPr>
        <w:t xml:space="preserve"> napjától.</w:t>
      </w:r>
    </w:p>
  </w:footnote>
  <w:footnote w:id="68">
    <w:p w14:paraId="1B44A4CD" w14:textId="77777777" w:rsidR="00BD6AF1" w:rsidRPr="00355064"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69">
    <w:p w14:paraId="33731587"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70">
    <w:p w14:paraId="610DB9B4" w14:textId="77777777" w:rsidR="00BD6AF1" w:rsidRPr="006707E8" w:rsidRDefault="00BD6AF1" w:rsidP="00893D5B">
      <w:pPr>
        <w:pStyle w:val="Lbjegyzetszveg"/>
        <w:jc w:val="both"/>
        <w:rPr>
          <w:i/>
        </w:rPr>
      </w:pPr>
      <w:r>
        <w:rPr>
          <w:rStyle w:val="Lbjegyzet-hivatkozs"/>
        </w:rPr>
        <w:footnoteRef/>
      </w:r>
      <w:r>
        <w:t xml:space="preserve"> </w:t>
      </w:r>
      <w:r>
        <w:rPr>
          <w:i/>
        </w:rPr>
        <w:t>Beépítette a Szenátus 2012. június 28-ai ülésén elfogadott módosítás.</w:t>
      </w:r>
    </w:p>
  </w:footnote>
  <w:footnote w:id="71">
    <w:p w14:paraId="669A0A2D" w14:textId="77777777" w:rsidR="00BD6AF1" w:rsidRPr="0021727F" w:rsidRDefault="00BD6AF1" w:rsidP="00893D5B">
      <w:pPr>
        <w:pStyle w:val="Lbjegyzetszveg"/>
        <w:jc w:val="both"/>
        <w:rPr>
          <w:i/>
        </w:rPr>
      </w:pPr>
      <w:r>
        <w:rPr>
          <w:rStyle w:val="Lbjegyzet-hivatkozs"/>
        </w:rPr>
        <w:footnoteRef/>
      </w:r>
      <w:r>
        <w:t xml:space="preserve"> </w:t>
      </w:r>
      <w:r>
        <w:rPr>
          <w:i/>
        </w:rPr>
        <w:t>A g) és h) pontokat beépítette a Szenátus 2013. november 14-ei ülésén elfogadott módosítás. Hatályos: 2013. november 14. napjától.</w:t>
      </w:r>
    </w:p>
  </w:footnote>
  <w:footnote w:id="72">
    <w:p w14:paraId="3E854DBE" w14:textId="77777777" w:rsidR="00BD6AF1" w:rsidRPr="00D118C1"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73">
    <w:p w14:paraId="1B04535C" w14:textId="77777777" w:rsidR="00BD6AF1" w:rsidRDefault="00BD6AF1" w:rsidP="00893D5B">
      <w:pPr>
        <w:pStyle w:val="Lbjegyzetszveg"/>
        <w:jc w:val="both"/>
      </w:pPr>
      <w:r>
        <w:rPr>
          <w:rStyle w:val="Lbjegyzet-hivatkozs"/>
        </w:rPr>
        <w:footnoteRef/>
      </w:r>
      <w:r>
        <w:t xml:space="preserve"> </w:t>
      </w:r>
      <w:r w:rsidRPr="007B1CD0">
        <w:rPr>
          <w:i/>
        </w:rPr>
        <w:t>Beépítette a Szenátus 2008. június 26-ai ülésén elfogadott módosítás. Hatályba lép 2008. június 26-án.</w:t>
      </w:r>
    </w:p>
  </w:footnote>
  <w:footnote w:id="74">
    <w:p w14:paraId="0FFEA207" w14:textId="77777777" w:rsidR="00BD6AF1" w:rsidRPr="007B1CD0" w:rsidRDefault="00BD6AF1" w:rsidP="00893D5B">
      <w:pPr>
        <w:pStyle w:val="Lbjegyzetszveg"/>
        <w:jc w:val="both"/>
        <w:rPr>
          <w:i/>
        </w:rPr>
      </w:pPr>
      <w:r>
        <w:rPr>
          <w:rStyle w:val="Lbjegyzet-hivatkozs"/>
        </w:rPr>
        <w:footnoteRef/>
      </w:r>
      <w:r>
        <w:t xml:space="preserve"> </w:t>
      </w:r>
      <w:r>
        <w:rPr>
          <w:i/>
        </w:rPr>
        <w:t>A módosítást a Szenátus 2015. május 28-ai ülésén fogadta el. Hatályos: 2015. május 28. napjától.</w:t>
      </w:r>
    </w:p>
  </w:footnote>
  <w:footnote w:id="75">
    <w:p w14:paraId="369AA376" w14:textId="77777777" w:rsidR="00BD6AF1" w:rsidRPr="00BF18AA"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76">
    <w:p w14:paraId="657DB331" w14:textId="77777777" w:rsidR="00BD6AF1" w:rsidRDefault="00BD6AF1" w:rsidP="00893D5B">
      <w:pPr>
        <w:pStyle w:val="Lbjegyzetszveg"/>
      </w:pPr>
      <w:r>
        <w:rPr>
          <w:rStyle w:val="Lbjegyzet-hivatkozs"/>
        </w:rPr>
        <w:footnoteRef/>
      </w:r>
      <w:r>
        <w:t xml:space="preserve"> </w:t>
      </w:r>
      <w:r>
        <w:rPr>
          <w:i/>
        </w:rPr>
        <w:t>Beépítette a Szenátus 2016. december 15-ei ülésén elfogadott módosítás. Hatályos 2017</w:t>
      </w:r>
      <w:r w:rsidRPr="001B5494">
        <w:rPr>
          <w:i/>
        </w:rPr>
        <w:t>.</w:t>
      </w:r>
      <w:r>
        <w:rPr>
          <w:i/>
        </w:rPr>
        <w:t xml:space="preserve"> január 1.</w:t>
      </w:r>
      <w:r w:rsidRPr="001B5494">
        <w:rPr>
          <w:i/>
        </w:rPr>
        <w:t xml:space="preserve"> napjától.</w:t>
      </w:r>
    </w:p>
  </w:footnote>
  <w:footnote w:id="77">
    <w:p w14:paraId="22504A06" w14:textId="77777777" w:rsidR="00BD6AF1" w:rsidRPr="006923F6" w:rsidRDefault="00BD6AF1" w:rsidP="00893D5B">
      <w:pPr>
        <w:pStyle w:val="Lbjegyzetszveg"/>
        <w:jc w:val="both"/>
        <w:rPr>
          <w:i/>
        </w:rPr>
      </w:pPr>
      <w:r>
        <w:rPr>
          <w:rStyle w:val="Lbjegyzet-hivatkozs"/>
        </w:rPr>
        <w:footnoteRef/>
      </w:r>
      <w:r>
        <w:t xml:space="preserve"> </w:t>
      </w:r>
      <w:r>
        <w:rPr>
          <w:i/>
        </w:rPr>
        <w:t>Hatályon kívül helyezte a Szenátus 2010. február 18-ai ülésén elfogadott módosítás.</w:t>
      </w:r>
    </w:p>
  </w:footnote>
  <w:footnote w:id="78">
    <w:p w14:paraId="7D349F3E" w14:textId="77777777" w:rsidR="00BD6AF1" w:rsidRPr="00CF43C1" w:rsidRDefault="00BD6AF1" w:rsidP="00893D5B">
      <w:pPr>
        <w:pStyle w:val="Lbjegyzetszveg"/>
        <w:jc w:val="both"/>
        <w:rPr>
          <w:i/>
        </w:rPr>
      </w:pPr>
      <w:r>
        <w:rPr>
          <w:rStyle w:val="Lbjegyzet-hivatkozs"/>
        </w:rPr>
        <w:footnoteRef/>
      </w:r>
      <w:r>
        <w:t xml:space="preserve"> </w:t>
      </w:r>
      <w:r>
        <w:rPr>
          <w:i/>
        </w:rPr>
        <w:t>A módosítást a Szenátus 2008. február 28-ai ülésén fogadta el. Hatályos: 2008. február 28. napjától.</w:t>
      </w:r>
    </w:p>
  </w:footnote>
  <w:footnote w:id="79">
    <w:p w14:paraId="66CE1045" w14:textId="77777777" w:rsidR="00BD6AF1" w:rsidRPr="007651D8"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80">
    <w:p w14:paraId="0A5325EC" w14:textId="77777777" w:rsidR="00BD6AF1" w:rsidRPr="00410224" w:rsidRDefault="00BD6AF1" w:rsidP="00893D5B">
      <w:pPr>
        <w:pStyle w:val="Lbjegyzetszveg"/>
        <w:jc w:val="both"/>
        <w:rPr>
          <w:i/>
        </w:rPr>
      </w:pPr>
      <w:r>
        <w:rPr>
          <w:rStyle w:val="Lbjegyzet-hivatkozs"/>
        </w:rPr>
        <w:footnoteRef/>
      </w:r>
      <w:r>
        <w:t xml:space="preserve"> </w:t>
      </w:r>
      <w:r w:rsidRPr="00B27131">
        <w:rPr>
          <w:i/>
        </w:rPr>
        <w:t>A módosítást a Szenátus 2013. november 14-ei ülésén fogadta el. Hatályos: 2013. november 14. napjától.</w:t>
      </w:r>
    </w:p>
  </w:footnote>
  <w:footnote w:id="81">
    <w:p w14:paraId="32E29611" w14:textId="77777777" w:rsidR="00BD6AF1" w:rsidRPr="00D03F54" w:rsidRDefault="00BD6AF1" w:rsidP="00893D5B">
      <w:pPr>
        <w:pStyle w:val="Lbjegyzetszveg"/>
        <w:jc w:val="both"/>
        <w:rPr>
          <w:i/>
        </w:rPr>
      </w:pPr>
      <w:r>
        <w:rPr>
          <w:rStyle w:val="Lbjegyzet-hivatkozs"/>
        </w:rPr>
        <w:footnoteRef/>
      </w:r>
      <w:r>
        <w:t xml:space="preserve"> </w:t>
      </w:r>
      <w:r>
        <w:rPr>
          <w:i/>
        </w:rPr>
        <w:t>A módosítást a Szenátus 2015. május 28-ai ülésén fogadta el. Hatályos: 2015. május 28. napjától.</w:t>
      </w:r>
    </w:p>
  </w:footnote>
  <w:footnote w:id="82">
    <w:p w14:paraId="39A3E105" w14:textId="77777777" w:rsidR="00BD6AF1" w:rsidRPr="005D275D" w:rsidRDefault="00BD6AF1" w:rsidP="00893D5B">
      <w:pPr>
        <w:pStyle w:val="Lbjegyzetszveg"/>
        <w:jc w:val="both"/>
        <w:rPr>
          <w:i/>
        </w:rPr>
      </w:pPr>
      <w:r>
        <w:rPr>
          <w:rStyle w:val="Lbjegyzet-hivatkozs"/>
        </w:rPr>
        <w:footnoteRef/>
      </w:r>
      <w:r>
        <w:t xml:space="preserve"> </w:t>
      </w:r>
      <w:r>
        <w:rPr>
          <w:i/>
        </w:rPr>
        <w:t>Beépítette a Szenátus 2008. február 28-ai ülésén elfogadott módosítás. Hatályos: 2008. február 28. napjától.</w:t>
      </w:r>
    </w:p>
  </w:footnote>
  <w:footnote w:id="83">
    <w:p w14:paraId="5EFC444C" w14:textId="77777777" w:rsidR="00BD6AF1" w:rsidRPr="0033193E" w:rsidRDefault="00BD6AF1" w:rsidP="00893D5B">
      <w:pPr>
        <w:pStyle w:val="Lbjegyzetszveg"/>
        <w:jc w:val="both"/>
        <w:rPr>
          <w:i/>
        </w:rPr>
      </w:pPr>
      <w:r>
        <w:rPr>
          <w:rStyle w:val="Lbjegyzet-hivatkozs"/>
        </w:rPr>
        <w:footnoteRef/>
      </w:r>
      <w:r>
        <w:t xml:space="preserve"> </w:t>
      </w:r>
      <w:r>
        <w:rPr>
          <w:i/>
        </w:rPr>
        <w:t>A gyakornoki foglalkoztatásra vonatkozó módosítást a Szenátus 2009. április 9-ei ülésén fogadta el. Hatályos: 2009. április 9. napjától</w:t>
      </w:r>
    </w:p>
  </w:footnote>
  <w:footnote w:id="84">
    <w:p w14:paraId="0ED4FC64" w14:textId="77777777" w:rsidR="00BD6AF1" w:rsidRPr="00A270BA" w:rsidRDefault="00BD6AF1" w:rsidP="00893D5B">
      <w:pPr>
        <w:pStyle w:val="Lbjegyzetszveg"/>
        <w:rPr>
          <w:i/>
        </w:rPr>
      </w:pPr>
      <w:r>
        <w:rPr>
          <w:rStyle w:val="Lbjegyzet-hivatkozs"/>
        </w:rPr>
        <w:footnoteRef/>
      </w:r>
      <w:r>
        <w:t xml:space="preserve"> </w:t>
      </w:r>
      <w:r w:rsidRPr="00FE6021">
        <w:rPr>
          <w:i/>
        </w:rPr>
        <w:t xml:space="preserve"> A módosítást a Szenátus 2016. március 17-ei ülésén fogadta el. Hatályos: 2016. március 17. napjától.</w:t>
      </w:r>
    </w:p>
  </w:footnote>
  <w:footnote w:id="85">
    <w:p w14:paraId="1BE34792" w14:textId="77777777" w:rsidR="00BD6AF1" w:rsidRPr="00A270BA" w:rsidRDefault="00BD6AF1" w:rsidP="00893D5B">
      <w:pPr>
        <w:pStyle w:val="Lbjegyzetszveg"/>
        <w:rPr>
          <w:i/>
        </w:rPr>
      </w:pPr>
      <w:r>
        <w:rPr>
          <w:rStyle w:val="Lbjegyzet-hivatkozs"/>
        </w:rPr>
        <w:footnoteRef/>
      </w:r>
      <w:r>
        <w:t xml:space="preserve"> </w:t>
      </w:r>
      <w:r>
        <w:rPr>
          <w:i/>
        </w:rPr>
        <w:t xml:space="preserve">Hatályon kívül helyezte </w:t>
      </w:r>
      <w:r w:rsidRPr="00FE6021">
        <w:rPr>
          <w:i/>
        </w:rPr>
        <w:t>a Szenátus 2016.</w:t>
      </w:r>
      <w:r>
        <w:rPr>
          <w:i/>
        </w:rPr>
        <w:t xml:space="preserve"> március 17-ei ülésén elfogadott módosítás. Hatálytalan</w:t>
      </w:r>
      <w:r w:rsidRPr="00FE6021">
        <w:rPr>
          <w:i/>
        </w:rPr>
        <w:t>: 2016. március 17. napjától.</w:t>
      </w:r>
    </w:p>
  </w:footnote>
  <w:footnote w:id="86">
    <w:p w14:paraId="793D6B33" w14:textId="77777777" w:rsidR="00BD6AF1" w:rsidRPr="0002739C"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87">
    <w:p w14:paraId="44468873" w14:textId="77777777" w:rsidR="00BD6AF1" w:rsidRPr="00A270BA" w:rsidRDefault="00BD6AF1" w:rsidP="00893D5B">
      <w:pPr>
        <w:pStyle w:val="Lbjegyzetszveg"/>
        <w:jc w:val="both"/>
        <w:rPr>
          <w:i/>
        </w:rPr>
      </w:pPr>
      <w:r>
        <w:rPr>
          <w:rStyle w:val="Lbjegyzet-hivatkozs"/>
        </w:rPr>
        <w:footnoteRef/>
      </w:r>
      <w:r>
        <w:t xml:space="preserve"> </w:t>
      </w:r>
      <w:r>
        <w:rPr>
          <w:i/>
        </w:rPr>
        <w:t xml:space="preserve">Hatályon kívül helyezte </w:t>
      </w:r>
      <w:r w:rsidRPr="00FE6021">
        <w:rPr>
          <w:i/>
        </w:rPr>
        <w:t>a Szenátus 2016.</w:t>
      </w:r>
      <w:r>
        <w:rPr>
          <w:i/>
        </w:rPr>
        <w:t xml:space="preserve"> március 17-ei ülésén elfogadott módosítás. Hatálytalan</w:t>
      </w:r>
      <w:r w:rsidRPr="00FE6021">
        <w:rPr>
          <w:i/>
        </w:rPr>
        <w:t>: 2016. március 17. napjától.</w:t>
      </w:r>
    </w:p>
  </w:footnote>
  <w:footnote w:id="88">
    <w:p w14:paraId="60ED869B" w14:textId="77777777" w:rsidR="00BD6AF1" w:rsidRPr="0079170A"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89">
    <w:p w14:paraId="1351D88E" w14:textId="77777777" w:rsidR="00BD6AF1" w:rsidRPr="007651D8"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90">
    <w:p w14:paraId="45ED76CF" w14:textId="77777777" w:rsidR="00BD6AF1" w:rsidRPr="00A270BA" w:rsidRDefault="00BD6AF1" w:rsidP="00893D5B">
      <w:pPr>
        <w:pStyle w:val="Lbjegyzetszveg"/>
        <w:jc w:val="both"/>
        <w:rPr>
          <w:i/>
        </w:rPr>
      </w:pPr>
      <w:r>
        <w:rPr>
          <w:rStyle w:val="Lbjegyzet-hivatkozs"/>
        </w:rPr>
        <w:footnoteRef/>
      </w:r>
      <w:r>
        <w:t xml:space="preserve"> </w:t>
      </w:r>
      <w:r>
        <w:rPr>
          <w:i/>
        </w:rPr>
        <w:t xml:space="preserve">Hatályon kívül helyezte </w:t>
      </w:r>
      <w:r w:rsidRPr="00FE6021">
        <w:rPr>
          <w:i/>
        </w:rPr>
        <w:t>a Szenátus 2016.</w:t>
      </w:r>
      <w:r>
        <w:rPr>
          <w:i/>
        </w:rPr>
        <w:t xml:space="preserve"> március 17-ei ülésén elfogadott módosítás. Hatálytalan</w:t>
      </w:r>
      <w:r w:rsidRPr="00FE6021">
        <w:rPr>
          <w:i/>
        </w:rPr>
        <w:t>: 2016. március 17. napjától.</w:t>
      </w:r>
    </w:p>
  </w:footnote>
  <w:footnote w:id="91">
    <w:p w14:paraId="41F3B805" w14:textId="77777777" w:rsidR="00BD6AF1" w:rsidRPr="00327F07"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92">
    <w:p w14:paraId="3DE762F8" w14:textId="77777777" w:rsidR="00BD6AF1" w:rsidRPr="00290E78"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93">
    <w:p w14:paraId="70CCA50C" w14:textId="77777777" w:rsidR="00BD6AF1" w:rsidRPr="001F2E56" w:rsidRDefault="00BD6AF1" w:rsidP="00893D5B">
      <w:pPr>
        <w:pStyle w:val="Lbjegyzetszveg"/>
        <w:rPr>
          <w:i/>
        </w:rPr>
      </w:pPr>
      <w:r>
        <w:rPr>
          <w:rStyle w:val="Lbjegyzet-hivatkozs"/>
        </w:rPr>
        <w:footnoteRef/>
      </w:r>
      <w:r>
        <w:t xml:space="preserve"> </w:t>
      </w:r>
      <w:r w:rsidRPr="00FE6021">
        <w:rPr>
          <w:i/>
        </w:rPr>
        <w:t>A módosítást a Szenátus 2016. március 17-ei ülésén fogadta el. Hatályos: 2016. március 17. napjától.</w:t>
      </w:r>
    </w:p>
  </w:footnote>
  <w:footnote w:id="94">
    <w:p w14:paraId="75E4BF35" w14:textId="77777777" w:rsidR="00BD6AF1" w:rsidRPr="00B03168" w:rsidRDefault="00BD6AF1" w:rsidP="00893D5B">
      <w:pPr>
        <w:pStyle w:val="Lbjegyzetszveg"/>
        <w:jc w:val="both"/>
        <w:rPr>
          <w:i/>
        </w:rPr>
      </w:pPr>
      <w:r>
        <w:rPr>
          <w:rStyle w:val="Lbjegyzet-hivatkozs"/>
        </w:rPr>
        <w:footnoteRef/>
      </w:r>
      <w:r>
        <w:t xml:space="preserve"> </w:t>
      </w:r>
      <w:r>
        <w:rPr>
          <w:i/>
        </w:rPr>
        <w:t>Beépítette a Szenátus 2010. február 18-ai ülésén elfogadott módosítás. Hatályos: 2010. február 18. napjától.</w:t>
      </w:r>
    </w:p>
  </w:footnote>
  <w:footnote w:id="95">
    <w:p w14:paraId="63884C36" w14:textId="77777777" w:rsidR="00BD6AF1" w:rsidRDefault="00BD6AF1" w:rsidP="00893D5B">
      <w:pPr>
        <w:pStyle w:val="Lbjegyzetszveg"/>
        <w:jc w:val="both"/>
      </w:pPr>
      <w:r>
        <w:rPr>
          <w:rStyle w:val="Lbjegyzet-hivatkozs"/>
        </w:rPr>
        <w:footnoteRef/>
      </w:r>
      <w:r>
        <w:t xml:space="preserve"> </w:t>
      </w:r>
      <w:r>
        <w:rPr>
          <w:i/>
        </w:rPr>
        <w:t>A módosítást a Szenátus 2013. február 11-ei ülésén fogadta el. Hatályos: 2013. február 11. napjától.</w:t>
      </w:r>
    </w:p>
  </w:footnote>
  <w:footnote w:id="96">
    <w:p w14:paraId="7EE0AC79" w14:textId="77777777" w:rsidR="00BD6AF1" w:rsidRPr="001F2E56" w:rsidRDefault="00BD6AF1" w:rsidP="00893D5B">
      <w:pPr>
        <w:pStyle w:val="Lbjegyzetszveg"/>
        <w:rPr>
          <w:i/>
        </w:rPr>
      </w:pPr>
      <w:r>
        <w:rPr>
          <w:rStyle w:val="Lbjegyzet-hivatkozs"/>
        </w:rPr>
        <w:footnoteRef/>
      </w:r>
      <w:r>
        <w:t xml:space="preserve"> </w:t>
      </w:r>
      <w:r w:rsidRPr="00FE6021">
        <w:rPr>
          <w:i/>
        </w:rPr>
        <w:t>A módosítást a Szenátus 2016. március 17-ei ülésén fogadta el. Hatályos: 2016. március 17. napjától.</w:t>
      </w:r>
    </w:p>
  </w:footnote>
  <w:footnote w:id="97">
    <w:p w14:paraId="0C459DA3" w14:textId="77777777" w:rsidR="00BD6AF1" w:rsidRDefault="00BD6AF1" w:rsidP="00893D5B">
      <w:pPr>
        <w:pStyle w:val="Lbjegyzetszveg"/>
        <w:jc w:val="both"/>
      </w:pPr>
      <w:r>
        <w:rPr>
          <w:rStyle w:val="Lbjegyzet-hivatkozs"/>
        </w:rPr>
        <w:footnoteRef/>
      </w:r>
      <w:r>
        <w:t xml:space="preserve"> </w:t>
      </w:r>
      <w:r w:rsidRPr="00483D42">
        <w:rPr>
          <w:i/>
        </w:rPr>
        <w:t>A módosítást a Szenátus 2015. november 12-ei ülésén fogadta el. Hatályos: 2015. november 12. napjától.</w:t>
      </w:r>
    </w:p>
  </w:footnote>
  <w:footnote w:id="98">
    <w:p w14:paraId="65BD3D78" w14:textId="77777777" w:rsidR="00BD6AF1" w:rsidRPr="00BA5C16"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99">
    <w:p w14:paraId="27EC1AD5" w14:textId="77777777" w:rsidR="00BD6AF1" w:rsidRPr="0057124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p w14:paraId="27CE28FC" w14:textId="77777777" w:rsidR="00BD6AF1" w:rsidRDefault="00BD6AF1" w:rsidP="00893D5B">
      <w:pPr>
        <w:pStyle w:val="Lbjegyzetszveg"/>
      </w:pPr>
    </w:p>
  </w:footnote>
  <w:footnote w:id="100">
    <w:p w14:paraId="2B070997" w14:textId="77777777" w:rsidR="00BD6AF1" w:rsidRPr="00740481"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101">
    <w:p w14:paraId="4807A89E" w14:textId="77777777" w:rsidR="00BD6AF1" w:rsidRPr="009B5150" w:rsidRDefault="00BD6AF1" w:rsidP="00893D5B">
      <w:pPr>
        <w:pStyle w:val="Lbjegyzetszveg"/>
        <w:jc w:val="both"/>
        <w:rPr>
          <w:i/>
        </w:rPr>
      </w:pPr>
      <w:r>
        <w:rPr>
          <w:rStyle w:val="Lbjegyzet-hivatkozs"/>
        </w:rPr>
        <w:footnoteRef/>
      </w:r>
      <w:r>
        <w:t xml:space="preserve"> </w:t>
      </w:r>
      <w:r w:rsidRPr="00712FAF">
        <w:rPr>
          <w:i/>
        </w:rPr>
        <w:t>A módosítást a Szenátus 2013. november 14-ei ülésén fogadta el. Hatályos: 2013. november 14. napjától.</w:t>
      </w:r>
    </w:p>
  </w:footnote>
  <w:footnote w:id="102">
    <w:p w14:paraId="68DC892B" w14:textId="77777777" w:rsidR="00BD6AF1" w:rsidRDefault="00BD6AF1" w:rsidP="00893D5B">
      <w:pPr>
        <w:pStyle w:val="Lbjegyzetszveg"/>
      </w:pPr>
      <w:r>
        <w:rPr>
          <w:rStyle w:val="Lbjegyzet-hivatkozs"/>
        </w:rPr>
        <w:footnoteRef/>
      </w:r>
      <w:r>
        <w:t xml:space="preserve"> </w:t>
      </w:r>
      <w:r>
        <w:rPr>
          <w:i/>
        </w:rPr>
        <w:t>Hatályon kívül helyezte a Szenátus 2015. november 12-ei ülésén elfogadott módosítás. Hatálytalan: 2015. november 12. napjától.</w:t>
      </w:r>
    </w:p>
  </w:footnote>
  <w:footnote w:id="103">
    <w:p w14:paraId="6F87134E" w14:textId="77777777" w:rsidR="00BD6AF1" w:rsidRPr="00C63DEA"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104">
    <w:p w14:paraId="2BFC8BA0" w14:textId="77777777" w:rsidR="00BD6AF1" w:rsidRPr="00EA405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05">
    <w:p w14:paraId="12854F5F" w14:textId="77777777" w:rsidR="00BD6AF1" w:rsidRPr="000E6473"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106">
    <w:p w14:paraId="1F42A59D" w14:textId="77777777" w:rsidR="00BD6AF1" w:rsidRPr="002F78BE" w:rsidRDefault="00BD6AF1" w:rsidP="00893D5B">
      <w:pPr>
        <w:pStyle w:val="Lbjegyzetszveg"/>
      </w:pPr>
      <w:r>
        <w:rPr>
          <w:rStyle w:val="Lbjegyzet-hivatkozs"/>
        </w:rPr>
        <w:footnoteRef/>
      </w:r>
      <w:r>
        <w:t xml:space="preserve"> </w:t>
      </w:r>
      <w:r w:rsidRPr="002F78BE">
        <w:rPr>
          <w:i/>
        </w:rPr>
        <w:t>A módosítást a Szenátus 2017. június 22-ei ülésén fogadta el. Hatályos 2017. június 23. napjától.</w:t>
      </w:r>
    </w:p>
    <w:p w14:paraId="5AD8310E" w14:textId="77777777" w:rsidR="00BD6AF1" w:rsidRDefault="00BD6AF1" w:rsidP="00893D5B">
      <w:pPr>
        <w:pStyle w:val="Lbjegyzetszveg"/>
      </w:pPr>
    </w:p>
  </w:footnote>
  <w:footnote w:id="107">
    <w:p w14:paraId="32DEC8B1" w14:textId="77777777" w:rsidR="00BD6AF1" w:rsidRPr="004B458A"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08">
    <w:p w14:paraId="27C609A4" w14:textId="77777777" w:rsidR="00BD6AF1" w:rsidRPr="00A5111C" w:rsidRDefault="00BD6AF1" w:rsidP="00893D5B">
      <w:pPr>
        <w:pStyle w:val="Lbjegyzetszveg"/>
        <w:jc w:val="both"/>
        <w:rPr>
          <w:i/>
        </w:rPr>
      </w:pPr>
      <w:r>
        <w:rPr>
          <w:rStyle w:val="Lbjegyzet-hivatkozs"/>
        </w:rPr>
        <w:footnoteRef/>
      </w:r>
      <w:r>
        <w:t xml:space="preserve"> </w:t>
      </w:r>
      <w:r>
        <w:rPr>
          <w:i/>
        </w:rPr>
        <w:t>Beépítette a Szenátus 2011. december 15-ei ülésén elfogadott módosítás. Hatályos: 2011. december 15. napjától.</w:t>
      </w:r>
    </w:p>
  </w:footnote>
  <w:footnote w:id="109">
    <w:p w14:paraId="736C9C29" w14:textId="77777777" w:rsidR="00BD6AF1" w:rsidRPr="00F565D5"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10">
    <w:p w14:paraId="28AFCAF4" w14:textId="77777777" w:rsidR="00BD6AF1" w:rsidRPr="00F565D5"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napján.</w:t>
      </w:r>
    </w:p>
  </w:footnote>
  <w:footnote w:id="111">
    <w:p w14:paraId="7B09C86E" w14:textId="77777777" w:rsidR="00BD6AF1" w:rsidRPr="00E312E3" w:rsidRDefault="00BD6AF1" w:rsidP="00893D5B">
      <w:pPr>
        <w:pStyle w:val="Lbjegyzetszveg"/>
        <w:jc w:val="both"/>
        <w:rPr>
          <w:i/>
        </w:rPr>
      </w:pPr>
      <w:r>
        <w:rPr>
          <w:rStyle w:val="Lbjegyzet-hivatkozs"/>
        </w:rPr>
        <w:footnoteRef/>
      </w:r>
      <w:r>
        <w:t xml:space="preserve"> </w:t>
      </w:r>
      <w:r>
        <w:rPr>
          <w:i/>
        </w:rPr>
        <w:t>Beépítette a Szenátus 2014. április 24-ei ülésén elfogadott módosítás. Hatályos: 2014. április 24. napjától.</w:t>
      </w:r>
    </w:p>
  </w:footnote>
  <w:footnote w:id="112">
    <w:p w14:paraId="415B2357" w14:textId="77777777" w:rsidR="00BD6AF1" w:rsidRPr="00683981"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113">
    <w:p w14:paraId="6067925A" w14:textId="77777777" w:rsidR="00BD6AF1" w:rsidRPr="009058FC"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14">
    <w:p w14:paraId="0066670F" w14:textId="77777777" w:rsidR="00BD6AF1" w:rsidRPr="009058FC"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15">
    <w:p w14:paraId="738C4E30" w14:textId="77777777" w:rsidR="00BD6AF1" w:rsidRPr="004009F2"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16">
    <w:p w14:paraId="68A079ED" w14:textId="77777777" w:rsidR="00BD6AF1" w:rsidRPr="006E7484"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117">
    <w:p w14:paraId="6F72764D" w14:textId="77777777" w:rsidR="00BD6AF1" w:rsidRPr="00955BD8"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18">
    <w:p w14:paraId="153155D2" w14:textId="77777777" w:rsidR="00BD6AF1" w:rsidRPr="0009556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19">
    <w:p w14:paraId="20B617DB" w14:textId="77777777" w:rsidR="00BD6AF1" w:rsidRDefault="00BD6AF1" w:rsidP="00893D5B">
      <w:pPr>
        <w:pStyle w:val="Lbjegyzetszveg"/>
      </w:pPr>
      <w:r>
        <w:rPr>
          <w:rStyle w:val="Lbjegyzet-hivatkozs"/>
        </w:rPr>
        <w:footnoteRef/>
      </w:r>
      <w:r>
        <w:t xml:space="preserve"> </w:t>
      </w:r>
      <w:r w:rsidRPr="001E67F7">
        <w:rPr>
          <w:i/>
        </w:rPr>
        <w:t>Hatályon kívül helyezte a Szenátus 2013. február 11-ei ülésén elfogadott módosítás.</w:t>
      </w:r>
    </w:p>
  </w:footnote>
  <w:footnote w:id="120">
    <w:p w14:paraId="04BDF9BD" w14:textId="77777777" w:rsidR="00BD6AF1" w:rsidRPr="0085591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21">
    <w:p w14:paraId="07227E96" w14:textId="77777777" w:rsidR="00BD6AF1" w:rsidRPr="00A711DE"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22">
    <w:p w14:paraId="515EF970" w14:textId="77777777" w:rsidR="00BD6AF1" w:rsidRPr="00AC6640" w:rsidRDefault="00BD6AF1" w:rsidP="00893D5B">
      <w:pPr>
        <w:pStyle w:val="Lbjegyzetszveg"/>
        <w:jc w:val="both"/>
        <w:rPr>
          <w:i/>
        </w:rPr>
      </w:pPr>
      <w:r>
        <w:rPr>
          <w:rStyle w:val="Lbjegyzet-hivatkozs"/>
        </w:rPr>
        <w:footnoteRef/>
      </w:r>
      <w:r>
        <w:t xml:space="preserve"> </w:t>
      </w:r>
      <w:r>
        <w:rPr>
          <w:i/>
        </w:rPr>
        <w:t>A módosítást a Szenátus 2008. február 28-ai ülésén fogadta el. Hatályos: 2008. február 28. napjától.</w:t>
      </w:r>
    </w:p>
  </w:footnote>
  <w:footnote w:id="123">
    <w:p w14:paraId="43941953" w14:textId="77777777" w:rsidR="00BD6AF1" w:rsidRPr="007D2337"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24">
    <w:p w14:paraId="239C649D" w14:textId="77777777" w:rsidR="00BD6AF1" w:rsidRPr="002B1169" w:rsidRDefault="00BD6AF1" w:rsidP="00893D5B">
      <w:pPr>
        <w:pStyle w:val="Lbjegyzetszveg"/>
        <w:jc w:val="both"/>
        <w:rPr>
          <w:i/>
        </w:rPr>
      </w:pPr>
      <w:r>
        <w:rPr>
          <w:rStyle w:val="Lbjegyzet-hivatkozs"/>
        </w:rPr>
        <w:footnoteRef/>
      </w:r>
      <w:r>
        <w:t xml:space="preserve"> </w:t>
      </w:r>
      <w:r>
        <w:rPr>
          <w:i/>
        </w:rPr>
        <w:t>Beépítette a Szenátus 2008. február 28-ai ülésén elfogadott módosítás. Hatályos: 2008. február 28. napjától.</w:t>
      </w:r>
    </w:p>
  </w:footnote>
  <w:footnote w:id="125">
    <w:p w14:paraId="41CC9E3F" w14:textId="77777777" w:rsidR="00BD6AF1" w:rsidRPr="00FC2A10"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26">
    <w:p w14:paraId="61DFAE1A" w14:textId="77777777" w:rsidR="00BD6AF1" w:rsidRPr="00AD5E50" w:rsidRDefault="00BD6AF1" w:rsidP="00893D5B">
      <w:pPr>
        <w:pStyle w:val="Lbjegyzetszveg"/>
        <w:jc w:val="both"/>
        <w:rPr>
          <w:i/>
        </w:rPr>
      </w:pPr>
      <w:r>
        <w:rPr>
          <w:rStyle w:val="Lbjegyzet-hivatkozs"/>
        </w:rPr>
        <w:footnoteRef/>
      </w:r>
      <w:r>
        <w:t xml:space="preserve"> </w:t>
      </w:r>
      <w:r>
        <w:rPr>
          <w:i/>
        </w:rPr>
        <w:t>Beépítette a Szenátus 2010. február 18-ai ülésén elfogadott módosítás. Hatályos: 2010. február 18. napjától.</w:t>
      </w:r>
    </w:p>
  </w:footnote>
  <w:footnote w:id="127">
    <w:p w14:paraId="5D2705C4" w14:textId="77777777" w:rsidR="00BD6AF1" w:rsidRDefault="00BD6AF1" w:rsidP="00893D5B">
      <w:pPr>
        <w:pStyle w:val="Lbjegyzetszveg"/>
      </w:pPr>
      <w:r>
        <w:rPr>
          <w:rStyle w:val="Lbjegyzet-hivatkozs"/>
        </w:rPr>
        <w:footnoteRef/>
      </w:r>
      <w:r>
        <w:t xml:space="preserve"> </w:t>
      </w:r>
      <w:r w:rsidRPr="005941DF">
        <w:rPr>
          <w:i/>
        </w:rPr>
        <w:t>A módosítást a Szenátus 2015. november 12-ei ülésén fogadta el. Hatályos: 2015. november 12. napjától.</w:t>
      </w:r>
    </w:p>
  </w:footnote>
  <w:footnote w:id="128">
    <w:p w14:paraId="3D1526BD" w14:textId="77777777" w:rsidR="00BD6AF1" w:rsidRPr="00886C5B"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29">
    <w:p w14:paraId="6F7C0822" w14:textId="77777777" w:rsidR="00BD6AF1" w:rsidRPr="000B71F6"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30">
    <w:p w14:paraId="0450FAA3" w14:textId="77777777" w:rsidR="00BD6AF1" w:rsidRPr="00EB239D"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31">
    <w:p w14:paraId="31AC037A" w14:textId="77777777" w:rsidR="00BD6AF1" w:rsidRPr="000B71F6"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napjáig.</w:t>
      </w:r>
    </w:p>
  </w:footnote>
  <w:footnote w:id="132">
    <w:p w14:paraId="2F0E2501" w14:textId="77777777" w:rsidR="00BD6AF1" w:rsidRDefault="00BD6AF1" w:rsidP="00893D5B">
      <w:pPr>
        <w:pStyle w:val="Lbjegyzetszveg"/>
      </w:pPr>
      <w:r>
        <w:rPr>
          <w:rStyle w:val="Lbjegyzet-hivatkozs"/>
        </w:rPr>
        <w:footnoteRef/>
      </w:r>
      <w:r>
        <w:t xml:space="preserve"> </w:t>
      </w:r>
      <w:r>
        <w:rPr>
          <w:i/>
        </w:rPr>
        <w:t>A módosítást a Szenátus 2009. április 9-ei ülésén fogadta el. Hatályos: 2009. április 9. napjától.</w:t>
      </w:r>
    </w:p>
  </w:footnote>
  <w:footnote w:id="133">
    <w:p w14:paraId="4CAE6E5B" w14:textId="77777777" w:rsidR="00BD6AF1" w:rsidRDefault="00BD6AF1" w:rsidP="00893D5B">
      <w:pPr>
        <w:pStyle w:val="Lbjegyzetszveg"/>
      </w:pPr>
      <w:r>
        <w:rPr>
          <w:rStyle w:val="Lbjegyzet-hivatkozs"/>
        </w:rPr>
        <w:footnoteRef/>
      </w:r>
      <w:r>
        <w:t xml:space="preserve"> </w:t>
      </w:r>
      <w:r w:rsidRPr="009A54E4">
        <w:rPr>
          <w:i/>
        </w:rPr>
        <w:t>A módosítást a Szenátus 2015. november 12-ei ülésén fogadta el. Hatályos: 2015. november 12. napjától.</w:t>
      </w:r>
    </w:p>
  </w:footnote>
  <w:footnote w:id="134">
    <w:p w14:paraId="5ACC6E7A" w14:textId="77777777" w:rsidR="00BD6AF1" w:rsidRPr="00E73A78"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35">
    <w:p w14:paraId="6FB71ADB" w14:textId="77777777" w:rsidR="00BD6AF1" w:rsidRPr="00A54F97" w:rsidRDefault="00BD6AF1" w:rsidP="00893D5B">
      <w:pPr>
        <w:pStyle w:val="Lbjegyzetszveg"/>
        <w:jc w:val="both"/>
        <w:rPr>
          <w:i/>
        </w:rPr>
      </w:pPr>
      <w:r>
        <w:rPr>
          <w:rStyle w:val="Lbjegyzet-hivatkozs"/>
        </w:rPr>
        <w:footnoteRef/>
      </w:r>
      <w:r>
        <w:t xml:space="preserve"> </w:t>
      </w:r>
      <w:r>
        <w:rPr>
          <w:i/>
        </w:rPr>
        <w:t>Beépítette a Szenátus 2008. február 28-ai ülésén elfogadott módosítás. Hatályos: 2008. február 28. napjától.</w:t>
      </w:r>
    </w:p>
  </w:footnote>
  <w:footnote w:id="136">
    <w:p w14:paraId="5E8E29E9" w14:textId="77777777" w:rsidR="00BD6AF1" w:rsidRPr="00400E36"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137">
    <w:p w14:paraId="0EEAAE48" w14:textId="77777777" w:rsidR="00BD6AF1" w:rsidRPr="00E73A78" w:rsidRDefault="00BD6AF1" w:rsidP="00893D5B">
      <w:pPr>
        <w:pStyle w:val="Lbjegyzetszveg"/>
        <w:jc w:val="both"/>
        <w:rPr>
          <w:i/>
        </w:rPr>
      </w:pPr>
      <w:r>
        <w:rPr>
          <w:rStyle w:val="Lbjegyzet-hivatkozs"/>
        </w:rPr>
        <w:footnoteRef/>
      </w:r>
      <w:r>
        <w:t xml:space="preserve"> </w:t>
      </w:r>
      <w:r w:rsidRPr="00E73A78">
        <w:rPr>
          <w:i/>
        </w:rPr>
        <w:t>Beépítette a Szenátus 2013. november 14-ei ülésén elfogadott módosítás. Hatályos: 2013. november 14. napjától.</w:t>
      </w:r>
    </w:p>
  </w:footnote>
  <w:footnote w:id="138">
    <w:p w14:paraId="5C2CC371" w14:textId="77777777" w:rsidR="00BD6AF1" w:rsidRPr="00032D71" w:rsidRDefault="00BD6AF1" w:rsidP="00893D5B">
      <w:pPr>
        <w:pStyle w:val="Lbjegyzetszveg"/>
        <w:jc w:val="both"/>
        <w:rPr>
          <w:i/>
        </w:rPr>
      </w:pPr>
      <w:r>
        <w:rPr>
          <w:rStyle w:val="Lbjegyzet-hivatkozs"/>
        </w:rPr>
        <w:footnoteRef/>
      </w:r>
      <w:r>
        <w:t xml:space="preserve"> </w:t>
      </w:r>
      <w:r w:rsidRPr="00851B16">
        <w:rPr>
          <w:i/>
        </w:rPr>
        <w:t>A módosítást a Szenátus 2011. december 15-ei ülésén fogadta el. Hatályos: 2011. december 15. napjától.</w:t>
      </w:r>
    </w:p>
  </w:footnote>
  <w:footnote w:id="139">
    <w:p w14:paraId="3C52A43C" w14:textId="77777777" w:rsidR="00BD6AF1" w:rsidRPr="00FB632F" w:rsidRDefault="00BD6AF1" w:rsidP="00893D5B">
      <w:pPr>
        <w:pStyle w:val="Lbjegyzetszveg"/>
        <w:jc w:val="both"/>
        <w:rPr>
          <w:i/>
        </w:rPr>
      </w:pPr>
      <w:r>
        <w:rPr>
          <w:rStyle w:val="Lbjegyzet-hivatkozs"/>
        </w:rPr>
        <w:footnoteRef/>
      </w:r>
      <w:r>
        <w:t xml:space="preserve"> </w:t>
      </w:r>
      <w:r w:rsidRPr="00851B16">
        <w:rPr>
          <w:i/>
        </w:rPr>
        <w:t>A módosítást a Szenátus 2013. november 14-ei ülésén fogadta el. Hatályos: 2013. november 14. napjától</w:t>
      </w:r>
      <w:r>
        <w:rPr>
          <w:i/>
        </w:rPr>
        <w:t>.</w:t>
      </w:r>
    </w:p>
  </w:footnote>
  <w:footnote w:id="140">
    <w:p w14:paraId="49737800" w14:textId="77777777" w:rsidR="00BD6AF1" w:rsidRPr="00EC1B2D" w:rsidRDefault="00BD6AF1" w:rsidP="00893D5B">
      <w:pPr>
        <w:pStyle w:val="Lbjegyzetszveg"/>
        <w:jc w:val="both"/>
        <w:rPr>
          <w:i/>
        </w:rPr>
      </w:pPr>
      <w:r>
        <w:rPr>
          <w:rStyle w:val="Lbjegyzet-hivatkozs"/>
        </w:rPr>
        <w:footnoteRef/>
      </w:r>
      <w:r>
        <w:t xml:space="preserve"> </w:t>
      </w:r>
      <w:r w:rsidRPr="00851B16">
        <w:rPr>
          <w:i/>
        </w:rPr>
        <w:t>A módosítást a Szenátus 2014. április 24-ei ülésén fogadta el. Hatályos: 2014. április 24. napjától.</w:t>
      </w:r>
    </w:p>
  </w:footnote>
  <w:footnote w:id="141">
    <w:p w14:paraId="6DCF688C" w14:textId="77777777" w:rsidR="00BD6AF1" w:rsidRPr="00886C5B"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142">
    <w:p w14:paraId="48EAA6D0" w14:textId="77777777" w:rsidR="00BD6AF1" w:rsidRDefault="00BD6AF1" w:rsidP="00893D5B">
      <w:pPr>
        <w:pStyle w:val="Lbjegyzetszveg"/>
      </w:pPr>
      <w:r>
        <w:rPr>
          <w:rStyle w:val="Lbjegyzet-hivatkozs"/>
        </w:rPr>
        <w:footnoteRef/>
      </w:r>
      <w:r>
        <w:t xml:space="preserve"> </w:t>
      </w:r>
      <w:r w:rsidRPr="00F54C02">
        <w:rPr>
          <w:i/>
        </w:rPr>
        <w:t>A módosítást a Szenátus 2015. november 12-ei ülésén fogadta el. Hatályos: 2015. november 12. napjától.</w:t>
      </w:r>
    </w:p>
  </w:footnote>
  <w:footnote w:id="143">
    <w:p w14:paraId="6D0E5F63" w14:textId="77777777" w:rsidR="00BD6AF1" w:rsidRPr="00DE0CE1" w:rsidRDefault="00BD6AF1" w:rsidP="00893D5B">
      <w:pPr>
        <w:pStyle w:val="Lbjegyzetszveg"/>
        <w:jc w:val="both"/>
        <w:rPr>
          <w:i/>
        </w:rPr>
      </w:pPr>
      <w:r>
        <w:rPr>
          <w:rStyle w:val="Lbjegyzet-hivatkozs"/>
        </w:rPr>
        <w:footnoteRef/>
      </w:r>
      <w:r>
        <w:t xml:space="preserve"> </w:t>
      </w:r>
      <w:r>
        <w:rPr>
          <w:i/>
        </w:rPr>
        <w:t>A módosítást a Szenátus 2009.június 18-ai ülésén fogadta el. Hatályos: 2009. június 18. napjától.</w:t>
      </w:r>
    </w:p>
  </w:footnote>
  <w:footnote w:id="144">
    <w:p w14:paraId="5B6E5365" w14:textId="77777777" w:rsidR="00BD6AF1" w:rsidRDefault="00BD6AF1" w:rsidP="00893D5B">
      <w:pPr>
        <w:pStyle w:val="Lbjegyzetszveg"/>
      </w:pPr>
      <w:r>
        <w:rPr>
          <w:rStyle w:val="Lbjegyzet-hivatkozs"/>
        </w:rPr>
        <w:footnoteRef/>
      </w:r>
      <w:r>
        <w:t xml:space="preserve"> </w:t>
      </w:r>
      <w:r w:rsidRPr="00F54C02">
        <w:rPr>
          <w:i/>
        </w:rPr>
        <w:t>A módosítást a Szenátus 2015. november 12-ei ülésén fogadta el. Hatályos: 2015. november 12. napjától.</w:t>
      </w:r>
    </w:p>
  </w:footnote>
  <w:footnote w:id="145">
    <w:p w14:paraId="32824267" w14:textId="77777777" w:rsidR="00BD6AF1" w:rsidRPr="001F2E56" w:rsidRDefault="00BD6AF1" w:rsidP="00893D5B">
      <w:pPr>
        <w:pStyle w:val="Lbjegyzetszveg"/>
        <w:rPr>
          <w:i/>
        </w:rPr>
      </w:pPr>
      <w:r>
        <w:rPr>
          <w:rStyle w:val="Lbjegyzet-hivatkozs"/>
        </w:rPr>
        <w:footnoteRef/>
      </w:r>
      <w:r>
        <w:t xml:space="preserve"> </w:t>
      </w:r>
      <w:r w:rsidRPr="00FE6021">
        <w:rPr>
          <w:i/>
        </w:rPr>
        <w:t>A módosítást a Szenátus 2016. március 17-ei ülésén fogadta el. Hatályos: 2016. március 17. napjától.</w:t>
      </w:r>
    </w:p>
  </w:footnote>
  <w:footnote w:id="146">
    <w:p w14:paraId="4A3A34CC"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w:t>
      </w:r>
      <w:r w:rsidRPr="001B5494">
        <w:rPr>
          <w:i/>
        </w:rPr>
        <w:t>.</w:t>
      </w:r>
      <w:r>
        <w:rPr>
          <w:i/>
        </w:rPr>
        <w:t xml:space="preserve"> január 1.</w:t>
      </w:r>
      <w:r w:rsidRPr="001B5494">
        <w:rPr>
          <w:i/>
        </w:rPr>
        <w:t xml:space="preserve"> napjától.</w:t>
      </w:r>
    </w:p>
  </w:footnote>
  <w:footnote w:id="147">
    <w:p w14:paraId="3608459C" w14:textId="77777777" w:rsidR="00BD6AF1" w:rsidRDefault="00BD6AF1" w:rsidP="00893D5B">
      <w:pPr>
        <w:pStyle w:val="Lbjegyzetszveg"/>
      </w:pPr>
      <w:r>
        <w:rPr>
          <w:rStyle w:val="Lbjegyzet-hivatkozs"/>
        </w:rPr>
        <w:footnoteRef/>
      </w:r>
      <w:r>
        <w:t xml:space="preserve"> </w:t>
      </w:r>
      <w:r>
        <w:rPr>
          <w:i/>
        </w:rPr>
        <w:t>Hatályon kívül helyezte a Szenátus 2015. november 12-ei ülésén elfogadott módosítás. Hatálytalan: 2015. november 12. napjától.</w:t>
      </w:r>
    </w:p>
  </w:footnote>
  <w:footnote w:id="148">
    <w:p w14:paraId="766340CB"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149">
    <w:p w14:paraId="58B9A4C1" w14:textId="77777777" w:rsidR="00BD6AF1" w:rsidRPr="00FC697B" w:rsidRDefault="00BD6AF1" w:rsidP="00893D5B">
      <w:pPr>
        <w:pStyle w:val="Lbjegyzetszveg"/>
        <w:rPr>
          <w:i/>
        </w:rPr>
      </w:pPr>
      <w:r w:rsidRPr="009E3439">
        <w:rPr>
          <w:rStyle w:val="Lbjegyzet-hivatkozs"/>
          <w:i/>
        </w:rPr>
        <w:footnoteRef/>
      </w:r>
      <w:r w:rsidRPr="009E3439">
        <w:rPr>
          <w:i/>
        </w:rPr>
        <w:t xml:space="preserve"> </w:t>
      </w:r>
      <w:r w:rsidRPr="00851B16">
        <w:rPr>
          <w:i/>
        </w:rPr>
        <w:t>Hatályon kívül helyezte a Szenátus a 2008. június 26-ai ülésén elfogadott módosítás.</w:t>
      </w:r>
    </w:p>
  </w:footnote>
  <w:footnote w:id="150">
    <w:p w14:paraId="64F26770" w14:textId="77777777" w:rsidR="00BD6AF1" w:rsidRPr="00FE4B98"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151">
    <w:p w14:paraId="42772009"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w:t>
      </w:r>
      <w:r w:rsidRPr="001B5494">
        <w:rPr>
          <w:i/>
        </w:rPr>
        <w:t>.</w:t>
      </w:r>
      <w:r>
        <w:rPr>
          <w:i/>
        </w:rPr>
        <w:t xml:space="preserve"> január 1.</w:t>
      </w:r>
      <w:r w:rsidRPr="001B5494">
        <w:rPr>
          <w:i/>
        </w:rPr>
        <w:t xml:space="preserve"> napjától.</w:t>
      </w:r>
    </w:p>
  </w:footnote>
  <w:footnote w:id="152">
    <w:p w14:paraId="6F14C5C5" w14:textId="77777777" w:rsidR="00BD6AF1" w:rsidRPr="00D26A67"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153">
    <w:p w14:paraId="0AF401DE" w14:textId="77777777" w:rsidR="00BD6AF1" w:rsidRPr="009E3439" w:rsidRDefault="00BD6AF1" w:rsidP="00893D5B">
      <w:pPr>
        <w:pStyle w:val="Lbjegyzetszveg"/>
        <w:rPr>
          <w:i/>
        </w:rPr>
      </w:pPr>
      <w:r w:rsidRPr="009E3439">
        <w:rPr>
          <w:rStyle w:val="Lbjegyzet-hivatkozs"/>
          <w:i/>
        </w:rPr>
        <w:footnoteRef/>
      </w:r>
      <w:r w:rsidRPr="009E3439">
        <w:rPr>
          <w:i/>
        </w:rPr>
        <w:t xml:space="preserve"> Hatályon kívül helyezte a Szenátus </w:t>
      </w:r>
      <w:r>
        <w:rPr>
          <w:i/>
        </w:rPr>
        <w:t>a 2008. június 26-ai ülésén elfogadott módosítás.</w:t>
      </w:r>
    </w:p>
  </w:footnote>
  <w:footnote w:id="154">
    <w:p w14:paraId="4DF85952" w14:textId="77777777" w:rsidR="00BD6AF1" w:rsidRPr="00250F1C" w:rsidRDefault="00BD6AF1" w:rsidP="00893D5B">
      <w:pPr>
        <w:pStyle w:val="Lbjegyzetszveg"/>
        <w:rPr>
          <w:i/>
        </w:rPr>
      </w:pPr>
      <w:r w:rsidRPr="009E3439">
        <w:rPr>
          <w:rStyle w:val="Lbjegyzet-hivatkozs"/>
          <w:i/>
        </w:rPr>
        <w:footnoteRef/>
      </w:r>
      <w:r w:rsidRPr="009E3439">
        <w:rPr>
          <w:i/>
        </w:rPr>
        <w:t xml:space="preserve"> </w:t>
      </w:r>
      <w:r w:rsidRPr="00250F1C">
        <w:rPr>
          <w:i/>
        </w:rPr>
        <w:t>Hatályon kívül helyezte a Szenátus a 2008. június 26-ai ülésén elfogadott módosítás.</w:t>
      </w:r>
      <w:r w:rsidRPr="00250F1C">
        <w:t xml:space="preserve"> </w:t>
      </w:r>
    </w:p>
  </w:footnote>
  <w:footnote w:id="155">
    <w:p w14:paraId="4B87770E" w14:textId="77777777" w:rsidR="00BD6AF1" w:rsidRPr="00FE4B98"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156">
    <w:p w14:paraId="26EF2CE1" w14:textId="77777777" w:rsidR="00BD6AF1" w:rsidRPr="00444278" w:rsidRDefault="00BD6AF1" w:rsidP="00893D5B">
      <w:pPr>
        <w:pStyle w:val="Lbjegyzetszveg"/>
        <w:rPr>
          <w:i/>
        </w:rPr>
      </w:pPr>
      <w:r>
        <w:rPr>
          <w:rStyle w:val="Lbjegyzet-hivatkozs"/>
        </w:rPr>
        <w:footnoteRef/>
      </w:r>
      <w:r>
        <w:t xml:space="preserve"> </w:t>
      </w:r>
      <w:r w:rsidRPr="00851B16">
        <w:rPr>
          <w:i/>
        </w:rPr>
        <w:t xml:space="preserve">Hatályon kívül </w:t>
      </w:r>
      <w:r>
        <w:rPr>
          <w:i/>
        </w:rPr>
        <w:t>helyezte a Szenátus a 2016. december 15-</w:t>
      </w:r>
      <w:r w:rsidRPr="00851B16">
        <w:rPr>
          <w:i/>
        </w:rPr>
        <w:t>i ülésén elfogadott módosítás.</w:t>
      </w:r>
    </w:p>
  </w:footnote>
  <w:footnote w:id="157">
    <w:p w14:paraId="40997095" w14:textId="77777777" w:rsidR="00BD6AF1" w:rsidRPr="00080EAB" w:rsidRDefault="00BD6AF1" w:rsidP="00893D5B">
      <w:pPr>
        <w:pStyle w:val="Lbjegyzetszveg"/>
        <w:rPr>
          <w:i/>
        </w:rPr>
      </w:pPr>
      <w:r w:rsidRPr="009E3439">
        <w:rPr>
          <w:rStyle w:val="Lbjegyzet-hivatkozs"/>
          <w:i/>
        </w:rPr>
        <w:footnoteRef/>
      </w:r>
      <w:r w:rsidRPr="009E3439">
        <w:rPr>
          <w:i/>
        </w:rPr>
        <w:t xml:space="preserve"> </w:t>
      </w:r>
      <w:r w:rsidRPr="00080EAB">
        <w:rPr>
          <w:i/>
        </w:rPr>
        <w:t>Hatályon kívül helyezte a Szenátus a 2008. június 26-ai ülésén elfogadott módosítás.</w:t>
      </w:r>
      <w:r w:rsidRPr="00080EAB">
        <w:t xml:space="preserve"> </w:t>
      </w:r>
    </w:p>
  </w:footnote>
  <w:footnote w:id="158">
    <w:p w14:paraId="5980CA7C" w14:textId="77777777" w:rsidR="00BD6AF1" w:rsidRPr="00444278" w:rsidRDefault="00BD6AF1" w:rsidP="00893D5B">
      <w:pPr>
        <w:pStyle w:val="Lbjegyzetszveg"/>
        <w:rPr>
          <w:i/>
        </w:rPr>
      </w:pPr>
      <w:r>
        <w:rPr>
          <w:rStyle w:val="Lbjegyzet-hivatkozs"/>
        </w:rPr>
        <w:footnoteRef/>
      </w:r>
      <w:r>
        <w:t xml:space="preserve"> </w:t>
      </w:r>
      <w:r w:rsidRPr="00851B16">
        <w:rPr>
          <w:i/>
        </w:rPr>
        <w:t xml:space="preserve">Hatályon kívül </w:t>
      </w:r>
      <w:r>
        <w:rPr>
          <w:i/>
        </w:rPr>
        <w:t>helyezte a Szenátus a 2016. december 15-</w:t>
      </w:r>
      <w:r w:rsidRPr="00851B16">
        <w:rPr>
          <w:i/>
        </w:rPr>
        <w:t>i ülésén elfogadott módosítás.</w:t>
      </w:r>
    </w:p>
  </w:footnote>
  <w:footnote w:id="159">
    <w:p w14:paraId="3CE4E664" w14:textId="77777777" w:rsidR="00BD6AF1" w:rsidRPr="00AC1260" w:rsidRDefault="00BD6AF1" w:rsidP="00893D5B">
      <w:pPr>
        <w:pStyle w:val="Lbjegyzetszveg"/>
        <w:jc w:val="both"/>
        <w:rPr>
          <w:i/>
        </w:rPr>
      </w:pPr>
      <w:r>
        <w:rPr>
          <w:rStyle w:val="Lbjegyzet-hivatkozs"/>
        </w:rPr>
        <w:footnoteRef/>
      </w:r>
      <w:r>
        <w:t xml:space="preserve"> </w:t>
      </w:r>
      <w:r>
        <w:rPr>
          <w:i/>
        </w:rPr>
        <w:t>Beépítette a Szenátus 2012. június 28-ai ülésén elfogadott módosítás.</w:t>
      </w:r>
    </w:p>
  </w:footnote>
  <w:footnote w:id="160">
    <w:p w14:paraId="34676105"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161">
    <w:p w14:paraId="7D01DCB9" w14:textId="77777777" w:rsidR="00BD6AF1" w:rsidRDefault="00BD6AF1" w:rsidP="00893D5B">
      <w:pPr>
        <w:pStyle w:val="Lbjegyzetszveg"/>
      </w:pPr>
      <w:r>
        <w:rPr>
          <w:rStyle w:val="Lbjegyzet-hivatkozs"/>
        </w:rPr>
        <w:footnoteRef/>
      </w:r>
      <w:r>
        <w:t xml:space="preserve"> </w:t>
      </w:r>
      <w:r w:rsidRPr="00E81942">
        <w:rPr>
          <w:i/>
        </w:rPr>
        <w:t>Beépítette a Szenátus 2013. február 11-ei ülésén elfogadott módosítás. Hatályos: 2013. február 11. napjától.</w:t>
      </w:r>
    </w:p>
  </w:footnote>
  <w:footnote w:id="162">
    <w:p w14:paraId="4B7D923A" w14:textId="77777777" w:rsidR="00BD6AF1" w:rsidRPr="00D64DA6"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63">
    <w:p w14:paraId="2B5FA000" w14:textId="77777777" w:rsidR="00BD6AF1" w:rsidRPr="009072ED"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64">
    <w:p w14:paraId="0E89ED2E" w14:textId="77777777" w:rsidR="00BD6AF1" w:rsidRDefault="00BD6AF1" w:rsidP="00893D5B">
      <w:pPr>
        <w:pStyle w:val="Lbjegyzetszveg"/>
      </w:pPr>
      <w:r>
        <w:rPr>
          <w:rStyle w:val="Lbjegyzet-hivatkozs"/>
        </w:rPr>
        <w:footnoteRef/>
      </w:r>
      <w:r>
        <w:t xml:space="preserve"> </w:t>
      </w:r>
      <w:r>
        <w:rPr>
          <w:i/>
        </w:rPr>
        <w:t>A módosítást a Szenátus 2009. április 9-ei ülésén fogadta el. Hatályos: 2009. április 9. napjától.</w:t>
      </w:r>
    </w:p>
  </w:footnote>
  <w:footnote w:id="165">
    <w:p w14:paraId="5C5CB4A2" w14:textId="77777777" w:rsidR="00BD6AF1" w:rsidRPr="00FC697B" w:rsidRDefault="00BD6AF1" w:rsidP="00893D5B">
      <w:pPr>
        <w:pStyle w:val="Lbjegyzetszveg"/>
        <w:jc w:val="both"/>
        <w:rPr>
          <w:i/>
        </w:rPr>
      </w:pPr>
      <w:r>
        <w:rPr>
          <w:rStyle w:val="Lbjegyzet-hivatkozs"/>
        </w:rPr>
        <w:footnoteRef/>
      </w:r>
      <w:r>
        <w:t xml:space="preserve"> </w:t>
      </w:r>
      <w:r w:rsidRPr="00D33CDC">
        <w:rPr>
          <w:i/>
        </w:rPr>
        <w:t>A módosítást a Szenátus 2013. február 11-ei ülésén fogadta el. Hatályos: 2013. február 11. napjától.</w:t>
      </w:r>
    </w:p>
  </w:footnote>
  <w:footnote w:id="166">
    <w:p w14:paraId="6B8A8A28" w14:textId="77777777" w:rsidR="00BD6AF1" w:rsidRPr="009E0B69" w:rsidRDefault="00BD6AF1" w:rsidP="00893D5B">
      <w:pPr>
        <w:pStyle w:val="Lbjegyzetszveg"/>
        <w:jc w:val="both"/>
        <w:rPr>
          <w:i/>
        </w:rPr>
      </w:pPr>
      <w:r>
        <w:rPr>
          <w:rStyle w:val="Lbjegyzet-hivatkozs"/>
        </w:rPr>
        <w:footnoteRef/>
      </w:r>
      <w:r>
        <w:t xml:space="preserve"> </w:t>
      </w:r>
      <w:r w:rsidRPr="00D33CDC">
        <w:rPr>
          <w:i/>
        </w:rPr>
        <w:t>A módosítást a Szenátus 2014. április 24-ei ülésén fogadta el. Hatályos: 2014. április 24. napjától.</w:t>
      </w:r>
      <w:r>
        <w:rPr>
          <w:i/>
        </w:rPr>
        <w:t xml:space="preserve"> </w:t>
      </w:r>
    </w:p>
  </w:footnote>
  <w:footnote w:id="167">
    <w:p w14:paraId="3CE32288" w14:textId="77777777" w:rsidR="00BD6AF1" w:rsidRDefault="00BD6AF1" w:rsidP="00893D5B">
      <w:pPr>
        <w:pStyle w:val="Lbjegyzetszveg"/>
      </w:pPr>
      <w:r>
        <w:rPr>
          <w:rStyle w:val="Lbjegyzet-hivatkozs"/>
        </w:rPr>
        <w:footnoteRef/>
      </w:r>
      <w:r>
        <w:t xml:space="preserve"> </w:t>
      </w:r>
      <w:r w:rsidRPr="00B13819">
        <w:rPr>
          <w:i/>
        </w:rPr>
        <w:t>A módosítást a Szenátus 2015. november 12-ei ülésén fogadta el. Hatályos: 2015. november 12. napjától.</w:t>
      </w:r>
    </w:p>
  </w:footnote>
  <w:footnote w:id="168">
    <w:p w14:paraId="70B09AF0"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169">
    <w:p w14:paraId="4234D9BB" w14:textId="77777777" w:rsidR="00BD6AF1" w:rsidRPr="009072ED" w:rsidRDefault="00BD6AF1" w:rsidP="00893D5B">
      <w:pPr>
        <w:pStyle w:val="Lbjegyzetszveg"/>
        <w:jc w:val="both"/>
        <w:rPr>
          <w:i/>
        </w:rPr>
      </w:pPr>
      <w:r>
        <w:rPr>
          <w:rStyle w:val="Lbjegyzet-hivatkozs"/>
        </w:rPr>
        <w:footnoteRef/>
      </w:r>
      <w:r>
        <w:t xml:space="preserve"> </w:t>
      </w:r>
      <w:r w:rsidRPr="009072ED">
        <w:rPr>
          <w:i/>
        </w:rPr>
        <w:t>Beépítette a Szenátus 2013. november 14-ei ülésén elfogadott módosítás. Hatályos: 2013. nov</w:t>
      </w:r>
      <w:r>
        <w:rPr>
          <w:i/>
        </w:rPr>
        <w:t>e</w:t>
      </w:r>
      <w:r w:rsidRPr="009072ED">
        <w:rPr>
          <w:i/>
        </w:rPr>
        <w:t>mber 14. napjától.</w:t>
      </w:r>
    </w:p>
  </w:footnote>
  <w:footnote w:id="170">
    <w:p w14:paraId="0091AE2F" w14:textId="77777777" w:rsidR="00BD6AF1" w:rsidRPr="00695559" w:rsidRDefault="00BD6AF1" w:rsidP="00893D5B">
      <w:pPr>
        <w:pStyle w:val="Lbjegyzetszveg"/>
        <w:jc w:val="both"/>
        <w:rPr>
          <w:i/>
        </w:rPr>
      </w:pPr>
      <w:r>
        <w:rPr>
          <w:rStyle w:val="Lbjegyzet-hivatkozs"/>
        </w:rPr>
        <w:footnoteRef/>
      </w:r>
      <w:r>
        <w:t xml:space="preserve"> </w:t>
      </w:r>
      <w:r>
        <w:rPr>
          <w:i/>
        </w:rPr>
        <w:t>Hatályon kívül helyezte a Szenátus 2018. március 22-ei ülésén elfogadott módosítás. Hatálytalan: 2018. március 22. napjától.</w:t>
      </w:r>
    </w:p>
  </w:footnote>
  <w:footnote w:id="171">
    <w:p w14:paraId="6FD3ECFB" w14:textId="77777777" w:rsidR="00BD6AF1" w:rsidRPr="0057124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p w14:paraId="303743F5" w14:textId="77777777" w:rsidR="00BD6AF1" w:rsidRDefault="00BD6AF1" w:rsidP="00893D5B">
      <w:pPr>
        <w:pStyle w:val="Lbjegyzetszveg"/>
      </w:pPr>
    </w:p>
  </w:footnote>
  <w:footnote w:id="172">
    <w:p w14:paraId="5336ED3D" w14:textId="77777777" w:rsidR="00BD6AF1" w:rsidRPr="00D003E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73">
    <w:p w14:paraId="7D3811D3" w14:textId="77777777" w:rsidR="00BD6AF1" w:rsidRDefault="00BD6AF1" w:rsidP="00893D5B">
      <w:pPr>
        <w:pStyle w:val="Lbjegyzetszveg"/>
        <w:jc w:val="both"/>
      </w:pPr>
      <w:r>
        <w:rPr>
          <w:rStyle w:val="Lbjegyzet-hivatkozs"/>
        </w:rPr>
        <w:footnoteRef/>
      </w:r>
      <w:r>
        <w:t xml:space="preserve"> </w:t>
      </w:r>
      <w:r>
        <w:rPr>
          <w:i/>
        </w:rPr>
        <w:t>A módosítást a Szenátus 2013. február 11-ei ülésén fogadta el. Hatályos: 2013. február 11. napjától.</w:t>
      </w:r>
    </w:p>
  </w:footnote>
  <w:footnote w:id="174">
    <w:p w14:paraId="6B10D598" w14:textId="77777777" w:rsidR="00BD6AF1" w:rsidRPr="00D45D07" w:rsidRDefault="00BD6AF1" w:rsidP="00893D5B">
      <w:pPr>
        <w:pStyle w:val="Lbjegyzetszveg"/>
        <w:jc w:val="both"/>
        <w:rPr>
          <w:i/>
        </w:rPr>
      </w:pPr>
      <w:r>
        <w:rPr>
          <w:rStyle w:val="Lbjegyzet-hivatkozs"/>
        </w:rPr>
        <w:footnoteRef/>
      </w:r>
      <w:r>
        <w:t xml:space="preserve"> </w:t>
      </w:r>
      <w:r>
        <w:rPr>
          <w:i/>
        </w:rPr>
        <w:t>A módosítást a Szenátus 2017. november 09-ei ülésén fogadta el. Hatályos: 2017. november 09. napjától.</w:t>
      </w:r>
    </w:p>
  </w:footnote>
  <w:footnote w:id="175">
    <w:p w14:paraId="7FDF117D" w14:textId="77777777" w:rsidR="00BD6AF1" w:rsidRDefault="00BD6AF1" w:rsidP="00893D5B">
      <w:pPr>
        <w:pStyle w:val="Lbjegyzetszveg"/>
      </w:pPr>
      <w:r>
        <w:rPr>
          <w:rStyle w:val="Lbjegyzet-hivatkozs"/>
        </w:rPr>
        <w:footnoteRef/>
      </w:r>
      <w:r>
        <w:t xml:space="preserve"> </w:t>
      </w:r>
      <w:r w:rsidRPr="00B13819">
        <w:rPr>
          <w:i/>
        </w:rPr>
        <w:t>A módosítást a Szenátus 2015. november 12-ei ülésén fogadta el. Hatályos: 2015. november 12. napjától.</w:t>
      </w:r>
    </w:p>
  </w:footnote>
  <w:footnote w:id="176">
    <w:p w14:paraId="2BAEF08E" w14:textId="77777777" w:rsidR="00BD6AF1" w:rsidRPr="00D43652"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77">
    <w:p w14:paraId="714F5312" w14:textId="77777777" w:rsidR="00BD6AF1" w:rsidRDefault="00BD6AF1" w:rsidP="00893D5B">
      <w:pPr>
        <w:pStyle w:val="Lbjegyzetszveg"/>
      </w:pPr>
      <w:r>
        <w:rPr>
          <w:rStyle w:val="Lbjegyzet-hivatkozs"/>
        </w:rPr>
        <w:footnoteRef/>
      </w:r>
      <w:r>
        <w:t xml:space="preserve"> </w:t>
      </w:r>
      <w:r w:rsidRPr="002F78BE">
        <w:rPr>
          <w:i/>
        </w:rPr>
        <w:t>A módosítást a Szenátus 2017. június 22-ei ülésén fogadta el. Hatályos 2017. június 23. napjától.</w:t>
      </w:r>
    </w:p>
  </w:footnote>
  <w:footnote w:id="178">
    <w:p w14:paraId="0B32D16E" w14:textId="77777777" w:rsidR="00BD6AF1" w:rsidRPr="00B3322F" w:rsidRDefault="00BD6AF1" w:rsidP="00893D5B">
      <w:pPr>
        <w:pStyle w:val="Lbjegyzetszveg"/>
        <w:jc w:val="both"/>
        <w:rPr>
          <w:i/>
        </w:rPr>
      </w:pPr>
      <w:r>
        <w:rPr>
          <w:rStyle w:val="Lbjegyzet-hivatkozs"/>
        </w:rPr>
        <w:footnoteRef/>
      </w:r>
      <w:r>
        <w:t xml:space="preserve"> </w:t>
      </w:r>
      <w:r>
        <w:rPr>
          <w:i/>
        </w:rPr>
        <w:t>A módosítást a Szenátus 2017. november 09-ei ülésén fogadta el. Hatályos: 2017. november 09. napjától.</w:t>
      </w:r>
    </w:p>
  </w:footnote>
  <w:footnote w:id="179">
    <w:p w14:paraId="37990E0D" w14:textId="77777777" w:rsidR="00BD6AF1" w:rsidRDefault="00BD6AF1" w:rsidP="00893D5B">
      <w:pPr>
        <w:pStyle w:val="Lbjegyzetszveg"/>
      </w:pPr>
      <w:r>
        <w:rPr>
          <w:rStyle w:val="Lbjegyzet-hivatkozs"/>
        </w:rPr>
        <w:footnoteRef/>
      </w:r>
      <w:r>
        <w:t xml:space="preserve"> </w:t>
      </w:r>
      <w:r w:rsidRPr="003E74F9">
        <w:rPr>
          <w:i/>
        </w:rPr>
        <w:t>Beépítette a Szenátus 2017. június 22-ei ülésén elfogadott módosítás. Hatályos 2017. június 23. napjától.</w:t>
      </w:r>
    </w:p>
  </w:footnote>
  <w:footnote w:id="180">
    <w:p w14:paraId="05BCDF32" w14:textId="77777777" w:rsidR="00BD6AF1" w:rsidRDefault="00BD6AF1" w:rsidP="00893D5B">
      <w:pPr>
        <w:pStyle w:val="Lbjegyzetszveg"/>
        <w:jc w:val="both"/>
      </w:pPr>
      <w:r>
        <w:rPr>
          <w:rStyle w:val="Lbjegyzet-hivatkozs"/>
        </w:rPr>
        <w:footnoteRef/>
      </w:r>
      <w:r>
        <w:t xml:space="preserve"> </w:t>
      </w:r>
      <w:r w:rsidRPr="00A118A2">
        <w:rPr>
          <w:i/>
        </w:rPr>
        <w:t>A módosítást a Szenátus 2012. június 28-ai ülésén fogadta el.</w:t>
      </w:r>
    </w:p>
  </w:footnote>
  <w:footnote w:id="181">
    <w:p w14:paraId="39CB25CE" w14:textId="77777777" w:rsidR="00BD6AF1" w:rsidRPr="002F78BE" w:rsidRDefault="00BD6AF1" w:rsidP="00893D5B">
      <w:pPr>
        <w:pStyle w:val="Lbjegyzetszveg"/>
      </w:pPr>
      <w:r>
        <w:rPr>
          <w:rStyle w:val="Lbjegyzet-hivatkozs"/>
        </w:rPr>
        <w:footnoteRef/>
      </w:r>
      <w:r>
        <w:t xml:space="preserve"> </w:t>
      </w:r>
      <w:r w:rsidRPr="002F78BE">
        <w:rPr>
          <w:i/>
        </w:rPr>
        <w:t>A módosítást a Szenátus 2017. június 22-ei ülésén fogadta el. Hatályos 2017. június 23. napjától.</w:t>
      </w:r>
    </w:p>
    <w:p w14:paraId="417622DB" w14:textId="77777777" w:rsidR="00BD6AF1" w:rsidRDefault="00BD6AF1" w:rsidP="00893D5B">
      <w:pPr>
        <w:pStyle w:val="Lbjegyzetszveg"/>
      </w:pPr>
    </w:p>
  </w:footnote>
  <w:footnote w:id="182">
    <w:p w14:paraId="6C240F49" w14:textId="77777777" w:rsidR="00BD6AF1" w:rsidRPr="00062F94" w:rsidRDefault="00BD6AF1" w:rsidP="00893D5B">
      <w:pPr>
        <w:pStyle w:val="Lbjegyzetszveg"/>
        <w:jc w:val="both"/>
        <w:rPr>
          <w:i/>
        </w:rPr>
      </w:pPr>
      <w:r>
        <w:rPr>
          <w:rStyle w:val="Lbjegyzet-hivatkozs"/>
        </w:rPr>
        <w:footnoteRef/>
      </w:r>
      <w:r>
        <w:t xml:space="preserve"> </w:t>
      </w:r>
      <w:r>
        <w:rPr>
          <w:i/>
        </w:rPr>
        <w:t>A módosítást a Szenátus 2017. november 09-ei ülésén fogadat el. Hatályos: 2017. november 09. napjától.</w:t>
      </w:r>
    </w:p>
  </w:footnote>
  <w:footnote w:id="183">
    <w:p w14:paraId="3E6B5AA8" w14:textId="77777777" w:rsidR="00BD6AF1" w:rsidRPr="009F0BF7"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84">
    <w:p w14:paraId="3781B1AE" w14:textId="77777777" w:rsidR="00BD6AF1" w:rsidRPr="00932365"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85">
    <w:p w14:paraId="058A211A" w14:textId="77777777" w:rsidR="00BD6AF1" w:rsidRPr="00A32947"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186">
    <w:p w14:paraId="1F24A176" w14:textId="77777777" w:rsidR="00BD6AF1" w:rsidRPr="00AB0438" w:rsidRDefault="00BD6AF1" w:rsidP="00893D5B">
      <w:pPr>
        <w:pStyle w:val="Lbjegyzetszveg"/>
        <w:rPr>
          <w:i/>
        </w:rPr>
      </w:pPr>
      <w:r w:rsidRPr="00AB0438">
        <w:rPr>
          <w:rStyle w:val="Lbjegyzet-hivatkozs"/>
          <w:i/>
        </w:rPr>
        <w:footnoteRef/>
      </w:r>
      <w:r w:rsidRPr="00AB0438">
        <w:rPr>
          <w:i/>
        </w:rPr>
        <w:t xml:space="preserve"> Beépítette a 2007. május 17-ei szenátusi ülésen elfogadott módosítás. Hatályos: 2007. május 17-étől.</w:t>
      </w:r>
    </w:p>
  </w:footnote>
  <w:footnote w:id="187">
    <w:p w14:paraId="5B52FC7D" w14:textId="77777777" w:rsidR="00BD6AF1" w:rsidRPr="009E3439" w:rsidRDefault="00BD6AF1" w:rsidP="00893D5B">
      <w:pPr>
        <w:pStyle w:val="Lbjegyzetszveg"/>
        <w:rPr>
          <w:i/>
        </w:rPr>
      </w:pPr>
      <w:r w:rsidRPr="009E3439">
        <w:rPr>
          <w:rStyle w:val="Lbjegyzet-hivatkozs"/>
          <w:i/>
        </w:rPr>
        <w:footnoteRef/>
      </w:r>
      <w:r w:rsidRPr="009E3439">
        <w:rPr>
          <w:i/>
        </w:rPr>
        <w:t xml:space="preserve"> </w:t>
      </w:r>
      <w:r w:rsidRPr="009656F2">
        <w:rPr>
          <w:i/>
        </w:rPr>
        <w:t>Beépítette a 2008.június 26-ai szenátusi ülésen elfogadott módosítás. Hatályos: 2008. június 26-ától.</w:t>
      </w:r>
    </w:p>
  </w:footnote>
  <w:footnote w:id="188">
    <w:p w14:paraId="19AD3256" w14:textId="77777777" w:rsidR="00BD6AF1" w:rsidRPr="0030230E" w:rsidRDefault="00BD6AF1" w:rsidP="00893D5B">
      <w:pPr>
        <w:pStyle w:val="Lbjegyzetszveg"/>
        <w:jc w:val="both"/>
        <w:rPr>
          <w:i/>
        </w:rPr>
      </w:pPr>
      <w:r>
        <w:rPr>
          <w:rStyle w:val="Lbjegyzet-hivatkozs"/>
        </w:rPr>
        <w:footnoteRef/>
      </w:r>
      <w:r>
        <w:t xml:space="preserve"> </w:t>
      </w:r>
      <w:r w:rsidRPr="009656F2">
        <w:rPr>
          <w:i/>
        </w:rPr>
        <w:t>A módosítást a Szenátus 2012. június 28-ai ülésén fogadta el.</w:t>
      </w:r>
    </w:p>
  </w:footnote>
  <w:footnote w:id="189">
    <w:p w14:paraId="2470C870" w14:textId="77777777" w:rsidR="00BD6AF1" w:rsidRPr="00932365"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190">
    <w:p w14:paraId="15C63733"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191">
    <w:p w14:paraId="70405014" w14:textId="77777777" w:rsidR="00BD6AF1" w:rsidRDefault="00BD6AF1" w:rsidP="00893D5B">
      <w:pPr>
        <w:pStyle w:val="Lbjegyzetszveg"/>
      </w:pPr>
      <w:r>
        <w:rPr>
          <w:rStyle w:val="Lbjegyzet-hivatkozs"/>
        </w:rPr>
        <w:footnoteRef/>
      </w:r>
      <w:r>
        <w:t xml:space="preserve"> </w:t>
      </w:r>
      <w:r w:rsidRPr="00FF7E2D">
        <w:rPr>
          <w:i/>
        </w:rPr>
        <w:t>Hatályon kívül helyezte</w:t>
      </w:r>
      <w:r>
        <w:t xml:space="preserve"> </w:t>
      </w:r>
      <w:r w:rsidRPr="00483D42">
        <w:rPr>
          <w:i/>
        </w:rPr>
        <w:t>a Szenátus 2015. november 12-ei ülésén</w:t>
      </w:r>
      <w:r>
        <w:rPr>
          <w:i/>
        </w:rPr>
        <w:t xml:space="preserve"> elfogadott módosítás.</w:t>
      </w:r>
    </w:p>
  </w:footnote>
  <w:footnote w:id="192">
    <w:p w14:paraId="6E4D0414" w14:textId="77777777" w:rsidR="00BD6AF1" w:rsidRPr="00AB0438" w:rsidRDefault="00BD6AF1" w:rsidP="00893D5B">
      <w:pPr>
        <w:pStyle w:val="Lbjegyzetszveg"/>
        <w:rPr>
          <w:i/>
        </w:rPr>
      </w:pPr>
      <w:r w:rsidRPr="00AB0438">
        <w:rPr>
          <w:rStyle w:val="Lbjegyzet-hivatkozs"/>
          <w:i/>
        </w:rPr>
        <w:footnoteRef/>
      </w:r>
      <w:r w:rsidRPr="00AB0438">
        <w:rPr>
          <w:i/>
        </w:rPr>
        <w:t xml:space="preserve"> Beépítette a 2007. május 17-ei szenátusi ülésen elfogadott módosítás. Hatályos: 2007. május 17-étől.</w:t>
      </w:r>
    </w:p>
  </w:footnote>
  <w:footnote w:id="193">
    <w:p w14:paraId="1BA25400" w14:textId="77777777" w:rsidR="00BD6AF1" w:rsidRPr="00085C5D"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194">
    <w:p w14:paraId="3D7D4AA8" w14:textId="77777777" w:rsidR="00BD6AF1" w:rsidRDefault="00BD6AF1" w:rsidP="00893D5B">
      <w:pPr>
        <w:pStyle w:val="Lbjegyzetszveg"/>
      </w:pPr>
      <w:r>
        <w:rPr>
          <w:rStyle w:val="Lbjegyzet-hivatkozs"/>
        </w:rPr>
        <w:footnoteRef/>
      </w:r>
      <w:r>
        <w:t xml:space="preserve"> </w:t>
      </w:r>
      <w:r w:rsidRPr="005E0083">
        <w:rPr>
          <w:i/>
        </w:rPr>
        <w:t>A módosítást a Szenátus 2015. november 12-ei ülésén fogadta el. Hatályos: 2015. november 12. napjától.</w:t>
      </w:r>
    </w:p>
  </w:footnote>
  <w:footnote w:id="195">
    <w:p w14:paraId="0AA5F3E3"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196">
    <w:p w14:paraId="1B8A11AD" w14:textId="77777777" w:rsidR="00BD6AF1" w:rsidRPr="00620172"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197">
    <w:p w14:paraId="1AD4D4E5" w14:textId="77777777" w:rsidR="00BD6AF1" w:rsidRPr="00A270BA" w:rsidRDefault="00BD6AF1" w:rsidP="00893D5B">
      <w:pPr>
        <w:pStyle w:val="Lbjegyzetszveg"/>
        <w:rPr>
          <w:i/>
        </w:rPr>
      </w:pPr>
      <w:r>
        <w:rPr>
          <w:rStyle w:val="Lbjegyzet-hivatkozs"/>
        </w:rPr>
        <w:footnoteRef/>
      </w:r>
      <w:r>
        <w:t xml:space="preserve"> </w:t>
      </w:r>
      <w:r w:rsidRPr="00FE6021">
        <w:rPr>
          <w:i/>
        </w:rPr>
        <w:t>A módosítást a Szenátus 2016. március 17-ei ülésén fogadta el. Hatályos: 2016. március 17. napjától.</w:t>
      </w:r>
    </w:p>
    <w:p w14:paraId="71F80DC2" w14:textId="77777777" w:rsidR="00BD6AF1" w:rsidRDefault="00BD6AF1" w:rsidP="00893D5B">
      <w:pPr>
        <w:pStyle w:val="Lbjegyzetszveg"/>
      </w:pPr>
    </w:p>
  </w:footnote>
  <w:footnote w:id="198">
    <w:p w14:paraId="5434D0FF" w14:textId="77777777" w:rsidR="00BD6AF1" w:rsidRDefault="00BD6AF1" w:rsidP="00893D5B">
      <w:pPr>
        <w:pStyle w:val="Lbjegyzetszveg"/>
      </w:pPr>
      <w:r>
        <w:rPr>
          <w:rStyle w:val="Lbjegyzet-hivatkozs"/>
        </w:rPr>
        <w:footnoteRef/>
      </w:r>
      <w:r>
        <w:t xml:space="preserve"> </w:t>
      </w:r>
      <w:r w:rsidRPr="005E0083">
        <w:rPr>
          <w:i/>
        </w:rPr>
        <w:t>A módosítást a Szenátus 2015. november 12-ei ülésén fogadta el. Hatályos: 2015. november 12. napjától.</w:t>
      </w:r>
    </w:p>
  </w:footnote>
  <w:footnote w:id="199">
    <w:p w14:paraId="0942BADB" w14:textId="77777777" w:rsidR="00BD6AF1" w:rsidRPr="001F2E56" w:rsidRDefault="00BD6AF1" w:rsidP="00893D5B">
      <w:pPr>
        <w:pStyle w:val="Lbjegyzetszveg"/>
        <w:rPr>
          <w:i/>
        </w:rPr>
      </w:pPr>
      <w:r>
        <w:rPr>
          <w:rStyle w:val="Lbjegyzet-hivatkozs"/>
        </w:rPr>
        <w:footnoteRef/>
      </w:r>
      <w:r>
        <w:t xml:space="preserve"> </w:t>
      </w:r>
      <w:r w:rsidRPr="00276D8A">
        <w:rPr>
          <w:i/>
        </w:rPr>
        <w:t xml:space="preserve">Beépítette </w:t>
      </w:r>
      <w:r w:rsidRPr="00276D8A">
        <w:t>a Szenátus</w:t>
      </w:r>
      <w:r w:rsidRPr="00FE6021">
        <w:rPr>
          <w:i/>
        </w:rPr>
        <w:t xml:space="preserve"> 2016.</w:t>
      </w:r>
      <w:r>
        <w:rPr>
          <w:i/>
        </w:rPr>
        <w:t xml:space="preserve"> március 17-ei ülésén elfogadott módosítás</w:t>
      </w:r>
      <w:r w:rsidRPr="00FE6021">
        <w:rPr>
          <w:i/>
        </w:rPr>
        <w:t>. Hatályos: 2016. március 17. napjától.</w:t>
      </w:r>
    </w:p>
  </w:footnote>
  <w:footnote w:id="200">
    <w:p w14:paraId="60070C78"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01">
    <w:p w14:paraId="0976382E"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02">
    <w:p w14:paraId="1755F55C"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03">
    <w:p w14:paraId="57B28A2F" w14:textId="77777777" w:rsidR="00BD6AF1" w:rsidRPr="00176818"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204">
    <w:p w14:paraId="776C1D04"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05">
    <w:p w14:paraId="09A20A88" w14:textId="77777777" w:rsidR="00BD6AF1" w:rsidRPr="00176818" w:rsidRDefault="00BD6AF1" w:rsidP="00893D5B">
      <w:pPr>
        <w:pStyle w:val="Lbjegyzetszveg"/>
        <w:jc w:val="both"/>
        <w:rPr>
          <w:i/>
        </w:rPr>
      </w:pPr>
      <w:r>
        <w:rPr>
          <w:rStyle w:val="Lbjegyzet-hivatkozs"/>
        </w:rPr>
        <w:footnoteRef/>
      </w:r>
      <w:r>
        <w:t xml:space="preserve"> </w:t>
      </w:r>
      <w:r>
        <w:rPr>
          <w:i/>
        </w:rPr>
        <w:t>Beépítette a Szenátus 2014. április 24-ei ülésén elfogadott módosítás. Hatályos: 2014. április 24. napjától.</w:t>
      </w:r>
    </w:p>
  </w:footnote>
  <w:footnote w:id="206">
    <w:p w14:paraId="287AC26C"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207">
    <w:p w14:paraId="5C72B1D3" w14:textId="0AA6E609" w:rsidR="00BD6AF1" w:rsidRPr="003725B3" w:rsidRDefault="00BD6AF1" w:rsidP="003725B3">
      <w:pPr>
        <w:pStyle w:val="Lbjegyzetszveg"/>
        <w:jc w:val="both"/>
        <w:rPr>
          <w:i/>
        </w:rPr>
      </w:pPr>
      <w:r>
        <w:rPr>
          <w:rStyle w:val="Lbjegyzet-hivatkozs"/>
        </w:rPr>
        <w:footnoteRef/>
      </w:r>
      <w:r>
        <w:t xml:space="preserve"> </w:t>
      </w:r>
      <w:r w:rsidR="003725B3">
        <w:rPr>
          <w:i/>
        </w:rPr>
        <w:t>A módosítást a Szenátus a 2020. december 03-ai online ülését követő elektronikus döntéshozatali eljárásában fogadta el. Hatályos: 2021. január 01. napjától.</w:t>
      </w:r>
    </w:p>
  </w:footnote>
  <w:footnote w:id="208">
    <w:p w14:paraId="088179DC" w14:textId="77777777" w:rsidR="00BD6AF1" w:rsidRDefault="00BD6AF1" w:rsidP="00893D5B">
      <w:pPr>
        <w:pStyle w:val="Lbjegyzetszveg"/>
      </w:pPr>
      <w:r>
        <w:rPr>
          <w:rStyle w:val="Lbjegyzet-hivatkozs"/>
        </w:rPr>
        <w:footnoteRef/>
      </w:r>
      <w:r>
        <w:t xml:space="preserve"> </w:t>
      </w:r>
      <w:r w:rsidRPr="009D7284">
        <w:rPr>
          <w:i/>
        </w:rPr>
        <w:t>A módosítást a Szenátus 2015. november 12-ei ülésén fogadta el. Hatályos: 2015. november 12. napjától.</w:t>
      </w:r>
    </w:p>
  </w:footnote>
  <w:footnote w:id="209">
    <w:p w14:paraId="6A2CB17B" w14:textId="77777777" w:rsidR="00BD6AF1" w:rsidRPr="00DC3B0C"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10">
    <w:p w14:paraId="4FA19D3D" w14:textId="77777777" w:rsidR="00BD6AF1" w:rsidRPr="00DC3B0C"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11">
    <w:p w14:paraId="061A1A09" w14:textId="77777777" w:rsidR="00BD6AF1" w:rsidRDefault="00BD6AF1" w:rsidP="00893D5B">
      <w:pPr>
        <w:pStyle w:val="Lbjegyzetszveg"/>
        <w:jc w:val="both"/>
      </w:pPr>
      <w:r>
        <w:rPr>
          <w:rStyle w:val="Lbjegyzet-hivatkozs"/>
        </w:rPr>
        <w:footnoteRef/>
      </w:r>
      <w:r>
        <w:t xml:space="preserve"> </w:t>
      </w:r>
      <w:r>
        <w:rPr>
          <w:i/>
        </w:rPr>
        <w:t>A módosítást a Szenátus 2013. november 14-ei ülésén fogadta el. Hatályos: 2013. november 14. napjától.</w:t>
      </w:r>
    </w:p>
  </w:footnote>
  <w:footnote w:id="212">
    <w:p w14:paraId="32657BD3" w14:textId="77777777" w:rsidR="00BD6AF1" w:rsidRDefault="00BD6AF1" w:rsidP="00893D5B">
      <w:pPr>
        <w:pStyle w:val="Lbjegyzetszveg"/>
      </w:pPr>
      <w:r>
        <w:rPr>
          <w:rStyle w:val="Lbjegyzet-hivatkozs"/>
        </w:rPr>
        <w:footnoteRef/>
      </w:r>
      <w:r>
        <w:t xml:space="preserve"> </w:t>
      </w:r>
      <w:r w:rsidRPr="009D7284">
        <w:rPr>
          <w:i/>
        </w:rPr>
        <w:t>A módosítást a Szenátus 2015. november 12-ei ülésén fogadta el. Hatályos: 2015. november 12. napjától.</w:t>
      </w:r>
    </w:p>
  </w:footnote>
  <w:footnote w:id="213">
    <w:p w14:paraId="7A4C1C19" w14:textId="77777777" w:rsidR="00BD6AF1" w:rsidRPr="004D0E71" w:rsidRDefault="00BD6AF1" w:rsidP="00893D5B">
      <w:pPr>
        <w:pStyle w:val="Lbjegyzetszveg"/>
        <w:jc w:val="both"/>
        <w:rPr>
          <w:i/>
        </w:rPr>
      </w:pPr>
      <w:r>
        <w:rPr>
          <w:rStyle w:val="Lbjegyzet-hivatkozs"/>
        </w:rPr>
        <w:footnoteRef/>
      </w:r>
      <w:r>
        <w:t xml:space="preserve"> </w:t>
      </w:r>
      <w:r>
        <w:rPr>
          <w:i/>
        </w:rPr>
        <w:t>A (7) bekezdés b) pontját, valamint a (8) bekezdést beépítette a Szenátus 2014. április 24-ei ülésén elfogadott módosítás. Hatályos: 2014. április 24. napjától.</w:t>
      </w:r>
    </w:p>
  </w:footnote>
  <w:footnote w:id="214">
    <w:p w14:paraId="54DEF21A" w14:textId="77777777" w:rsidR="00BD6AF1" w:rsidRPr="0009698C" w:rsidRDefault="00BD6AF1" w:rsidP="00893D5B">
      <w:pPr>
        <w:pStyle w:val="Lbjegyzetszveg"/>
        <w:jc w:val="both"/>
        <w:rPr>
          <w:i/>
        </w:rPr>
      </w:pPr>
      <w:r>
        <w:rPr>
          <w:rStyle w:val="Lbjegyzet-hivatkozs"/>
        </w:rPr>
        <w:footnoteRef/>
      </w:r>
      <w:r>
        <w:t xml:space="preserve"> </w:t>
      </w:r>
      <w:r w:rsidRPr="00871CA0">
        <w:rPr>
          <w:i/>
        </w:rPr>
        <w:t>A módosítást a Szenátus 2013. november 14-ei ülésén fogadta el. Hatályos: 2013. november 14. napjától.</w:t>
      </w:r>
    </w:p>
  </w:footnote>
  <w:footnote w:id="215">
    <w:p w14:paraId="07FAB594" w14:textId="77777777" w:rsidR="00BD6AF1" w:rsidRDefault="00BD6AF1" w:rsidP="00893D5B">
      <w:pPr>
        <w:pStyle w:val="Lbjegyzetszveg"/>
      </w:pPr>
      <w:r>
        <w:rPr>
          <w:rStyle w:val="Lbjegyzet-hivatkozs"/>
        </w:rPr>
        <w:footnoteRef/>
      </w:r>
      <w:r>
        <w:t xml:space="preserve"> </w:t>
      </w:r>
      <w:r w:rsidRPr="009D7284">
        <w:rPr>
          <w:i/>
        </w:rPr>
        <w:t>A módosítást a Szenátus 2015. november 12-ei ülésén fogadta el. Hatályos: 2015. november 12. napjától.</w:t>
      </w:r>
    </w:p>
  </w:footnote>
  <w:footnote w:id="216">
    <w:p w14:paraId="381491FC" w14:textId="77777777" w:rsidR="00BD6AF1" w:rsidRPr="00CA24BD" w:rsidRDefault="00BD6AF1" w:rsidP="00893D5B">
      <w:pPr>
        <w:pStyle w:val="Lbjegyzetszveg"/>
        <w:jc w:val="both"/>
        <w:rPr>
          <w:i/>
        </w:rPr>
      </w:pPr>
      <w:r>
        <w:rPr>
          <w:rStyle w:val="Lbjegyzet-hivatkozs"/>
        </w:rPr>
        <w:footnoteRef/>
      </w:r>
      <w:r>
        <w:t xml:space="preserve"> </w:t>
      </w:r>
      <w:r>
        <w:rPr>
          <w:i/>
        </w:rPr>
        <w:t>Hatályon kívül helyezte a Szenátus 2013. február 11-ei ülésén elfogadott módosítás.</w:t>
      </w:r>
    </w:p>
  </w:footnote>
  <w:footnote w:id="217">
    <w:p w14:paraId="08313243"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18">
    <w:p w14:paraId="6261F347" w14:textId="77777777" w:rsidR="00BD6AF1" w:rsidRPr="00FA4F61" w:rsidRDefault="00BD6AF1" w:rsidP="00893D5B">
      <w:pPr>
        <w:pStyle w:val="Lbjegyzetszveg"/>
        <w:jc w:val="both"/>
        <w:rPr>
          <w:i/>
        </w:rPr>
      </w:pPr>
      <w:r>
        <w:rPr>
          <w:rStyle w:val="Lbjegyzet-hivatkozs"/>
        </w:rPr>
        <w:footnoteRef/>
      </w:r>
      <w:r>
        <w:t xml:space="preserve"> </w:t>
      </w:r>
      <w:r>
        <w:rPr>
          <w:i/>
        </w:rPr>
        <w:t>A közalkalmazottak minősítésével kapcsolatos rendelkezések módosítását a Szenátus 2009. április 9-ei ülésén fogadta el. Hatályos: 2009. április 9. napjától.</w:t>
      </w:r>
    </w:p>
  </w:footnote>
  <w:footnote w:id="219">
    <w:p w14:paraId="62BEDACF" w14:textId="77777777" w:rsidR="00BD6AF1" w:rsidRPr="00067EC6"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220">
    <w:p w14:paraId="4EDD263E" w14:textId="77777777" w:rsidR="00BD6AF1" w:rsidRPr="00306086"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21">
    <w:p w14:paraId="1510F9B5"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22">
    <w:p w14:paraId="47485EC8" w14:textId="77777777" w:rsidR="00BD6AF1" w:rsidRPr="00444278" w:rsidRDefault="00BD6AF1" w:rsidP="00893D5B">
      <w:pPr>
        <w:pStyle w:val="Lbjegyzetszveg"/>
        <w:jc w:val="both"/>
        <w:rPr>
          <w:i/>
        </w:rPr>
      </w:pPr>
      <w:r>
        <w:rPr>
          <w:rStyle w:val="Lbjegyzet-hivatkozs"/>
        </w:rPr>
        <w:footnoteRef/>
      </w:r>
      <w:r>
        <w:t xml:space="preserve"> </w:t>
      </w:r>
      <w:r>
        <w:rPr>
          <w:i/>
        </w:rPr>
        <w:t>Beépítette a Szenátus 2016. december 15-e</w:t>
      </w:r>
      <w:r w:rsidRPr="001B5494">
        <w:rPr>
          <w:i/>
        </w:rPr>
        <w:t>i ülésén elfogadott módo</w:t>
      </w:r>
      <w:r>
        <w:rPr>
          <w:i/>
        </w:rPr>
        <w:t>sítás. Hatályos 2017</w:t>
      </w:r>
      <w:r w:rsidRPr="001B5494">
        <w:rPr>
          <w:i/>
        </w:rPr>
        <w:t>.</w:t>
      </w:r>
      <w:r>
        <w:rPr>
          <w:i/>
        </w:rPr>
        <w:t xml:space="preserve"> január 1. napjától.</w:t>
      </w:r>
    </w:p>
  </w:footnote>
  <w:footnote w:id="223">
    <w:p w14:paraId="3E690A2E" w14:textId="77777777" w:rsidR="00BD6AF1" w:rsidRPr="00444278" w:rsidRDefault="00BD6AF1" w:rsidP="00893D5B">
      <w:pPr>
        <w:pStyle w:val="Lbjegyzetszveg"/>
        <w:jc w:val="both"/>
        <w:rPr>
          <w:i/>
        </w:rPr>
      </w:pPr>
      <w:r>
        <w:rPr>
          <w:rStyle w:val="Lbjegyzet-hivatkozs"/>
        </w:rPr>
        <w:footnoteRef/>
      </w:r>
      <w:r>
        <w:t xml:space="preserve"> </w:t>
      </w:r>
      <w:r>
        <w:rPr>
          <w:i/>
        </w:rPr>
        <w:t>Beépítette a Szenátus 2016. december 15-e</w:t>
      </w:r>
      <w:r w:rsidRPr="001B5494">
        <w:rPr>
          <w:i/>
        </w:rPr>
        <w:t>i ülésén elfogadott módo</w:t>
      </w:r>
      <w:r>
        <w:rPr>
          <w:i/>
        </w:rPr>
        <w:t>sítás. Hatályos 2017</w:t>
      </w:r>
      <w:r w:rsidRPr="001B5494">
        <w:rPr>
          <w:i/>
        </w:rPr>
        <w:t>.</w:t>
      </w:r>
      <w:r>
        <w:rPr>
          <w:i/>
        </w:rPr>
        <w:t xml:space="preserve"> január 1. napjától.</w:t>
      </w:r>
    </w:p>
  </w:footnote>
  <w:footnote w:id="224">
    <w:p w14:paraId="5EB85349" w14:textId="77777777" w:rsidR="00BD6AF1" w:rsidRPr="00444278" w:rsidRDefault="00BD6AF1" w:rsidP="00893D5B">
      <w:pPr>
        <w:pStyle w:val="Lbjegyzetszveg"/>
        <w:jc w:val="both"/>
        <w:rPr>
          <w:i/>
        </w:rPr>
      </w:pPr>
      <w:r>
        <w:rPr>
          <w:rStyle w:val="Lbjegyzet-hivatkozs"/>
        </w:rPr>
        <w:footnoteRef/>
      </w:r>
      <w:r>
        <w:t xml:space="preserve"> </w:t>
      </w:r>
      <w:r>
        <w:rPr>
          <w:i/>
        </w:rPr>
        <w:t>Beépítette a Szenátus 2016. december 15-e</w:t>
      </w:r>
      <w:r w:rsidRPr="001B5494">
        <w:rPr>
          <w:i/>
        </w:rPr>
        <w:t>i ülésén elfogadott módo</w:t>
      </w:r>
      <w:r>
        <w:rPr>
          <w:i/>
        </w:rPr>
        <w:t>sítás. Hatályos 2017</w:t>
      </w:r>
      <w:r w:rsidRPr="001B5494">
        <w:rPr>
          <w:i/>
        </w:rPr>
        <w:t>.</w:t>
      </w:r>
      <w:r>
        <w:rPr>
          <w:i/>
        </w:rPr>
        <w:t xml:space="preserve"> január 1. napjától.</w:t>
      </w:r>
    </w:p>
  </w:footnote>
  <w:footnote w:id="225">
    <w:p w14:paraId="606009C9" w14:textId="77777777" w:rsidR="00BD6AF1" w:rsidRPr="00276D8A" w:rsidRDefault="00BD6AF1" w:rsidP="00893D5B">
      <w:pPr>
        <w:pStyle w:val="Lbjegyzetszveg"/>
        <w:rPr>
          <w:i/>
        </w:rPr>
      </w:pPr>
      <w:r>
        <w:rPr>
          <w:rStyle w:val="Lbjegyzet-hivatkozs"/>
        </w:rPr>
        <w:footnoteRef/>
      </w:r>
      <w:r>
        <w:t xml:space="preserve"> </w:t>
      </w:r>
      <w:r>
        <w:rPr>
          <w:i/>
        </w:rPr>
        <w:t xml:space="preserve">A </w:t>
      </w:r>
      <w:r w:rsidRPr="00FE6021">
        <w:rPr>
          <w:i/>
        </w:rPr>
        <w:t>módosítást a Szenátus 2016. március 17-ei ülésén fogadta el. Hatályos: 2016. március 17. napjától.</w:t>
      </w:r>
    </w:p>
  </w:footnote>
  <w:footnote w:id="226">
    <w:p w14:paraId="5F643DEF" w14:textId="77777777" w:rsidR="00BD6AF1" w:rsidRPr="005827AE" w:rsidRDefault="00BD6AF1" w:rsidP="00893D5B">
      <w:pPr>
        <w:pStyle w:val="Lbjegyzetszveg"/>
        <w:rPr>
          <w:i/>
        </w:rPr>
      </w:pPr>
      <w:r>
        <w:rPr>
          <w:rStyle w:val="Lbjegyzet-hivatkozs"/>
        </w:rPr>
        <w:footnoteRef/>
      </w:r>
      <w:r>
        <w:t xml:space="preserve"> </w:t>
      </w:r>
      <w:r>
        <w:rPr>
          <w:i/>
        </w:rPr>
        <w:t xml:space="preserve">A </w:t>
      </w:r>
      <w:r w:rsidRPr="00FE6021">
        <w:rPr>
          <w:i/>
        </w:rPr>
        <w:t>módosí</w:t>
      </w:r>
      <w:r>
        <w:rPr>
          <w:i/>
        </w:rPr>
        <w:t>tást a Szenátus 2016. december 15</w:t>
      </w:r>
      <w:r w:rsidRPr="00FE6021">
        <w:rPr>
          <w:i/>
        </w:rPr>
        <w:t>-ei ü</w:t>
      </w:r>
      <w:r>
        <w:rPr>
          <w:i/>
        </w:rPr>
        <w:t>lésén fogadta el. Hatályos: 2017. január 1</w:t>
      </w:r>
      <w:r w:rsidRPr="00FE6021">
        <w:rPr>
          <w:i/>
        </w:rPr>
        <w:t>. napjától.</w:t>
      </w:r>
    </w:p>
  </w:footnote>
  <w:footnote w:id="227">
    <w:p w14:paraId="23A8D277" w14:textId="77777777" w:rsidR="00BD6AF1" w:rsidRPr="005827AE" w:rsidRDefault="00BD6AF1" w:rsidP="00893D5B">
      <w:pPr>
        <w:contextualSpacing/>
        <w:jc w:val="both"/>
        <w:rPr>
          <w:i/>
          <w:sz w:val="20"/>
          <w:szCs w:val="20"/>
        </w:rPr>
      </w:pPr>
      <w:r w:rsidRPr="005827AE">
        <w:rPr>
          <w:rStyle w:val="Lbjegyzet-hivatkozs"/>
          <w:sz w:val="20"/>
          <w:szCs w:val="20"/>
        </w:rPr>
        <w:footnoteRef/>
      </w:r>
      <w:r w:rsidRPr="005827AE">
        <w:rPr>
          <w:rStyle w:val="Lbjegyzet-hivatkozs"/>
          <w:sz w:val="20"/>
          <w:szCs w:val="20"/>
        </w:rPr>
        <w:t xml:space="preserve"> </w:t>
      </w:r>
      <w:r w:rsidRPr="00596464">
        <w:rPr>
          <w:i/>
          <w:sz w:val="20"/>
          <w:szCs w:val="20"/>
        </w:rPr>
        <w:t>A módosítást a Szenátus 2019. június 27-ei ülésén fogadta el. Hatályos:2019. július 1. napjától.</w:t>
      </w:r>
    </w:p>
  </w:footnote>
  <w:footnote w:id="228">
    <w:p w14:paraId="1E9EF480" w14:textId="77777777" w:rsidR="00BD6AF1" w:rsidRPr="005827AE" w:rsidRDefault="00BD6AF1" w:rsidP="00893D5B">
      <w:pPr>
        <w:contextualSpacing/>
        <w:jc w:val="both"/>
        <w:rPr>
          <w:i/>
          <w:sz w:val="20"/>
          <w:szCs w:val="20"/>
        </w:rPr>
      </w:pPr>
      <w:r w:rsidRPr="005827AE">
        <w:rPr>
          <w:rStyle w:val="Lbjegyzet-hivatkozs"/>
          <w:sz w:val="20"/>
        </w:rPr>
        <w:footnoteRef/>
      </w:r>
      <w:r w:rsidRPr="005827AE">
        <w:rPr>
          <w:sz w:val="20"/>
        </w:rPr>
        <w:t xml:space="preserve"> </w:t>
      </w:r>
      <w:r w:rsidRPr="00596464">
        <w:rPr>
          <w:i/>
          <w:sz w:val="20"/>
          <w:szCs w:val="20"/>
        </w:rPr>
        <w:t>A módosítást a Szenátus 2019. június 27-ei ülésén fogadta el. Hatályos:2019. július 1. napjától.</w:t>
      </w:r>
    </w:p>
  </w:footnote>
  <w:footnote w:id="229">
    <w:p w14:paraId="5316A119" w14:textId="77777777" w:rsidR="00BD6AF1" w:rsidRPr="00306086"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30">
    <w:p w14:paraId="262F2AAE" w14:textId="77777777" w:rsidR="00BD6AF1" w:rsidRPr="005827AE" w:rsidRDefault="00BD6AF1" w:rsidP="00893D5B">
      <w:pPr>
        <w:contextualSpacing/>
        <w:jc w:val="both"/>
        <w:rPr>
          <w:i/>
          <w:sz w:val="20"/>
          <w:szCs w:val="20"/>
        </w:rPr>
      </w:pPr>
      <w:r w:rsidRPr="005827AE">
        <w:rPr>
          <w:rStyle w:val="Lbjegyzet-hivatkozs"/>
          <w:sz w:val="20"/>
          <w:szCs w:val="20"/>
        </w:rPr>
        <w:footnoteRef/>
      </w:r>
      <w:r w:rsidRPr="005827AE">
        <w:rPr>
          <w:sz w:val="20"/>
          <w:szCs w:val="20"/>
        </w:rPr>
        <w:t xml:space="preserve"> </w:t>
      </w:r>
      <w:r w:rsidRPr="00596464">
        <w:rPr>
          <w:i/>
          <w:sz w:val="20"/>
          <w:szCs w:val="20"/>
        </w:rPr>
        <w:t xml:space="preserve">A módosítást a Szenátus 2019. június 27-ei ülésén </w:t>
      </w:r>
      <w:r>
        <w:rPr>
          <w:i/>
          <w:sz w:val="20"/>
          <w:szCs w:val="20"/>
        </w:rPr>
        <w:t xml:space="preserve">fogadta el, a soron következő </w:t>
      </w:r>
      <w:r w:rsidRPr="005827AE">
        <w:rPr>
          <w:i/>
          <w:sz w:val="20"/>
          <w:szCs w:val="20"/>
        </w:rPr>
        <w:t xml:space="preserve">bekezdések számozása </w:t>
      </w:r>
      <w:proofErr w:type="gramStart"/>
      <w:r w:rsidRPr="005827AE">
        <w:rPr>
          <w:i/>
          <w:sz w:val="20"/>
          <w:szCs w:val="20"/>
        </w:rPr>
        <w:t>automatikusan</w:t>
      </w:r>
      <w:proofErr w:type="gramEnd"/>
      <w:r w:rsidRPr="005827AE">
        <w:rPr>
          <w:i/>
          <w:sz w:val="20"/>
          <w:szCs w:val="20"/>
        </w:rPr>
        <w:t xml:space="preserve"> módosul. Hatályos:2019. július 1. napjától.</w:t>
      </w:r>
    </w:p>
  </w:footnote>
  <w:footnote w:id="231">
    <w:p w14:paraId="7A850C94"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32">
    <w:p w14:paraId="5D4092E2" w14:textId="77777777" w:rsidR="00BD6AF1" w:rsidRDefault="00BD6AF1" w:rsidP="00893D5B">
      <w:pPr>
        <w:pStyle w:val="Lbjegyzetszveg"/>
      </w:pPr>
      <w:r>
        <w:rPr>
          <w:rStyle w:val="Lbjegyzet-hivatkozs"/>
        </w:rPr>
        <w:footnoteRef/>
      </w:r>
      <w:r>
        <w:t xml:space="preserve"> </w:t>
      </w:r>
      <w:r w:rsidRPr="00596464">
        <w:rPr>
          <w:i/>
        </w:rPr>
        <w:t>A módosítást a Szenátus 2019. június 27-ei ülésén fogadta el. Hatályos:2019. július 1. napjától.</w:t>
      </w:r>
    </w:p>
  </w:footnote>
  <w:footnote w:id="233">
    <w:p w14:paraId="114FD187" w14:textId="77777777" w:rsidR="00BD6AF1" w:rsidRPr="005827AE" w:rsidRDefault="00BD6AF1" w:rsidP="00893D5B">
      <w:pPr>
        <w:pStyle w:val="Lbjegyzetszveg"/>
        <w:jc w:val="both"/>
        <w:rPr>
          <w:i/>
        </w:rPr>
      </w:pPr>
      <w:r w:rsidRPr="005827AE">
        <w:rPr>
          <w:rStyle w:val="Lbjegyzet-hivatkozs"/>
          <w:i/>
        </w:rPr>
        <w:footnoteRef/>
      </w:r>
      <w:r w:rsidRPr="005827AE">
        <w:rPr>
          <w:i/>
        </w:rPr>
        <w:t xml:space="preserve"> Az utolsó mondatot beépítette a Szenátus 2019. június 27-ei ülésén elfogadott módosítás. Hatályos:2019. július 1. napjától.</w:t>
      </w:r>
    </w:p>
  </w:footnote>
  <w:footnote w:id="234">
    <w:p w14:paraId="3E25F153" w14:textId="77777777" w:rsidR="00BD6AF1" w:rsidRPr="002F1E5A" w:rsidRDefault="00BD6AF1" w:rsidP="00893D5B">
      <w:pPr>
        <w:pStyle w:val="Lbjegyzetszveg"/>
        <w:jc w:val="both"/>
        <w:rPr>
          <w:i/>
        </w:rPr>
      </w:pPr>
      <w:r w:rsidRPr="005827AE">
        <w:rPr>
          <w:rStyle w:val="Lbjegyzet-hivatkozs"/>
          <w:i/>
        </w:rPr>
        <w:footnoteRef/>
      </w:r>
      <w:r w:rsidRPr="005827AE">
        <w:rPr>
          <w:i/>
        </w:rPr>
        <w:t xml:space="preserve"> Az új (6)-(8) bekezdéseket beépítette a Szenátus 2019. június 27-ei ülésén elfogadott módosítás</w:t>
      </w:r>
      <w:r>
        <w:rPr>
          <w:i/>
        </w:rPr>
        <w:t xml:space="preserve">, a soron következő </w:t>
      </w:r>
      <w:r w:rsidRPr="005827AE">
        <w:rPr>
          <w:i/>
        </w:rPr>
        <w:t xml:space="preserve">bekezdések számozása </w:t>
      </w:r>
      <w:proofErr w:type="gramStart"/>
      <w:r w:rsidRPr="005827AE">
        <w:rPr>
          <w:i/>
        </w:rPr>
        <w:t>automatikusan</w:t>
      </w:r>
      <w:proofErr w:type="gramEnd"/>
      <w:r w:rsidRPr="005827AE">
        <w:rPr>
          <w:i/>
        </w:rPr>
        <w:t xml:space="preserve"> módosul</w:t>
      </w:r>
      <w:r>
        <w:rPr>
          <w:i/>
        </w:rPr>
        <w:t xml:space="preserve">. </w:t>
      </w:r>
      <w:r w:rsidRPr="005827AE">
        <w:rPr>
          <w:i/>
        </w:rPr>
        <w:t>Hatályos:2019. július 1. napjától.</w:t>
      </w:r>
    </w:p>
  </w:footnote>
  <w:footnote w:id="235">
    <w:p w14:paraId="50A7C95B"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36">
    <w:p w14:paraId="4FE4777B"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37">
    <w:p w14:paraId="0AC89835" w14:textId="77777777" w:rsidR="00BD6AF1" w:rsidRPr="000250FA" w:rsidRDefault="00BD6AF1" w:rsidP="00893D5B">
      <w:pPr>
        <w:contextualSpacing/>
        <w:jc w:val="both"/>
        <w:rPr>
          <w:i/>
          <w:sz w:val="20"/>
          <w:szCs w:val="20"/>
        </w:rPr>
      </w:pPr>
      <w:r w:rsidRPr="000250FA">
        <w:rPr>
          <w:rStyle w:val="Lbjegyzet-hivatkozs"/>
          <w:sz w:val="20"/>
          <w:szCs w:val="20"/>
        </w:rPr>
        <w:footnoteRef/>
      </w:r>
      <w:r w:rsidRPr="000250FA">
        <w:rPr>
          <w:sz w:val="20"/>
          <w:szCs w:val="20"/>
        </w:rPr>
        <w:t xml:space="preserve"> </w:t>
      </w:r>
      <w:r w:rsidRPr="000250FA">
        <w:rPr>
          <w:i/>
          <w:sz w:val="20"/>
          <w:szCs w:val="20"/>
        </w:rPr>
        <w:t>Beépítette a Szenátus 2019. június 27-e</w:t>
      </w:r>
      <w:r>
        <w:rPr>
          <w:i/>
          <w:sz w:val="20"/>
          <w:szCs w:val="20"/>
        </w:rPr>
        <w:t>i ülésén elfogadott módosítás</w:t>
      </w:r>
      <w:r w:rsidRPr="000250FA">
        <w:rPr>
          <w:i/>
          <w:sz w:val="20"/>
          <w:szCs w:val="20"/>
        </w:rPr>
        <w:t>. Hatályos:2019. július 1. napjától.</w:t>
      </w:r>
    </w:p>
  </w:footnote>
  <w:footnote w:id="238">
    <w:p w14:paraId="4C83D9A8"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39">
    <w:p w14:paraId="7941E8E8" w14:textId="77777777" w:rsidR="00BD6AF1" w:rsidRPr="00762EAA" w:rsidRDefault="00BD6AF1" w:rsidP="00893D5B">
      <w:pPr>
        <w:pStyle w:val="Lbjegyzetszveg"/>
        <w:rPr>
          <w:i/>
        </w:rPr>
      </w:pPr>
      <w:r w:rsidRPr="00762EAA">
        <w:rPr>
          <w:rStyle w:val="Lbjegyzet-hivatkozs"/>
          <w:i/>
        </w:rPr>
        <w:footnoteRef/>
      </w:r>
      <w:r w:rsidRPr="00762EAA">
        <w:rPr>
          <w:i/>
        </w:rPr>
        <w:t xml:space="preserve"> A módosítást a Szenátus 2007.</w:t>
      </w:r>
      <w:r>
        <w:rPr>
          <w:i/>
        </w:rPr>
        <w:t xml:space="preserve"> </w:t>
      </w:r>
      <w:r w:rsidRPr="00762EAA">
        <w:rPr>
          <w:i/>
        </w:rPr>
        <w:t>július 5-ei ülésén fogadta el. Hatályos: 2007. július 5. napjától.</w:t>
      </w:r>
    </w:p>
  </w:footnote>
  <w:footnote w:id="240">
    <w:p w14:paraId="7090F52E" w14:textId="77777777" w:rsidR="00BD6AF1" w:rsidRPr="00815AB9" w:rsidRDefault="00BD6AF1" w:rsidP="00893D5B">
      <w:pPr>
        <w:pStyle w:val="Lbjegyzetszveg"/>
        <w:rPr>
          <w:i/>
        </w:rPr>
      </w:pPr>
      <w:r>
        <w:rPr>
          <w:rStyle w:val="Lbjegyzet-hivatkozs"/>
        </w:rPr>
        <w:footnoteRef/>
      </w:r>
      <w:r>
        <w:t xml:space="preserve"> </w:t>
      </w:r>
      <w:r w:rsidRPr="00762EAA">
        <w:rPr>
          <w:i/>
        </w:rPr>
        <w:t>A módosítást a Szenátus 200</w:t>
      </w:r>
      <w:r>
        <w:rPr>
          <w:i/>
        </w:rPr>
        <w:t>8</w:t>
      </w:r>
      <w:r w:rsidRPr="00762EAA">
        <w:rPr>
          <w:i/>
        </w:rPr>
        <w:t>.</w:t>
      </w:r>
      <w:r>
        <w:rPr>
          <w:i/>
        </w:rPr>
        <w:t>június 26</w:t>
      </w:r>
      <w:r w:rsidRPr="00762EAA">
        <w:rPr>
          <w:i/>
        </w:rPr>
        <w:t>-</w:t>
      </w:r>
      <w:r>
        <w:rPr>
          <w:i/>
        </w:rPr>
        <w:t>a</w:t>
      </w:r>
      <w:r w:rsidRPr="00762EAA">
        <w:rPr>
          <w:i/>
        </w:rPr>
        <w:t>i ülésén fogadta el. Hatályos: 200</w:t>
      </w:r>
      <w:r>
        <w:rPr>
          <w:i/>
        </w:rPr>
        <w:t>8</w:t>
      </w:r>
      <w:r w:rsidRPr="00762EAA">
        <w:rPr>
          <w:i/>
        </w:rPr>
        <w:t>. jú</w:t>
      </w:r>
      <w:r>
        <w:rPr>
          <w:i/>
        </w:rPr>
        <w:t>nius</w:t>
      </w:r>
      <w:r w:rsidRPr="00762EAA">
        <w:rPr>
          <w:i/>
        </w:rPr>
        <w:t xml:space="preserve"> </w:t>
      </w:r>
      <w:r>
        <w:rPr>
          <w:i/>
        </w:rPr>
        <w:t>26. napjától.</w:t>
      </w:r>
    </w:p>
  </w:footnote>
  <w:footnote w:id="241">
    <w:p w14:paraId="041ACAF1"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242">
    <w:p w14:paraId="12E84251" w14:textId="77777777" w:rsidR="00BD6AF1" w:rsidRPr="00276D8A" w:rsidRDefault="00BD6AF1" w:rsidP="00893D5B">
      <w:pPr>
        <w:pStyle w:val="Lbjegyzetszveg"/>
        <w:rPr>
          <w:i/>
        </w:rPr>
      </w:pPr>
      <w:r>
        <w:rPr>
          <w:rStyle w:val="Lbjegyzet-hivatkozs"/>
        </w:rPr>
        <w:footnoteRef/>
      </w:r>
      <w:r>
        <w:t xml:space="preserve"> </w:t>
      </w:r>
      <w:r>
        <w:rPr>
          <w:i/>
        </w:rPr>
        <w:t>Beépítette a</w:t>
      </w:r>
      <w:r w:rsidRPr="00FE6021">
        <w:rPr>
          <w:i/>
        </w:rPr>
        <w:t xml:space="preserve"> Szenátus 2016. március 17-ei ülésén</w:t>
      </w:r>
      <w:r>
        <w:rPr>
          <w:i/>
        </w:rPr>
        <w:t xml:space="preserve"> elfogadott módosítás</w:t>
      </w:r>
      <w:r w:rsidRPr="00FE6021">
        <w:rPr>
          <w:i/>
        </w:rPr>
        <w:t>. Hatályos: 2016. március 17. napjától.</w:t>
      </w:r>
    </w:p>
  </w:footnote>
  <w:footnote w:id="243">
    <w:p w14:paraId="7344CAD4" w14:textId="77777777" w:rsidR="00BD6AF1" w:rsidRDefault="00BD6AF1" w:rsidP="00893D5B">
      <w:pPr>
        <w:pStyle w:val="Lbjegyzetszveg"/>
      </w:pPr>
      <w:r>
        <w:rPr>
          <w:rStyle w:val="Lbjegyzet-hivatkozs"/>
        </w:rPr>
        <w:footnoteRef/>
      </w:r>
      <w:r>
        <w:t xml:space="preserve"> </w:t>
      </w:r>
      <w:r>
        <w:rPr>
          <w:i/>
        </w:rPr>
        <w:t>Beépítette a</w:t>
      </w:r>
      <w:r w:rsidRPr="00FE6021">
        <w:rPr>
          <w:i/>
        </w:rPr>
        <w:t xml:space="preserve"> Szenátus 2016. március 17-ei ülésén</w:t>
      </w:r>
      <w:r>
        <w:rPr>
          <w:i/>
        </w:rPr>
        <w:t xml:space="preserve"> elfogadott módosítás</w:t>
      </w:r>
      <w:r w:rsidRPr="00FE6021">
        <w:rPr>
          <w:i/>
        </w:rPr>
        <w:t>. Hatályos: 2016. március 17. napjától</w:t>
      </w:r>
      <w:r>
        <w:rPr>
          <w:i/>
        </w:rPr>
        <w:t>.</w:t>
      </w:r>
    </w:p>
  </w:footnote>
  <w:footnote w:id="244">
    <w:p w14:paraId="31262A11"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245">
    <w:p w14:paraId="20289C2E"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246">
    <w:p w14:paraId="50FC478F" w14:textId="77777777" w:rsidR="00BD6AF1" w:rsidRPr="00FC697B"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p w14:paraId="79521149" w14:textId="77777777" w:rsidR="00BD6AF1" w:rsidRPr="009E0B69" w:rsidRDefault="00BD6AF1" w:rsidP="00893D5B">
      <w:pPr>
        <w:pStyle w:val="Lbjegyzetszveg"/>
        <w:jc w:val="both"/>
        <w:rPr>
          <w:i/>
        </w:rPr>
      </w:pPr>
    </w:p>
  </w:footnote>
  <w:footnote w:id="247">
    <w:p w14:paraId="5C6E23A4" w14:textId="77777777" w:rsidR="00BD6AF1" w:rsidRPr="00CC128A"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48">
    <w:p w14:paraId="085A29D1" w14:textId="77777777" w:rsidR="00BD6AF1" w:rsidRPr="00237561" w:rsidRDefault="00BD6AF1" w:rsidP="00893D5B">
      <w:pPr>
        <w:pStyle w:val="Lbjegyzetszveg"/>
        <w:jc w:val="both"/>
        <w:rPr>
          <w:i/>
        </w:rPr>
      </w:pPr>
      <w:r>
        <w:rPr>
          <w:rStyle w:val="Lbjegyzet-hivatkozs"/>
        </w:rPr>
        <w:footnoteRef/>
      </w:r>
      <w:r>
        <w:t xml:space="preserve"> </w:t>
      </w:r>
      <w:r>
        <w:rPr>
          <w:i/>
        </w:rPr>
        <w:t>Beépítette a Szenátus 2018. március 22-ei ülésén elfogadott módosítás. Hatályos: 201. március 22. napjától.</w:t>
      </w:r>
    </w:p>
  </w:footnote>
  <w:footnote w:id="249">
    <w:p w14:paraId="0602E53C" w14:textId="77777777" w:rsidR="00BD6AF1" w:rsidRDefault="00BD6AF1" w:rsidP="00893D5B">
      <w:pPr>
        <w:pStyle w:val="Lbjegyzetszveg"/>
      </w:pPr>
      <w:r>
        <w:rPr>
          <w:rStyle w:val="Lbjegyzet-hivatkozs"/>
        </w:rPr>
        <w:footnoteRef/>
      </w:r>
      <w:r>
        <w:t xml:space="preserve"> </w:t>
      </w:r>
      <w:r w:rsidRPr="009A54E4">
        <w:rPr>
          <w:i/>
        </w:rPr>
        <w:t>A módosítást a Szenátus 2015. november 12-ei ülésén fogadta el. Hatályos: 2015. november 12. napjától.</w:t>
      </w:r>
    </w:p>
  </w:footnote>
  <w:footnote w:id="250">
    <w:p w14:paraId="3820EC04" w14:textId="77777777" w:rsidR="00BD6AF1" w:rsidRPr="00023FA0"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51">
    <w:p w14:paraId="620B184A" w14:textId="77777777" w:rsidR="00BD6AF1" w:rsidRPr="00023FA0"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252">
    <w:p w14:paraId="5EAFA99F" w14:textId="77777777" w:rsidR="00BD6AF1" w:rsidRPr="0071597A" w:rsidRDefault="00BD6AF1" w:rsidP="00893D5B">
      <w:pPr>
        <w:pStyle w:val="Lbjegyzetszveg"/>
        <w:jc w:val="both"/>
        <w:rPr>
          <w:i/>
        </w:rPr>
      </w:pPr>
      <w:r>
        <w:rPr>
          <w:rStyle w:val="Lbjegyzet-hivatkozs"/>
        </w:rPr>
        <w:footnoteRef/>
      </w:r>
      <w:r>
        <w:t xml:space="preserve"> </w:t>
      </w:r>
      <w:r>
        <w:rPr>
          <w:i/>
        </w:rPr>
        <w:t>Beépítette a Szenátus 2009. december 10-ei ülésén elfogadott módosítás.</w:t>
      </w:r>
    </w:p>
  </w:footnote>
  <w:footnote w:id="253">
    <w:p w14:paraId="140B1154"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54">
    <w:p w14:paraId="07A491D2" w14:textId="77777777" w:rsidR="00BD6AF1" w:rsidRDefault="00BD6AF1" w:rsidP="00893D5B">
      <w:pPr>
        <w:pStyle w:val="Lbjegyzetszveg"/>
      </w:pPr>
      <w:r>
        <w:rPr>
          <w:rStyle w:val="Lbjegyzet-hivatkozs"/>
        </w:rPr>
        <w:footnoteRef/>
      </w:r>
      <w:r>
        <w:t xml:space="preserve"> </w:t>
      </w:r>
      <w:r>
        <w:rPr>
          <w:i/>
        </w:rPr>
        <w:t>Beépítette a</w:t>
      </w:r>
      <w:r w:rsidRPr="00FE6021">
        <w:rPr>
          <w:i/>
        </w:rPr>
        <w:t xml:space="preserve"> Szenátus 2016. március 17-ei ülésén</w:t>
      </w:r>
      <w:r>
        <w:rPr>
          <w:i/>
        </w:rPr>
        <w:t xml:space="preserve"> elfogadott módosítás</w:t>
      </w:r>
      <w:r w:rsidRPr="00FE6021">
        <w:rPr>
          <w:i/>
        </w:rPr>
        <w:t>. Hatályos: 2016. március 17. napjától</w:t>
      </w:r>
      <w:r>
        <w:rPr>
          <w:i/>
        </w:rPr>
        <w:t>.</w:t>
      </w:r>
    </w:p>
  </w:footnote>
  <w:footnote w:id="255">
    <w:p w14:paraId="4F7AD1A5" w14:textId="77777777" w:rsidR="00BD6AF1" w:rsidRDefault="00BD6AF1" w:rsidP="00893D5B">
      <w:pPr>
        <w:pStyle w:val="Lbjegyzetszveg"/>
      </w:pPr>
      <w:r>
        <w:rPr>
          <w:rStyle w:val="Lbjegyzet-hivatkozs"/>
        </w:rPr>
        <w:footnoteRef/>
      </w:r>
      <w:r>
        <w:t xml:space="preserve"> </w:t>
      </w:r>
      <w:r>
        <w:rPr>
          <w:i/>
        </w:rPr>
        <w:t>Beépítette a Szenátus 2016. december 15</w:t>
      </w:r>
      <w:r w:rsidRPr="00FE6021">
        <w:rPr>
          <w:i/>
        </w:rPr>
        <w:t>-ei ülésén</w:t>
      </w:r>
      <w:r>
        <w:rPr>
          <w:i/>
        </w:rPr>
        <w:t xml:space="preserve"> elfogadott módosítás. Hatályos: 2017. január 1</w:t>
      </w:r>
      <w:r w:rsidRPr="00FE6021">
        <w:rPr>
          <w:i/>
        </w:rPr>
        <w:t>. napjától</w:t>
      </w:r>
      <w:r>
        <w:rPr>
          <w:i/>
        </w:rPr>
        <w:t>.</w:t>
      </w:r>
    </w:p>
  </w:footnote>
  <w:footnote w:id="256">
    <w:p w14:paraId="35C99529" w14:textId="77777777" w:rsidR="00BD6AF1" w:rsidRDefault="00BD6AF1" w:rsidP="00893D5B">
      <w:pPr>
        <w:pStyle w:val="Lbjegyzetszveg"/>
      </w:pPr>
      <w:r>
        <w:rPr>
          <w:rStyle w:val="Lbjegyzet-hivatkozs"/>
        </w:rPr>
        <w:footnoteRef/>
      </w:r>
      <w:r>
        <w:t xml:space="preserve"> </w:t>
      </w:r>
      <w:r w:rsidRPr="003E74F9">
        <w:rPr>
          <w:i/>
        </w:rPr>
        <w:t>Beépítette a Szenátus 2017. június 22-ei ülésén elfogadott módosítás. Hatályos 2017. június 23. napjától.</w:t>
      </w:r>
    </w:p>
  </w:footnote>
  <w:footnote w:id="257">
    <w:p w14:paraId="116C2728"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258">
    <w:p w14:paraId="7D26D429" w14:textId="77777777" w:rsidR="00BD6AF1" w:rsidRPr="00C76061" w:rsidRDefault="00BD6AF1" w:rsidP="00893D5B">
      <w:pPr>
        <w:pStyle w:val="Lbjegyzetszveg"/>
        <w:jc w:val="both"/>
        <w:rPr>
          <w:i/>
        </w:rPr>
      </w:pPr>
      <w:r>
        <w:rPr>
          <w:rStyle w:val="Lbjegyzet-hivatkozs"/>
        </w:rPr>
        <w:footnoteRef/>
      </w:r>
      <w:r>
        <w:t xml:space="preserve"> </w:t>
      </w:r>
      <w:r>
        <w:rPr>
          <w:i/>
        </w:rPr>
        <w:t xml:space="preserve">Hatályon kívül helyezte a Szenátus 2008. február 28-ai ülésén elfogadott módosítás. A szakaszok számozása </w:t>
      </w:r>
      <w:proofErr w:type="gramStart"/>
      <w:r>
        <w:rPr>
          <w:i/>
        </w:rPr>
        <w:t>automatikusan</w:t>
      </w:r>
      <w:proofErr w:type="gramEnd"/>
      <w:r>
        <w:rPr>
          <w:i/>
        </w:rPr>
        <w:t xml:space="preserve"> módosul.</w:t>
      </w:r>
    </w:p>
  </w:footnote>
  <w:footnote w:id="259">
    <w:p w14:paraId="55A636A8" w14:textId="77777777" w:rsidR="00BD6AF1" w:rsidRPr="00B475FA"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60">
    <w:p w14:paraId="648BBE58"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61">
    <w:p w14:paraId="601224B6" w14:textId="77777777" w:rsidR="00BD6AF1" w:rsidRDefault="00BD6AF1" w:rsidP="00893D5B">
      <w:pPr>
        <w:pStyle w:val="Lbjegyzetszveg"/>
      </w:pPr>
      <w:r>
        <w:rPr>
          <w:rStyle w:val="Lbjegyzet-hivatkozs"/>
        </w:rPr>
        <w:footnoteRef/>
      </w:r>
      <w:r>
        <w:t xml:space="preserve"> </w:t>
      </w:r>
      <w:r>
        <w:rPr>
          <w:i/>
        </w:rPr>
        <w:t>Beépítette a</w:t>
      </w:r>
      <w:r w:rsidRPr="00FE6021">
        <w:rPr>
          <w:i/>
        </w:rPr>
        <w:t xml:space="preserve"> Szenátus 2016. március 17-ei ülésén</w:t>
      </w:r>
      <w:r>
        <w:rPr>
          <w:i/>
        </w:rPr>
        <w:t xml:space="preserve"> elfogadott módosítás</w:t>
      </w:r>
      <w:r w:rsidRPr="00FE6021">
        <w:rPr>
          <w:i/>
        </w:rPr>
        <w:t>. Hatályos: 2016. március 17. napjától</w:t>
      </w:r>
      <w:r>
        <w:rPr>
          <w:i/>
        </w:rPr>
        <w:t>.</w:t>
      </w:r>
    </w:p>
  </w:footnote>
  <w:footnote w:id="262">
    <w:p w14:paraId="331745CA" w14:textId="77777777" w:rsidR="00BD6AF1" w:rsidRDefault="00BD6AF1" w:rsidP="00893D5B">
      <w:pPr>
        <w:pStyle w:val="Lbjegyzetszveg"/>
      </w:pPr>
      <w:r>
        <w:rPr>
          <w:rStyle w:val="Lbjegyzet-hivatkozs"/>
        </w:rPr>
        <w:footnoteRef/>
      </w:r>
      <w:r>
        <w:t xml:space="preserve"> </w:t>
      </w:r>
      <w:r>
        <w:rPr>
          <w:i/>
        </w:rPr>
        <w:t xml:space="preserve">A módosítást </w:t>
      </w:r>
      <w:r w:rsidRPr="00763305">
        <w:rPr>
          <w:i/>
        </w:rPr>
        <w:t>a Szenátus 2017. június 22-ei</w:t>
      </w:r>
      <w:r>
        <w:rPr>
          <w:i/>
        </w:rPr>
        <w:t xml:space="preserve"> ülésén fogadta el.</w:t>
      </w:r>
      <w:r w:rsidRPr="00763305">
        <w:rPr>
          <w:i/>
        </w:rPr>
        <w:t xml:space="preserve"> Hatályos 2017. június 23. napjától.</w:t>
      </w:r>
    </w:p>
  </w:footnote>
  <w:footnote w:id="263">
    <w:p w14:paraId="1EDD30E6" w14:textId="77777777" w:rsidR="00BD6AF1" w:rsidRDefault="00BD6AF1" w:rsidP="00893D5B">
      <w:pPr>
        <w:pStyle w:val="Lbjegyzetszveg"/>
      </w:pPr>
      <w:r>
        <w:rPr>
          <w:rStyle w:val="Lbjegyzet-hivatkozs"/>
        </w:rPr>
        <w:footnoteRef/>
      </w:r>
      <w:r>
        <w:t xml:space="preserve"> </w:t>
      </w:r>
      <w:r w:rsidRPr="00763305">
        <w:rPr>
          <w:i/>
        </w:rPr>
        <w:t>Beépítette a Szenátus 2017. június 22-ei ülésén elfogadott módosítás. Hatályos 2017. június 23. napjától.</w:t>
      </w:r>
    </w:p>
  </w:footnote>
  <w:footnote w:id="264">
    <w:p w14:paraId="26A9AB38" w14:textId="77777777" w:rsidR="00BD6AF1" w:rsidRPr="00E3049F" w:rsidRDefault="00BD6AF1" w:rsidP="00893D5B">
      <w:pPr>
        <w:pStyle w:val="Lbjegyzetszveg"/>
        <w:rPr>
          <w:i/>
        </w:rPr>
      </w:pPr>
      <w:r w:rsidRPr="00E3049F">
        <w:rPr>
          <w:rStyle w:val="Lbjegyzet-hivatkozs"/>
          <w:i/>
        </w:rPr>
        <w:footnoteRef/>
      </w:r>
      <w:r w:rsidRPr="00E3049F">
        <w:rPr>
          <w:i/>
        </w:rPr>
        <w:t xml:space="preserve"> A módosítást a Szenátus 2008. június 26-ai ülése fogadta el. Hatályos 2008. június 26-ától.</w:t>
      </w:r>
    </w:p>
  </w:footnote>
  <w:footnote w:id="265">
    <w:p w14:paraId="561A37A5" w14:textId="77777777" w:rsidR="00BD6AF1" w:rsidRPr="00FF0531" w:rsidRDefault="00BD6AF1" w:rsidP="00893D5B">
      <w:pPr>
        <w:pStyle w:val="Lbjegyzetszveg"/>
        <w:rPr>
          <w:b/>
          <w:i/>
        </w:rPr>
      </w:pPr>
      <w:r>
        <w:rPr>
          <w:rStyle w:val="Lbjegyzet-hivatkozs"/>
        </w:rPr>
        <w:footnoteRef/>
      </w:r>
      <w:r>
        <w:t xml:space="preserve"> </w:t>
      </w:r>
      <w:r w:rsidRPr="00FF0531">
        <w:rPr>
          <w:i/>
        </w:rPr>
        <w:t>A módosítást a Szenátus 2015. november 12-ei ülésén fogadta el. Hatályos: 2015. november 12. napjától</w:t>
      </w:r>
    </w:p>
  </w:footnote>
  <w:footnote w:id="266">
    <w:p w14:paraId="46D5868A" w14:textId="77777777" w:rsidR="00BD6AF1" w:rsidRDefault="00BD6AF1" w:rsidP="00893D5B">
      <w:pPr>
        <w:pStyle w:val="Lbjegyzetszveg"/>
      </w:pPr>
      <w:r>
        <w:rPr>
          <w:rStyle w:val="Lbjegyzet-hivatkozs"/>
        </w:rPr>
        <w:footnoteRef/>
      </w:r>
      <w:r>
        <w:t xml:space="preserve"> </w:t>
      </w:r>
      <w:r>
        <w:rPr>
          <w:i/>
        </w:rPr>
        <w:t>A módosítást a Szenátus 2016. december 15</w:t>
      </w:r>
      <w:r w:rsidRPr="00FE6021">
        <w:rPr>
          <w:i/>
        </w:rPr>
        <w:t>-ei ülésén</w:t>
      </w:r>
      <w:r>
        <w:rPr>
          <w:i/>
        </w:rPr>
        <w:t xml:space="preserve"> fogadta el. Hatályos 217. január 1. napjától.</w:t>
      </w:r>
    </w:p>
  </w:footnote>
  <w:footnote w:id="267">
    <w:p w14:paraId="08972E8F" w14:textId="77777777" w:rsidR="00BD6AF1" w:rsidRPr="00E3049F" w:rsidRDefault="00BD6AF1" w:rsidP="00893D5B">
      <w:pPr>
        <w:pStyle w:val="Lbjegyzetszveg"/>
        <w:rPr>
          <w:i/>
        </w:rPr>
      </w:pPr>
      <w:r w:rsidRPr="00E3049F">
        <w:rPr>
          <w:rStyle w:val="Lbjegyzet-hivatkozs"/>
          <w:i/>
        </w:rPr>
        <w:footnoteRef/>
      </w:r>
      <w:r w:rsidRPr="00E3049F">
        <w:rPr>
          <w:i/>
        </w:rPr>
        <w:t xml:space="preserve"> A módosítást a Szenátus 2008. június 26-ai ülése fogadta el. Hatályos 2008. június 26-tól</w:t>
      </w:r>
    </w:p>
  </w:footnote>
  <w:footnote w:id="268">
    <w:p w14:paraId="2AE1CFEF"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69">
    <w:p w14:paraId="33F2CF34" w14:textId="77777777" w:rsidR="00BD6AF1" w:rsidRPr="002F78BE" w:rsidRDefault="00BD6AF1" w:rsidP="00893D5B">
      <w:pPr>
        <w:pStyle w:val="Lbjegyzetszveg"/>
      </w:pPr>
      <w:r>
        <w:rPr>
          <w:rStyle w:val="Lbjegyzet-hivatkozs"/>
        </w:rPr>
        <w:footnoteRef/>
      </w:r>
      <w:r>
        <w:t xml:space="preserve"> </w:t>
      </w:r>
      <w:r w:rsidRPr="002F78BE">
        <w:rPr>
          <w:i/>
        </w:rPr>
        <w:t>A módosítást a Szenátus 2017. június 22-ei ülésén fogadta el. Hatályos 2017. június 23. napjától.</w:t>
      </w:r>
    </w:p>
    <w:p w14:paraId="0503CD65" w14:textId="77777777" w:rsidR="00BD6AF1" w:rsidRDefault="00BD6AF1" w:rsidP="00893D5B">
      <w:pPr>
        <w:pStyle w:val="Lbjegyzetszveg"/>
      </w:pPr>
    </w:p>
  </w:footnote>
  <w:footnote w:id="270">
    <w:p w14:paraId="7DEB4473"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71">
    <w:p w14:paraId="45ADE8C9" w14:textId="77777777" w:rsidR="00BD6AF1" w:rsidRPr="00350DD5"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72">
    <w:p w14:paraId="3BC84E59"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73">
    <w:p w14:paraId="0E727252"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74">
    <w:p w14:paraId="579859ED" w14:textId="77777777" w:rsidR="00BD6AF1" w:rsidRDefault="00BD6AF1" w:rsidP="00893D5B">
      <w:pPr>
        <w:pStyle w:val="Lbjegyzetszveg"/>
      </w:pPr>
      <w:r>
        <w:rPr>
          <w:rStyle w:val="Lbjegyzet-hivatkozs"/>
        </w:rPr>
        <w:footnoteRef/>
      </w:r>
      <w:r>
        <w:t xml:space="preserve"> </w:t>
      </w:r>
      <w:r>
        <w:rPr>
          <w:i/>
        </w:rPr>
        <w:t>Hatályon kívül helyezte a Szenátus 2016. december 15</w:t>
      </w:r>
      <w:r w:rsidRPr="00FE6021">
        <w:rPr>
          <w:i/>
        </w:rPr>
        <w:t>-ei ülésén</w:t>
      </w:r>
      <w:r>
        <w:rPr>
          <w:i/>
        </w:rPr>
        <w:t xml:space="preserve"> elfogadott módosítás.</w:t>
      </w:r>
    </w:p>
  </w:footnote>
  <w:footnote w:id="275">
    <w:p w14:paraId="0ABEC466" w14:textId="77777777" w:rsidR="00BD6AF1" w:rsidRPr="00350DD5"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76">
    <w:p w14:paraId="538134BA"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277">
    <w:p w14:paraId="1ED09BD7" w14:textId="77777777" w:rsidR="00BD6AF1" w:rsidRPr="007757C7" w:rsidRDefault="00BD6AF1" w:rsidP="00893D5B">
      <w:pPr>
        <w:pStyle w:val="Lbjegyzetszveg"/>
      </w:pPr>
      <w:r>
        <w:rPr>
          <w:rStyle w:val="Lbjegyzet-hivatkozs"/>
        </w:rPr>
        <w:footnoteRef/>
      </w:r>
      <w:r>
        <w:t xml:space="preserve"> </w:t>
      </w:r>
      <w:r w:rsidRPr="007757C7">
        <w:rPr>
          <w:i/>
        </w:rPr>
        <w:t>A módosítást a Szenátus 2015. november 12-ei ülésén fogadta el. Hatályos: 2015. november 12. napjától.</w:t>
      </w:r>
    </w:p>
    <w:p w14:paraId="43F73988" w14:textId="77777777" w:rsidR="00BD6AF1" w:rsidRDefault="00BD6AF1" w:rsidP="00893D5B">
      <w:pPr>
        <w:pStyle w:val="Lbjegyzetszveg"/>
      </w:pPr>
    </w:p>
  </w:footnote>
  <w:footnote w:id="278">
    <w:p w14:paraId="7E66F99C" w14:textId="77777777" w:rsidR="00BD6AF1" w:rsidRPr="00EA7F2A" w:rsidRDefault="00BD6AF1" w:rsidP="00EA7F2A">
      <w:pPr>
        <w:pStyle w:val="Lbjegyzetszveg"/>
        <w:jc w:val="both"/>
        <w:rPr>
          <w:i/>
        </w:rPr>
      </w:pPr>
      <w:r>
        <w:rPr>
          <w:rStyle w:val="Lbjegyzet-hivatkozs"/>
        </w:rPr>
        <w:footnoteRef/>
      </w:r>
      <w:r>
        <w:t xml:space="preserve"> </w:t>
      </w:r>
      <w:r>
        <w:rPr>
          <w:i/>
        </w:rPr>
        <w:t>A módosítást a Szenátus 2020. június 18-ai ülésén fogadta el. Hatályos: 2020. június 18. napjától.</w:t>
      </w:r>
    </w:p>
  </w:footnote>
  <w:footnote w:id="279">
    <w:p w14:paraId="4F82C264" w14:textId="77777777" w:rsidR="00BD6AF1" w:rsidRPr="00EA7F2A" w:rsidRDefault="00BD6AF1" w:rsidP="00EA7F2A">
      <w:pPr>
        <w:pStyle w:val="Lbjegyzetszveg"/>
        <w:jc w:val="both"/>
        <w:rPr>
          <w:i/>
        </w:rPr>
      </w:pPr>
      <w:r>
        <w:rPr>
          <w:rStyle w:val="Lbjegyzet-hivatkozs"/>
        </w:rPr>
        <w:footnoteRef/>
      </w:r>
      <w:r>
        <w:t xml:space="preserve"> </w:t>
      </w:r>
      <w:r>
        <w:rPr>
          <w:i/>
        </w:rPr>
        <w:t>Beépítette</w:t>
      </w:r>
      <w:r w:rsidRPr="00E37D98">
        <w:rPr>
          <w:i/>
        </w:rPr>
        <w:t xml:space="preserve"> </w:t>
      </w:r>
      <w:r>
        <w:rPr>
          <w:i/>
        </w:rPr>
        <w:t>a Szenátus 2020. június 18-ai ülésén elfogadott módosítás. Hatályos: 2020. június 18. napjától.</w:t>
      </w:r>
    </w:p>
  </w:footnote>
  <w:footnote w:id="280">
    <w:p w14:paraId="666865BF" w14:textId="77777777" w:rsidR="00BD6AF1" w:rsidRPr="008469DA"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281">
    <w:p w14:paraId="4E142E0C" w14:textId="77777777" w:rsidR="00BD6AF1" w:rsidRPr="00E77872" w:rsidRDefault="00BD6AF1" w:rsidP="00893D5B">
      <w:pPr>
        <w:pStyle w:val="Lbjegyzetszveg"/>
        <w:jc w:val="both"/>
        <w:rPr>
          <w:i/>
        </w:rPr>
      </w:pPr>
      <w:r>
        <w:rPr>
          <w:rStyle w:val="Lbjegyzet-hivatkozs"/>
        </w:rPr>
        <w:footnoteRef/>
      </w:r>
      <w:r>
        <w:t xml:space="preserve"> </w:t>
      </w:r>
      <w:r>
        <w:rPr>
          <w:i/>
        </w:rPr>
        <w:t>A módosítást a Szenátus 2016. március 17-ei ülésén fogadta el. Hatályos: 2016. március 17. napjától.</w:t>
      </w:r>
    </w:p>
  </w:footnote>
  <w:footnote w:id="282">
    <w:p w14:paraId="77375E25" w14:textId="77777777" w:rsidR="00BD6AF1" w:rsidRPr="0057124F"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p w14:paraId="22239ED7" w14:textId="77777777" w:rsidR="00BD6AF1" w:rsidRDefault="00BD6AF1" w:rsidP="00893D5B">
      <w:pPr>
        <w:pStyle w:val="Lbjegyzetszveg"/>
      </w:pPr>
    </w:p>
  </w:footnote>
  <w:footnote w:id="283">
    <w:p w14:paraId="4B915913" w14:textId="77777777" w:rsidR="00BD6AF1" w:rsidRDefault="00BD6AF1" w:rsidP="00893D5B">
      <w:pPr>
        <w:pStyle w:val="Lbjegyzetszveg"/>
      </w:pPr>
      <w:r>
        <w:rPr>
          <w:rStyle w:val="Lbjegyzet-hivatkozs"/>
        </w:rPr>
        <w:footnoteRef/>
      </w:r>
      <w:r>
        <w:t xml:space="preserve"> </w:t>
      </w:r>
      <w:r>
        <w:rPr>
          <w:i/>
        </w:rPr>
        <w:t>A módosítást a Szenátus 2016. március 11-ei ülésén fogadta el. Hatályos: 2016. március 17. napjától.</w:t>
      </w:r>
    </w:p>
  </w:footnote>
  <w:footnote w:id="284">
    <w:p w14:paraId="221305DF" w14:textId="77777777" w:rsidR="00BD6AF1" w:rsidRPr="00E77872" w:rsidRDefault="00BD6AF1" w:rsidP="00893D5B">
      <w:pPr>
        <w:pStyle w:val="Lbjegyzetszveg"/>
        <w:jc w:val="both"/>
        <w:rPr>
          <w:i/>
        </w:rPr>
      </w:pPr>
      <w:r w:rsidRPr="00E77872">
        <w:rPr>
          <w:rStyle w:val="Lbjegyzet-hivatkozs"/>
        </w:rPr>
        <w:footnoteRef/>
      </w:r>
      <w:r w:rsidRPr="00E77872">
        <w:t xml:space="preserve"> </w:t>
      </w:r>
      <w:r w:rsidRPr="00E77872">
        <w:rPr>
          <w:i/>
        </w:rPr>
        <w:t>Beépítette a Szenátus 2013. február 11-ei ülésén elfogadott módosítás.</w:t>
      </w:r>
    </w:p>
  </w:footnote>
  <w:footnote w:id="285">
    <w:p w14:paraId="4ED4F8EE" w14:textId="77777777" w:rsidR="00BD6AF1" w:rsidRPr="00E77872" w:rsidRDefault="00BD6AF1" w:rsidP="00893D5B">
      <w:pPr>
        <w:pStyle w:val="Lbjegyzetszveg"/>
        <w:jc w:val="both"/>
        <w:rPr>
          <w:i/>
        </w:rPr>
      </w:pPr>
      <w:r w:rsidRPr="00E77872">
        <w:rPr>
          <w:rStyle w:val="Lbjegyzet-hivatkozs"/>
          <w:i/>
        </w:rPr>
        <w:footnoteRef/>
      </w:r>
      <w:r w:rsidRPr="00E77872">
        <w:rPr>
          <w:i/>
        </w:rPr>
        <w:t xml:space="preserve"> Beépítette a 2007. május 17-ei szenátusi ülésen elfogadott módosítás. Hatályos: 2007. május 17. napjától.</w:t>
      </w:r>
    </w:p>
  </w:footnote>
  <w:footnote w:id="286">
    <w:p w14:paraId="5B5E8FC9" w14:textId="77777777" w:rsidR="00BD6AF1" w:rsidRPr="00E77872" w:rsidRDefault="00BD6AF1" w:rsidP="00893D5B">
      <w:pPr>
        <w:pStyle w:val="Lbjegyzetszveg"/>
        <w:jc w:val="both"/>
        <w:rPr>
          <w:i/>
          <w:strike/>
        </w:rPr>
      </w:pPr>
      <w:r w:rsidRPr="00E77872">
        <w:rPr>
          <w:rStyle w:val="Lbjegyzet-hivatkozs"/>
          <w:i/>
        </w:rPr>
        <w:footnoteRef/>
      </w:r>
      <w:r w:rsidRPr="00E77872">
        <w:rPr>
          <w:i/>
        </w:rPr>
        <w:t xml:space="preserve"> A módosítást a Szenátus 2010. június 17-ei ülésén fogadta el. Hatályos: 2010. június 17. napjától.</w:t>
      </w:r>
    </w:p>
  </w:footnote>
  <w:footnote w:id="287">
    <w:p w14:paraId="55BEFD3E" w14:textId="77777777" w:rsidR="00BD6AF1" w:rsidRDefault="00BD6AF1" w:rsidP="00893D5B">
      <w:pPr>
        <w:pStyle w:val="Lbjegyzetszveg"/>
        <w:jc w:val="both"/>
      </w:pPr>
      <w:r w:rsidRPr="00E77872">
        <w:rPr>
          <w:rStyle w:val="Lbjegyzet-hivatkozs"/>
          <w:i/>
        </w:rPr>
        <w:footnoteRef/>
      </w:r>
      <w:r>
        <w:t xml:space="preserve"> </w:t>
      </w:r>
      <w:r w:rsidRPr="00E77872">
        <w:rPr>
          <w:i/>
        </w:rPr>
        <w:t>Hatályon kívül hely</w:t>
      </w:r>
      <w:r>
        <w:rPr>
          <w:i/>
        </w:rPr>
        <w:t>ez</w:t>
      </w:r>
      <w:r w:rsidRPr="00E77872">
        <w:rPr>
          <w:i/>
        </w:rPr>
        <w:t>te a Szenátus 2016. március 17-e</w:t>
      </w:r>
      <w:r>
        <w:rPr>
          <w:i/>
        </w:rPr>
        <w:t>i ülésén elfogadott módosítás. H</w:t>
      </w:r>
      <w:r w:rsidRPr="00E77872">
        <w:rPr>
          <w:i/>
        </w:rPr>
        <w:t>atálytalan 2017. március 17. napjától.</w:t>
      </w:r>
    </w:p>
  </w:footnote>
  <w:footnote w:id="288">
    <w:p w14:paraId="1B060A98" w14:textId="77777777" w:rsidR="00BD6AF1" w:rsidRPr="00DB36DB" w:rsidRDefault="00BD6AF1" w:rsidP="00893D5B">
      <w:pPr>
        <w:pStyle w:val="Lbjegyzetszveg"/>
        <w:jc w:val="both"/>
        <w:rPr>
          <w:i/>
        </w:rPr>
      </w:pPr>
      <w:r>
        <w:rPr>
          <w:rStyle w:val="Lbjegyzet-hivatkozs"/>
        </w:rPr>
        <w:footnoteRef/>
      </w:r>
      <w:r>
        <w:t xml:space="preserve"> </w:t>
      </w:r>
      <w:r>
        <w:rPr>
          <w:i/>
        </w:rPr>
        <w:t>Beépítette a Szenátus 2013. február 11-ei ülésén elfogadott módosítás.</w:t>
      </w:r>
    </w:p>
  </w:footnote>
  <w:footnote w:id="289">
    <w:p w14:paraId="51D11F3E" w14:textId="77777777" w:rsidR="00BD6AF1" w:rsidRPr="00231E49" w:rsidRDefault="00BD6AF1" w:rsidP="00893D5B">
      <w:pPr>
        <w:pStyle w:val="Lbjegyzetszveg"/>
        <w:jc w:val="both"/>
        <w:rPr>
          <w:i/>
        </w:rPr>
      </w:pPr>
      <w:r>
        <w:rPr>
          <w:rStyle w:val="Lbjegyzet-hivatkozs"/>
        </w:rPr>
        <w:footnoteRef/>
      </w:r>
      <w:r>
        <w:t xml:space="preserve"> </w:t>
      </w:r>
      <w:r>
        <w:rPr>
          <w:i/>
        </w:rPr>
        <w:t>A módosítást a Szenátus 2009. október 1-ei ülésén fogadta el. Hatályos 2009. október 1. napjától.</w:t>
      </w:r>
    </w:p>
  </w:footnote>
  <w:footnote w:id="290">
    <w:p w14:paraId="5EA865F0" w14:textId="77777777" w:rsidR="00BD6AF1" w:rsidRDefault="00BD6AF1" w:rsidP="00893D5B">
      <w:pPr>
        <w:pStyle w:val="Lbjegyzetszveg"/>
      </w:pPr>
      <w:r>
        <w:rPr>
          <w:rStyle w:val="Lbjegyzet-hivatkozs"/>
        </w:rPr>
        <w:footnoteRef/>
      </w:r>
      <w:r>
        <w:t xml:space="preserve"> </w:t>
      </w:r>
      <w:r w:rsidRPr="007757C7">
        <w:rPr>
          <w:i/>
        </w:rPr>
        <w:t>A módosítást a Szenátus 2015. november 12-ei ülésén fogadta el. Hatályos: 2015. november 12. napjától.</w:t>
      </w:r>
    </w:p>
  </w:footnote>
  <w:footnote w:id="291">
    <w:p w14:paraId="7D5B8EE9" w14:textId="77777777" w:rsidR="00BD6AF1" w:rsidRPr="000250FA" w:rsidRDefault="00BD6AF1" w:rsidP="00893D5B">
      <w:pPr>
        <w:contextualSpacing/>
        <w:jc w:val="both"/>
        <w:rPr>
          <w:i/>
          <w:sz w:val="20"/>
          <w:szCs w:val="20"/>
        </w:rPr>
      </w:pPr>
      <w:r w:rsidRPr="000250FA">
        <w:rPr>
          <w:rStyle w:val="Lbjegyzet-hivatkozs"/>
          <w:sz w:val="20"/>
          <w:szCs w:val="20"/>
        </w:rPr>
        <w:footnoteRef/>
      </w:r>
      <w:r w:rsidRPr="000250FA">
        <w:rPr>
          <w:sz w:val="20"/>
          <w:szCs w:val="20"/>
        </w:rPr>
        <w:t xml:space="preserve"> </w:t>
      </w:r>
      <w:r w:rsidRPr="000250FA">
        <w:rPr>
          <w:i/>
          <w:sz w:val="20"/>
          <w:szCs w:val="20"/>
        </w:rPr>
        <w:t>Az utolsó mondatot hatályon kívül helyezte a Szenátus 2019. június 27-ei ülésén elfogadott módosítás. Hatálytalan 2019. július 1. napjától.</w:t>
      </w:r>
    </w:p>
  </w:footnote>
  <w:footnote w:id="292">
    <w:p w14:paraId="3C8681F9"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293">
    <w:p w14:paraId="0F34F4B8" w14:textId="77777777" w:rsidR="00BD6AF1" w:rsidRDefault="00BD6AF1" w:rsidP="00893D5B">
      <w:pPr>
        <w:pStyle w:val="Lbjegyzetszveg"/>
      </w:pPr>
      <w:r>
        <w:rPr>
          <w:rStyle w:val="Lbjegyzet-hivatkozs"/>
        </w:rPr>
        <w:footnoteRef/>
      </w:r>
      <w:r>
        <w:t xml:space="preserve"> </w:t>
      </w:r>
      <w:r>
        <w:rPr>
          <w:i/>
        </w:rPr>
        <w:t>Hatályon kívül helyezte</w:t>
      </w:r>
      <w:r w:rsidRPr="00094939">
        <w:rPr>
          <w:i/>
        </w:rPr>
        <w:t xml:space="preserve"> a Szenátus 2015. </w:t>
      </w:r>
      <w:r>
        <w:rPr>
          <w:i/>
        </w:rPr>
        <w:t>november 12-ei ülésén elfogadott módosítás.</w:t>
      </w:r>
    </w:p>
  </w:footnote>
  <w:footnote w:id="294">
    <w:p w14:paraId="7D9CE05A" w14:textId="77777777" w:rsidR="00BD6AF1" w:rsidRDefault="00BD6AF1" w:rsidP="00893D5B">
      <w:pPr>
        <w:pStyle w:val="Lbjegyzetszveg"/>
      </w:pPr>
      <w:r>
        <w:rPr>
          <w:rStyle w:val="Lbjegyzet-hivatkozs"/>
        </w:rPr>
        <w:footnoteRef/>
      </w:r>
      <w:r>
        <w:t xml:space="preserve"> </w:t>
      </w:r>
      <w:r>
        <w:rPr>
          <w:i/>
        </w:rPr>
        <w:t>Beépítette a Szenátus 2016. december 15-ei ülésén elfogadott módosítás. Hatályos: 2017. január 1. napjától.</w:t>
      </w:r>
    </w:p>
  </w:footnote>
  <w:footnote w:id="295">
    <w:p w14:paraId="0657CEAA" w14:textId="77777777" w:rsidR="00BD6AF1" w:rsidRPr="009D012B" w:rsidRDefault="00BD6AF1" w:rsidP="00893D5B">
      <w:pPr>
        <w:contextualSpacing/>
        <w:jc w:val="both"/>
        <w:rPr>
          <w:i/>
          <w:sz w:val="20"/>
          <w:szCs w:val="20"/>
        </w:rPr>
      </w:pPr>
      <w:r w:rsidRPr="009D012B">
        <w:rPr>
          <w:rStyle w:val="Lbjegyzet-hivatkozs"/>
          <w:sz w:val="20"/>
          <w:szCs w:val="20"/>
        </w:rPr>
        <w:footnoteRef/>
      </w:r>
      <w:r w:rsidRPr="009D012B">
        <w:rPr>
          <w:sz w:val="20"/>
          <w:szCs w:val="20"/>
        </w:rPr>
        <w:t xml:space="preserve"> </w:t>
      </w:r>
      <w:r w:rsidRPr="009D012B">
        <w:rPr>
          <w:i/>
          <w:sz w:val="20"/>
          <w:szCs w:val="20"/>
        </w:rPr>
        <w:t>A módosítást a Szenátus 2019. június 27-ei ülésén fogadta el. Hatályos:2019. július 1. napjától.</w:t>
      </w:r>
    </w:p>
  </w:footnote>
  <w:footnote w:id="296">
    <w:p w14:paraId="71A00DDF" w14:textId="77777777" w:rsidR="00BD6AF1" w:rsidRPr="00E77872" w:rsidRDefault="00BD6AF1" w:rsidP="00893D5B">
      <w:pPr>
        <w:pStyle w:val="Lbjegyzetszveg"/>
      </w:pPr>
      <w:r w:rsidRPr="00E77872">
        <w:rPr>
          <w:rStyle w:val="Lbjegyzet-hivatkozs"/>
        </w:rPr>
        <w:footnoteRef/>
      </w:r>
      <w:r w:rsidRPr="00E77872">
        <w:t xml:space="preserve"> </w:t>
      </w:r>
      <w:r w:rsidRPr="00E77872">
        <w:rPr>
          <w:i/>
        </w:rPr>
        <w:t>Hatályon kívül helyezte a Szenátus 2015. november 12-ei ülésén elfogadott módosítás.</w:t>
      </w:r>
    </w:p>
  </w:footnote>
  <w:footnote w:id="297">
    <w:p w14:paraId="2441141B"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298">
    <w:p w14:paraId="6FAD1F74" w14:textId="77777777" w:rsidR="00BD6AF1" w:rsidRPr="00892440" w:rsidRDefault="00BD6AF1" w:rsidP="00893D5B">
      <w:pPr>
        <w:pStyle w:val="Lbjegyzetszveg"/>
        <w:jc w:val="both"/>
        <w:rPr>
          <w:i/>
        </w:rPr>
      </w:pPr>
      <w:r>
        <w:rPr>
          <w:rStyle w:val="Lbjegyzet-hivatkozs"/>
        </w:rPr>
        <w:footnoteRef/>
      </w:r>
      <w:r>
        <w:t xml:space="preserve"> </w:t>
      </w:r>
      <w:r>
        <w:rPr>
          <w:i/>
        </w:rPr>
        <w:t>A módosítást a Szenátus 2008. február 28-ai ülésén fogadta el. Hatályos: 2008. február 28. napjától.</w:t>
      </w:r>
    </w:p>
  </w:footnote>
  <w:footnote w:id="299">
    <w:p w14:paraId="5F9CA890"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00">
    <w:p w14:paraId="17FB8D3B" w14:textId="77777777" w:rsidR="00BD6AF1" w:rsidRDefault="00BD6AF1" w:rsidP="00893D5B">
      <w:pPr>
        <w:pStyle w:val="Lbjegyzetszveg"/>
      </w:pPr>
      <w:r>
        <w:rPr>
          <w:rStyle w:val="Lbjegyzet-hivatkozs"/>
        </w:rPr>
        <w:footnoteRef/>
      </w:r>
      <w:r>
        <w:t xml:space="preserve"> </w:t>
      </w:r>
      <w:r w:rsidRPr="00423007">
        <w:rPr>
          <w:i/>
        </w:rPr>
        <w:t>A módosítást a Szenátus 2015. november 12-ei ülésén fogadta el. Hatályos: 2015. november 12. napjától.</w:t>
      </w:r>
    </w:p>
  </w:footnote>
  <w:footnote w:id="301">
    <w:p w14:paraId="2865E002" w14:textId="77777777" w:rsidR="00BD6AF1" w:rsidRPr="00882C8E"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02">
    <w:p w14:paraId="674F82D1" w14:textId="77777777" w:rsidR="00BD6AF1" w:rsidRPr="00EA0C38" w:rsidRDefault="00BD6AF1" w:rsidP="00893D5B">
      <w:pPr>
        <w:pStyle w:val="Lbjegyzetszveg"/>
        <w:jc w:val="both"/>
        <w:rPr>
          <w:i/>
        </w:rPr>
      </w:pPr>
      <w:r>
        <w:rPr>
          <w:rStyle w:val="Lbjegyzet-hivatkozs"/>
        </w:rPr>
        <w:footnoteRef/>
      </w:r>
      <w:r>
        <w:t xml:space="preserve"> </w:t>
      </w:r>
      <w:r>
        <w:rPr>
          <w:i/>
        </w:rPr>
        <w:t>Hatályon kívül helyezte a Szenátus 2013. február 11-ei ülésén elfogadott módosítás.</w:t>
      </w:r>
    </w:p>
  </w:footnote>
  <w:footnote w:id="303">
    <w:p w14:paraId="705A80D0" w14:textId="77777777" w:rsidR="00BD6AF1" w:rsidRPr="002F1E5A" w:rsidRDefault="00BD6AF1" w:rsidP="00893D5B">
      <w:pPr>
        <w:pStyle w:val="Lbjegyzetszveg"/>
        <w:jc w:val="both"/>
        <w:rPr>
          <w:i/>
        </w:rPr>
      </w:pPr>
      <w:r>
        <w:rPr>
          <w:rStyle w:val="Lbjegyzet-hivatkozs"/>
        </w:rPr>
        <w:footnoteRef/>
      </w:r>
      <w:r>
        <w:t xml:space="preserve"> </w:t>
      </w:r>
      <w:r w:rsidRPr="002F1E5A">
        <w:rPr>
          <w:i/>
        </w:rPr>
        <w:t>A 85. § (1)-(6) bekezdéseit beépítette</w:t>
      </w:r>
      <w:r w:rsidRPr="001D4A53">
        <w:rPr>
          <w:i/>
        </w:rPr>
        <w:t xml:space="preserve"> a Szenátus 201</w:t>
      </w:r>
      <w:r>
        <w:rPr>
          <w:i/>
        </w:rPr>
        <w:t>9</w:t>
      </w:r>
      <w:r w:rsidRPr="001D4A53">
        <w:rPr>
          <w:i/>
        </w:rPr>
        <w:t xml:space="preserve">. </w:t>
      </w:r>
      <w:r>
        <w:rPr>
          <w:i/>
        </w:rPr>
        <w:t>szeptember 26</w:t>
      </w:r>
      <w:r w:rsidRPr="001D4A53">
        <w:rPr>
          <w:i/>
        </w:rPr>
        <w:t xml:space="preserve">-ai ülésén elfogadott módosítás. Hatályos: </w:t>
      </w:r>
      <w:r>
        <w:rPr>
          <w:i/>
        </w:rPr>
        <w:t>2019. szeptember 26.</w:t>
      </w:r>
      <w:r w:rsidRPr="001D4A53">
        <w:rPr>
          <w:i/>
        </w:rPr>
        <w:t xml:space="preserve"> napjától.</w:t>
      </w:r>
    </w:p>
  </w:footnote>
  <w:footnote w:id="304">
    <w:p w14:paraId="5B0C9330"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305">
    <w:p w14:paraId="0C777A5F" w14:textId="77777777" w:rsidR="00BD6AF1" w:rsidRPr="00293CC0" w:rsidRDefault="00BD6AF1" w:rsidP="00893D5B">
      <w:pPr>
        <w:pStyle w:val="Lbjegyzetszveg"/>
        <w:jc w:val="both"/>
        <w:rPr>
          <w:i/>
        </w:rPr>
      </w:pPr>
      <w:r>
        <w:rPr>
          <w:rStyle w:val="Lbjegyzet-hivatkozs"/>
        </w:rPr>
        <w:footnoteRef/>
      </w:r>
      <w:r>
        <w:t xml:space="preserve"> </w:t>
      </w:r>
      <w:r w:rsidRPr="00293CC0">
        <w:rPr>
          <w:i/>
        </w:rPr>
        <w:t>Hatályon kívül helyezte a Szenátus 2013. november 14-ei ülésén elfogadott módosítás. Hatálytalan: 2013. nove</w:t>
      </w:r>
      <w:r>
        <w:rPr>
          <w:i/>
        </w:rPr>
        <w:t xml:space="preserve">mber </w:t>
      </w:r>
      <w:r w:rsidRPr="00293CC0">
        <w:rPr>
          <w:i/>
        </w:rPr>
        <w:t>14. napjától.</w:t>
      </w:r>
    </w:p>
  </w:footnote>
  <w:footnote w:id="306">
    <w:p w14:paraId="5E9E517F" w14:textId="77777777" w:rsidR="00BD6AF1" w:rsidRPr="000B787F" w:rsidRDefault="00BD6AF1" w:rsidP="00893D5B">
      <w:pPr>
        <w:pStyle w:val="Lbjegyzetszveg"/>
        <w:jc w:val="both"/>
        <w:rPr>
          <w:i/>
        </w:rPr>
      </w:pPr>
      <w:r>
        <w:rPr>
          <w:rStyle w:val="Lbjegyzet-hivatkozs"/>
        </w:rPr>
        <w:footnoteRef/>
      </w:r>
      <w:r>
        <w:t xml:space="preserve"> </w:t>
      </w:r>
      <w:r>
        <w:rPr>
          <w:i/>
        </w:rPr>
        <w:t>Beépítette a Szenátus 2013. november 14-ei ülésén elfogadott módosítás. Hatályos: 2013. november 14. napjától.</w:t>
      </w:r>
    </w:p>
  </w:footnote>
  <w:footnote w:id="307">
    <w:p w14:paraId="7AA95DCF" w14:textId="77777777" w:rsidR="00BD6AF1" w:rsidRPr="00585D47"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08">
    <w:p w14:paraId="4E80C4E3" w14:textId="77777777" w:rsidR="00BD6AF1" w:rsidRPr="003A73B9"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09">
    <w:p w14:paraId="3D0E0784" w14:textId="77777777" w:rsidR="00BD6AF1" w:rsidRPr="00E9178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10">
    <w:p w14:paraId="5E431EA1" w14:textId="77777777" w:rsidR="00BD6AF1" w:rsidRPr="003A73B9" w:rsidRDefault="00BD6AF1" w:rsidP="00893D5B">
      <w:pPr>
        <w:pStyle w:val="Lbjegyzetszveg"/>
        <w:jc w:val="both"/>
        <w:rPr>
          <w:i/>
        </w:rPr>
      </w:pPr>
      <w:r>
        <w:rPr>
          <w:rStyle w:val="Lbjegyzet-hivatkozs"/>
        </w:rPr>
        <w:footnoteRef/>
      </w:r>
      <w:r>
        <w:t xml:space="preserve"> </w:t>
      </w:r>
      <w:r>
        <w:rPr>
          <w:i/>
        </w:rPr>
        <w:t>A módosítást a Szenátus 2013. november 14-ei ülésén fogadta el. Hatályos: 2013. november 14. napjától.</w:t>
      </w:r>
    </w:p>
  </w:footnote>
  <w:footnote w:id="311">
    <w:p w14:paraId="4FFAF1DC" w14:textId="77777777" w:rsidR="00BD6AF1" w:rsidRDefault="00BD6AF1" w:rsidP="00893D5B">
      <w:pPr>
        <w:pStyle w:val="Lbjegyzetszveg"/>
      </w:pPr>
      <w:r>
        <w:rPr>
          <w:rStyle w:val="Lbjegyzet-hivatkozs"/>
        </w:rPr>
        <w:footnoteRef/>
      </w:r>
      <w:r>
        <w:t xml:space="preserve"> </w:t>
      </w:r>
      <w:r>
        <w:rPr>
          <w:i/>
        </w:rPr>
        <w:t>A módosítást a Szenátus 2013. november 14-ei ülésén fogadta el. Hatályos: 2013. november 14. napjától.</w:t>
      </w:r>
    </w:p>
  </w:footnote>
  <w:footnote w:id="312">
    <w:p w14:paraId="691D69EC" w14:textId="77777777" w:rsidR="00BD6AF1" w:rsidRPr="00E46F42"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13">
    <w:p w14:paraId="28757D3E" w14:textId="77777777" w:rsidR="00BD6AF1" w:rsidRPr="003E51C2"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314">
    <w:p w14:paraId="3E528CB0" w14:textId="77777777" w:rsidR="00BD6AF1" w:rsidRPr="00EE3998" w:rsidRDefault="00BD6AF1" w:rsidP="00893D5B">
      <w:pPr>
        <w:pStyle w:val="Lbjegyzetszveg"/>
        <w:jc w:val="both"/>
        <w:rPr>
          <w:i/>
        </w:rPr>
      </w:pPr>
      <w:r>
        <w:rPr>
          <w:rStyle w:val="Lbjegyzet-hivatkozs"/>
        </w:rPr>
        <w:footnoteRef/>
      </w:r>
      <w:r>
        <w:t xml:space="preserve"> </w:t>
      </w:r>
      <w:r>
        <w:rPr>
          <w:i/>
        </w:rPr>
        <w:t>A (3)-(7) bekezdést beépítette a Szenátus 2010. február 18-ai ülésén elfogadott módosítás.</w:t>
      </w:r>
    </w:p>
  </w:footnote>
  <w:footnote w:id="315">
    <w:p w14:paraId="7FEC1B9E" w14:textId="77777777" w:rsidR="00BD6AF1" w:rsidRDefault="00BD6AF1" w:rsidP="00893D5B">
      <w:pPr>
        <w:pStyle w:val="Lbjegyzetszveg"/>
        <w:jc w:val="both"/>
      </w:pPr>
      <w:r>
        <w:rPr>
          <w:rStyle w:val="Lbjegyzet-hivatkozs"/>
        </w:rPr>
        <w:footnoteRef/>
      </w:r>
      <w:r>
        <w:t xml:space="preserve"> </w:t>
      </w:r>
      <w:r w:rsidRPr="00882E94">
        <w:rPr>
          <w:i/>
        </w:rPr>
        <w:t>A módosítást a Szenátus 2015. november 12-ei ülésén fogadta el. Hatályos: 2015. november 12. napjától.</w:t>
      </w:r>
    </w:p>
  </w:footnote>
  <w:footnote w:id="316">
    <w:p w14:paraId="1FEC7AE1" w14:textId="77777777" w:rsidR="00BD6AF1" w:rsidRDefault="00BD6AF1" w:rsidP="00893D5B">
      <w:pPr>
        <w:pStyle w:val="Lbjegyzetszveg"/>
        <w:jc w:val="both"/>
      </w:pPr>
      <w:r>
        <w:rPr>
          <w:rStyle w:val="Lbjegyzet-hivatkozs"/>
        </w:rPr>
        <w:footnoteRef/>
      </w:r>
      <w:r>
        <w:t xml:space="preserve"> </w:t>
      </w:r>
      <w:r>
        <w:rPr>
          <w:i/>
        </w:rPr>
        <w:t>A módosítást a Szenátus 2013. november 14-ei ülésén fogadta el. Hatályos: 2013. november 14. napjától.</w:t>
      </w:r>
    </w:p>
  </w:footnote>
  <w:footnote w:id="317">
    <w:p w14:paraId="4E32D497" w14:textId="77777777" w:rsidR="00BD6AF1" w:rsidRPr="00DC2E51"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318">
    <w:p w14:paraId="0F12904E" w14:textId="77777777" w:rsidR="00BD6AF1" w:rsidRPr="0076395F" w:rsidRDefault="00BD6AF1" w:rsidP="00893D5B">
      <w:pPr>
        <w:pStyle w:val="Lbjegyzetszveg"/>
        <w:jc w:val="both"/>
        <w:rPr>
          <w:rStyle w:val="Lbjegyzet-hivatkozs"/>
          <w:i/>
        </w:rPr>
      </w:pPr>
      <w:r>
        <w:rPr>
          <w:rStyle w:val="Lbjegyzet-hivatkozs"/>
        </w:rPr>
        <w:footnoteRef/>
      </w:r>
      <w:r w:rsidRPr="0076395F">
        <w:rPr>
          <w:rStyle w:val="Lbjegyzet-hivatkozs"/>
        </w:rPr>
        <w:t xml:space="preserve"> </w:t>
      </w:r>
      <w:r>
        <w:rPr>
          <w:rStyle w:val="Lbjegyzet-hivatkozs"/>
          <w:i/>
        </w:rPr>
        <w:t>A 94/A. §-t</w:t>
      </w:r>
      <w:r w:rsidRPr="0076395F">
        <w:rPr>
          <w:rStyle w:val="Lbjegyzet-hivatkozs"/>
          <w:i/>
        </w:rPr>
        <w:t xml:space="preserve"> és a megelőző címet </w:t>
      </w:r>
      <w:r>
        <w:rPr>
          <w:rStyle w:val="Lbjegyzet-hivatkozs"/>
          <w:i/>
        </w:rPr>
        <w:t>b</w:t>
      </w:r>
      <w:r w:rsidRPr="0076395F">
        <w:rPr>
          <w:rStyle w:val="Lbjegyzet-hivatkozs"/>
          <w:i/>
        </w:rPr>
        <w:t>eépítette a Szenátus 2019. június 27-e</w:t>
      </w:r>
      <w:r>
        <w:rPr>
          <w:rStyle w:val="Lbjegyzet-hivatkozs"/>
          <w:i/>
        </w:rPr>
        <w:t>i ülésén elfogadott módosítás.</w:t>
      </w:r>
      <w:r w:rsidRPr="0076395F">
        <w:rPr>
          <w:rStyle w:val="Lbjegyzet-hivatkozs"/>
          <w:i/>
        </w:rPr>
        <w:t xml:space="preserve"> Hatályos:2019. július 1. napjától.</w:t>
      </w:r>
    </w:p>
  </w:footnote>
  <w:footnote w:id="319">
    <w:p w14:paraId="5636C5F1" w14:textId="77777777" w:rsidR="00BD6AF1" w:rsidRPr="005F3896" w:rsidRDefault="00BD6AF1" w:rsidP="00893D5B">
      <w:pPr>
        <w:pStyle w:val="Lbjegyzetszveg"/>
        <w:jc w:val="both"/>
        <w:rPr>
          <w:i/>
        </w:rPr>
      </w:pPr>
      <w:r>
        <w:rPr>
          <w:rStyle w:val="Lbjegyzet-hivatkozs"/>
        </w:rPr>
        <w:footnoteRef/>
      </w:r>
      <w:r>
        <w:t xml:space="preserve"> </w:t>
      </w:r>
      <w:r>
        <w:rPr>
          <w:i/>
        </w:rPr>
        <w:t>Beépítette a Szenátus 2008. február 28-ai ülésén elfogadott módosítás. Hatályos: 2008. február 28. napjától.</w:t>
      </w:r>
    </w:p>
  </w:footnote>
  <w:footnote w:id="320">
    <w:p w14:paraId="0E54A4F1" w14:textId="77777777" w:rsidR="00BD6AF1" w:rsidRPr="005A6C3B" w:rsidRDefault="00BD6AF1" w:rsidP="00893D5B">
      <w:pPr>
        <w:pStyle w:val="Lbjegyzetszveg"/>
        <w:jc w:val="both"/>
        <w:rPr>
          <w:i/>
        </w:rPr>
      </w:pPr>
      <w:r>
        <w:rPr>
          <w:rStyle w:val="Lbjegyzet-hivatkozs"/>
        </w:rPr>
        <w:footnoteRef/>
      </w:r>
      <w:r>
        <w:t xml:space="preserve"> </w:t>
      </w:r>
      <w:r>
        <w:rPr>
          <w:i/>
        </w:rPr>
        <w:t>Beépítette a Szenátus 2018. március 22-ei ülésén elfogadott módosítás. Hatályos: 2018. március 22. napjától.</w:t>
      </w:r>
    </w:p>
  </w:footnote>
  <w:footnote w:id="321">
    <w:p w14:paraId="604864BA" w14:textId="77777777" w:rsidR="00BD6AF1" w:rsidRPr="00590B53" w:rsidRDefault="00BD6AF1" w:rsidP="00893D5B">
      <w:pPr>
        <w:pStyle w:val="Lbjegyzetszveg"/>
        <w:jc w:val="both"/>
        <w:rPr>
          <w:i/>
        </w:rPr>
      </w:pPr>
      <w:r>
        <w:rPr>
          <w:rStyle w:val="Lbjegyzet-hivatkozs"/>
        </w:rPr>
        <w:footnoteRef/>
      </w:r>
      <w:r>
        <w:t xml:space="preserve"> </w:t>
      </w:r>
      <w:r w:rsidRPr="00D64FC0">
        <w:rPr>
          <w:i/>
        </w:rPr>
        <w:t>A módosítást a Szenátus 2013. február 11-ei ülésén fogadta el. Hatályos: 2013. február 11. napjától.</w:t>
      </w:r>
      <w:r>
        <w:rPr>
          <w:i/>
        </w:rPr>
        <w:t xml:space="preserve"> </w:t>
      </w:r>
    </w:p>
  </w:footnote>
  <w:footnote w:id="322">
    <w:p w14:paraId="544D0FBB" w14:textId="77777777" w:rsidR="00BD6AF1" w:rsidRPr="003353D9" w:rsidRDefault="00BD6AF1" w:rsidP="00893D5B">
      <w:pPr>
        <w:pStyle w:val="Lbjegyzetszveg"/>
        <w:jc w:val="both"/>
        <w:rPr>
          <w:i/>
        </w:rPr>
      </w:pPr>
      <w:r>
        <w:rPr>
          <w:rStyle w:val="Lbjegyzet-hivatkozs"/>
        </w:rPr>
        <w:footnoteRef/>
      </w:r>
      <w:r>
        <w:t xml:space="preserve"> </w:t>
      </w:r>
      <w:r w:rsidRPr="00D64FC0">
        <w:rPr>
          <w:i/>
        </w:rPr>
        <w:t>A módosítást a Szenátus 2013. november 14-ei ülésén fogadta el. Hatályos: 2013. november 14. napjától.</w:t>
      </w:r>
    </w:p>
  </w:footnote>
  <w:footnote w:id="323">
    <w:p w14:paraId="2B6162CF" w14:textId="77777777" w:rsidR="00BD6AF1" w:rsidRPr="007F4348"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324">
    <w:p w14:paraId="52186BED" w14:textId="77777777" w:rsidR="00BD6AF1" w:rsidRDefault="00BD6AF1" w:rsidP="00893D5B">
      <w:pPr>
        <w:pStyle w:val="Lbjegyzetszveg"/>
      </w:pPr>
      <w:r>
        <w:rPr>
          <w:rStyle w:val="Lbjegyzet-hivatkozs"/>
        </w:rPr>
        <w:footnoteRef/>
      </w:r>
      <w:r>
        <w:t xml:space="preserve"> </w:t>
      </w:r>
      <w:r w:rsidRPr="00443B57">
        <w:rPr>
          <w:i/>
        </w:rPr>
        <w:t xml:space="preserve">A módosítást a Szenátus 2016. </w:t>
      </w:r>
      <w:r>
        <w:rPr>
          <w:i/>
        </w:rPr>
        <w:t>november 03-i ülésén fogadta el</w:t>
      </w:r>
      <w:r w:rsidRPr="00443B57">
        <w:rPr>
          <w:i/>
        </w:rPr>
        <w:t>. Hatályos: 2016. november 03. napjától.</w:t>
      </w:r>
    </w:p>
  </w:footnote>
  <w:footnote w:id="325">
    <w:p w14:paraId="0DF13CF1" w14:textId="77777777" w:rsidR="00BD6AF1" w:rsidRPr="009A7B2B" w:rsidRDefault="00BD6AF1" w:rsidP="00893D5B">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326">
    <w:p w14:paraId="7ABB94DB"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27">
    <w:p w14:paraId="094A9551" w14:textId="77777777" w:rsidR="00BD6AF1" w:rsidRPr="007F4348" w:rsidRDefault="00BD6AF1" w:rsidP="00893D5B">
      <w:pPr>
        <w:pStyle w:val="Lbjegyzetszveg"/>
        <w:rPr>
          <w:i/>
        </w:rPr>
      </w:pPr>
      <w:r>
        <w:rPr>
          <w:rStyle w:val="Lbjegyzet-hivatkozs"/>
        </w:rPr>
        <w:footnoteRef/>
      </w:r>
      <w:r>
        <w:t xml:space="preserve"> </w:t>
      </w:r>
      <w:r w:rsidRPr="004E507E">
        <w:rPr>
          <w:i/>
        </w:rPr>
        <w:t>A módosí</w:t>
      </w:r>
      <w:r>
        <w:rPr>
          <w:i/>
        </w:rPr>
        <w:t>tást a Szenátus 2015.december 17-e</w:t>
      </w:r>
      <w:r w:rsidRPr="004E507E">
        <w:rPr>
          <w:i/>
        </w:rPr>
        <w:t>i ülésén foga</w:t>
      </w:r>
      <w:r>
        <w:rPr>
          <w:i/>
        </w:rPr>
        <w:t>dta el. Hatályos: 2015. december 17. napjától.</w:t>
      </w:r>
    </w:p>
  </w:footnote>
  <w:footnote w:id="328">
    <w:p w14:paraId="0D4EEC5E"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29">
    <w:p w14:paraId="27CE7E82" w14:textId="77777777" w:rsidR="00BD6AF1" w:rsidRDefault="00BD6AF1" w:rsidP="00893D5B">
      <w:pPr>
        <w:pStyle w:val="Lbjegyzetszveg"/>
      </w:pPr>
      <w:r>
        <w:rPr>
          <w:rStyle w:val="Lbjegyzet-hivatkozs"/>
        </w:rPr>
        <w:footnoteRef/>
      </w:r>
      <w:r>
        <w:t xml:space="preserve"> </w:t>
      </w:r>
      <w:r w:rsidRPr="00443B57">
        <w:rPr>
          <w:i/>
        </w:rPr>
        <w:t xml:space="preserve">A módosítást a Szenátus 2016. </w:t>
      </w:r>
      <w:r>
        <w:rPr>
          <w:i/>
        </w:rPr>
        <w:t>november 03-i ülésén fogadta el</w:t>
      </w:r>
      <w:proofErr w:type="gramStart"/>
      <w:r>
        <w:rPr>
          <w:i/>
        </w:rPr>
        <w:t>.</w:t>
      </w:r>
      <w:r w:rsidRPr="00443B57">
        <w:rPr>
          <w:i/>
        </w:rPr>
        <w:t>.</w:t>
      </w:r>
      <w:proofErr w:type="gramEnd"/>
      <w:r w:rsidRPr="00443B57">
        <w:rPr>
          <w:i/>
        </w:rPr>
        <w:t xml:space="preserve"> Hatályos: 2016. november 03. napjától.</w:t>
      </w:r>
    </w:p>
  </w:footnote>
  <w:footnote w:id="330">
    <w:p w14:paraId="37D80915"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331">
    <w:p w14:paraId="75E14BE2" w14:textId="77777777" w:rsidR="00BD6AF1" w:rsidRPr="00CD746B" w:rsidRDefault="00BD6AF1" w:rsidP="00893D5B">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332">
    <w:p w14:paraId="5F291476" w14:textId="77777777" w:rsidR="00BD6AF1" w:rsidRPr="001254DC" w:rsidRDefault="00BD6AF1" w:rsidP="00893D5B">
      <w:pPr>
        <w:pStyle w:val="Lbjegyzetszveg"/>
        <w:jc w:val="both"/>
        <w:rPr>
          <w:i/>
        </w:rPr>
      </w:pPr>
      <w:r>
        <w:rPr>
          <w:rStyle w:val="Lbjegyzet-hivatkozs"/>
        </w:rPr>
        <w:footnoteRef/>
      </w:r>
      <w:r>
        <w:t xml:space="preserve"> </w:t>
      </w:r>
      <w:r>
        <w:rPr>
          <w:i/>
        </w:rPr>
        <w:t>A módosítást a Szenátus 2018. szeptember 13-ai ülésén fogadta el. A módosítások – a t) pont kivételével- 2018. október 01. napján lépnek hatályba. A t) pont 2019. január 01. napján lép hatályba.</w:t>
      </w:r>
    </w:p>
  </w:footnote>
  <w:footnote w:id="333">
    <w:p w14:paraId="462710BE" w14:textId="5904A580" w:rsidR="00835916" w:rsidRPr="00835916" w:rsidRDefault="00835916" w:rsidP="00835916">
      <w:pPr>
        <w:pStyle w:val="Lbjegyzetszveg"/>
        <w:jc w:val="both"/>
        <w:rPr>
          <w:i/>
        </w:rPr>
      </w:pPr>
      <w:r>
        <w:rPr>
          <w:rStyle w:val="Lbjegyzet-hivatkozs"/>
        </w:rPr>
        <w:footnoteRef/>
      </w:r>
      <w:r>
        <w:t xml:space="preserve"> </w:t>
      </w:r>
      <w:r>
        <w:rPr>
          <w:i/>
        </w:rPr>
        <w:t>Az o) pont módosítását a Szenátus 2020. december 03-ai online ülését követő elektronikus döntéshozatali eljárásban fogadta el. A módosult szöveg hatályba lép 2021. május 01. napjával.</w:t>
      </w:r>
    </w:p>
  </w:footnote>
  <w:footnote w:id="334">
    <w:p w14:paraId="23F8924F" w14:textId="125631F8" w:rsidR="00844351" w:rsidRPr="00844351" w:rsidRDefault="00844351" w:rsidP="00844351">
      <w:pPr>
        <w:pStyle w:val="Lbjegyzetszveg"/>
        <w:jc w:val="both"/>
        <w:rPr>
          <w:i/>
        </w:rPr>
      </w:pPr>
      <w:r>
        <w:rPr>
          <w:rStyle w:val="Lbjegyzet-hivatkozs"/>
        </w:rPr>
        <w:footnoteRef/>
      </w:r>
      <w:r>
        <w:t xml:space="preserve"> </w:t>
      </w:r>
      <w:r>
        <w:rPr>
          <w:i/>
        </w:rPr>
        <w:t>A p)-q) pontokat hatályon kívül helyezte a Szenátus 2021. június 16-án lezárt elektronikus döntéshozatali eljárásában elfogadott módosítás. Hatálytalan: 2021. július 01. napjától.</w:t>
      </w:r>
    </w:p>
  </w:footnote>
  <w:footnote w:id="335">
    <w:p w14:paraId="4602DA58" w14:textId="77777777" w:rsidR="00BD6AF1" w:rsidRPr="00331FBB"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336">
    <w:p w14:paraId="6C46E9C6" w14:textId="7D5B2A00" w:rsidR="007D2E59" w:rsidRPr="007D2E59" w:rsidRDefault="007D2E59" w:rsidP="007D2E59">
      <w:pPr>
        <w:pStyle w:val="Lbjegyzetszveg"/>
        <w:jc w:val="both"/>
        <w:rPr>
          <w:i/>
        </w:rPr>
      </w:pPr>
      <w:r>
        <w:rPr>
          <w:rStyle w:val="Lbjegyzet-hivatkozs"/>
        </w:rPr>
        <w:footnoteRef/>
      </w:r>
      <w:r>
        <w:t xml:space="preserve"> </w:t>
      </w:r>
      <w:r>
        <w:rPr>
          <w:i/>
        </w:rPr>
        <w:t>A módosítást a Szenátus 2020. december 30-ai rendkívüli online ülését követő elektronikus döntéshozatali eljárásában fogadta el. Hatályos: 2021. január 01. napjától. A módosítás a veszélyhelyzet megszűnését követő napon hatályát veszti.</w:t>
      </w:r>
    </w:p>
  </w:footnote>
  <w:footnote w:id="337">
    <w:p w14:paraId="767F35E3" w14:textId="77777777" w:rsidR="00BD6AF1" w:rsidRPr="00850118" w:rsidRDefault="00BD6AF1" w:rsidP="00893D5B">
      <w:pPr>
        <w:pStyle w:val="Lbjegyzetszveg"/>
        <w:jc w:val="both"/>
        <w:rPr>
          <w:i/>
        </w:rPr>
      </w:pPr>
      <w:r>
        <w:rPr>
          <w:rStyle w:val="Lbjegyzet-hivatkozs"/>
        </w:rPr>
        <w:footnoteRef/>
      </w:r>
      <w:r>
        <w:t xml:space="preserve"> </w:t>
      </w:r>
      <w:r>
        <w:rPr>
          <w:i/>
        </w:rPr>
        <w:t>A módosítást a Szenátus 2018. június 21-ei ülésén fogadta el. Hatályos: 2018. július 01. napjától.</w:t>
      </w:r>
    </w:p>
  </w:footnote>
  <w:footnote w:id="338">
    <w:p w14:paraId="09433017" w14:textId="77777777" w:rsidR="00BD6AF1" w:rsidRPr="00E61C08" w:rsidRDefault="00BD6AF1" w:rsidP="00893D5B">
      <w:pPr>
        <w:contextualSpacing/>
        <w:jc w:val="both"/>
        <w:rPr>
          <w:i/>
          <w:sz w:val="20"/>
          <w:szCs w:val="20"/>
        </w:rPr>
      </w:pPr>
      <w:r w:rsidRPr="00E61C08">
        <w:rPr>
          <w:rStyle w:val="Lbjegyzet-hivatkozs"/>
          <w:sz w:val="20"/>
          <w:szCs w:val="20"/>
        </w:rPr>
        <w:footnoteRef/>
      </w:r>
      <w:r w:rsidRPr="00E61C08">
        <w:rPr>
          <w:rStyle w:val="Lbjegyzet-hivatkozs"/>
          <w:sz w:val="20"/>
          <w:szCs w:val="20"/>
        </w:rPr>
        <w:t xml:space="preserve"> </w:t>
      </w:r>
      <w:r w:rsidRPr="00596464">
        <w:rPr>
          <w:i/>
          <w:sz w:val="20"/>
          <w:szCs w:val="20"/>
        </w:rPr>
        <w:t>A módosítást a Szenátus 2019. június 27-ei ülésén fogadta el. Hatályos:2019. július 1. napjától.</w:t>
      </w:r>
    </w:p>
  </w:footnote>
  <w:footnote w:id="339">
    <w:p w14:paraId="7198A81C" w14:textId="77777777" w:rsidR="00BD6AF1" w:rsidRPr="000E4EBB" w:rsidRDefault="00BD6AF1" w:rsidP="00A6538B">
      <w:pPr>
        <w:pStyle w:val="Lbjegyzetszveg"/>
        <w:jc w:val="both"/>
        <w:rPr>
          <w:i/>
        </w:rPr>
      </w:pPr>
      <w:r>
        <w:rPr>
          <w:rStyle w:val="Lbjegyzet-hivatkozs"/>
        </w:rPr>
        <w:footnoteRef/>
      </w:r>
      <w:r>
        <w:t xml:space="preserve"> </w:t>
      </w:r>
      <w:r w:rsidRPr="001D4A53">
        <w:rPr>
          <w:i/>
        </w:rPr>
        <w:t>Beépítette a Szenátus 201</w:t>
      </w:r>
      <w:r>
        <w:rPr>
          <w:i/>
        </w:rPr>
        <w:t>9</w:t>
      </w:r>
      <w:r w:rsidRPr="001D4A53">
        <w:rPr>
          <w:i/>
        </w:rPr>
        <w:t xml:space="preserve">. </w:t>
      </w:r>
      <w:r>
        <w:rPr>
          <w:i/>
        </w:rPr>
        <w:t>november 28-ai</w:t>
      </w:r>
      <w:r w:rsidRPr="001D4A53">
        <w:rPr>
          <w:i/>
        </w:rPr>
        <w:t xml:space="preserve"> ülésén elfogadott módosítás. Hatályos: </w:t>
      </w:r>
      <w:r>
        <w:rPr>
          <w:i/>
        </w:rPr>
        <w:t>2019. december 1.</w:t>
      </w:r>
      <w:r w:rsidRPr="001D4A53">
        <w:rPr>
          <w:i/>
        </w:rPr>
        <w:t xml:space="preserve"> napjától.</w:t>
      </w:r>
    </w:p>
  </w:footnote>
  <w:footnote w:id="340">
    <w:p w14:paraId="08763E80" w14:textId="77777777" w:rsidR="00BD6AF1" w:rsidRPr="000E4EBB" w:rsidRDefault="00BD6AF1" w:rsidP="00A6538B">
      <w:pPr>
        <w:pStyle w:val="Lbjegyzetszveg"/>
        <w:jc w:val="both"/>
        <w:rPr>
          <w:i/>
        </w:rPr>
      </w:pPr>
      <w:r>
        <w:rPr>
          <w:rStyle w:val="Lbjegyzet-hivatkozs"/>
        </w:rPr>
        <w:footnoteRef/>
      </w:r>
      <w:r>
        <w:t xml:space="preserve"> </w:t>
      </w:r>
      <w:r>
        <w:rPr>
          <w:i/>
        </w:rPr>
        <w:t>Beépítette a Szenátus 2019. november 28-ai ülésén elfogadott módosítás. Hatályos: 2019. december 1. napjától.</w:t>
      </w:r>
    </w:p>
  </w:footnote>
  <w:footnote w:id="341">
    <w:p w14:paraId="3B485F96" w14:textId="77777777" w:rsidR="00BD6AF1" w:rsidRPr="00145B57" w:rsidRDefault="00BD6AF1" w:rsidP="00145B57">
      <w:pPr>
        <w:pStyle w:val="Lbjegyzetszveg"/>
        <w:jc w:val="both"/>
        <w:rPr>
          <w:i/>
        </w:rPr>
      </w:pPr>
      <w:r>
        <w:rPr>
          <w:rStyle w:val="Lbjegyzet-hivatkozs"/>
        </w:rPr>
        <w:footnoteRef/>
      </w:r>
      <w:r>
        <w:t xml:space="preserve"> </w:t>
      </w:r>
      <w:r>
        <w:rPr>
          <w:i/>
        </w:rPr>
        <w:t xml:space="preserve">Beépítette </w:t>
      </w:r>
      <w:r w:rsidRPr="00B03042">
        <w:rPr>
          <w:i/>
        </w:rPr>
        <w:t xml:space="preserve">a Szenátus 2020. </w:t>
      </w:r>
      <w:r>
        <w:rPr>
          <w:i/>
        </w:rPr>
        <w:t>július</w:t>
      </w:r>
      <w:r w:rsidRPr="00B03042">
        <w:rPr>
          <w:i/>
        </w:rPr>
        <w:t xml:space="preserve"> </w:t>
      </w:r>
      <w:r>
        <w:rPr>
          <w:i/>
        </w:rPr>
        <w:t>30-én</w:t>
      </w:r>
      <w:r w:rsidRPr="00B03042">
        <w:rPr>
          <w:i/>
        </w:rPr>
        <w:t xml:space="preserve"> lezárt</w:t>
      </w:r>
      <w:r>
        <w:rPr>
          <w:i/>
        </w:rPr>
        <w:t xml:space="preserve"> elektronikus döntéshozatali eljárásában hozott 154/2020. (07.30.) sz. határozata. Hatályos: 2020. augusztus 1. napjától.</w:t>
      </w:r>
    </w:p>
  </w:footnote>
  <w:footnote w:id="342">
    <w:p w14:paraId="6287C1FA"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343">
    <w:p w14:paraId="0D296E69"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44">
    <w:p w14:paraId="097D7CC7" w14:textId="77777777" w:rsidR="00BD6AF1" w:rsidRPr="00AD7EAB" w:rsidRDefault="00BD6AF1" w:rsidP="00893D5B">
      <w:pPr>
        <w:pStyle w:val="Lbjegyzetszveg"/>
        <w:jc w:val="both"/>
        <w:rPr>
          <w:i/>
        </w:rPr>
      </w:pPr>
      <w:r>
        <w:rPr>
          <w:rStyle w:val="Lbjegyzet-hivatkozs"/>
        </w:rPr>
        <w:footnoteRef/>
      </w:r>
      <w:r>
        <w:t xml:space="preserve"> </w:t>
      </w:r>
      <w:r>
        <w:rPr>
          <w:i/>
        </w:rPr>
        <w:t>A (8)-(9) bekezdést beépítette a Szenátus 2014. április 24-ei ülésén elfogadott módosítás. Hatályos: 2014. április 24. napjától.</w:t>
      </w:r>
    </w:p>
  </w:footnote>
  <w:footnote w:id="345">
    <w:p w14:paraId="2E288E79"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46">
    <w:p w14:paraId="04402777" w14:textId="34E5B32A" w:rsidR="00877976" w:rsidRPr="00877976" w:rsidRDefault="00877976" w:rsidP="00877976">
      <w:pPr>
        <w:pStyle w:val="Lbjegyzetszveg"/>
        <w:jc w:val="both"/>
        <w:rPr>
          <w:i/>
        </w:rPr>
      </w:pPr>
      <w:r>
        <w:rPr>
          <w:rStyle w:val="Lbjegyzet-hivatkozs"/>
        </w:rPr>
        <w:footnoteRef/>
      </w:r>
      <w:r>
        <w:t xml:space="preserve"> </w:t>
      </w:r>
      <w:r>
        <w:rPr>
          <w:i/>
        </w:rPr>
        <w:t>A módosítást a Szenátus 2020. december 30-ai rendkívüli online ülését követő elektronikus döntéshozatali eljárásában fogadta el. Hatályos: 2021. január 01. napjától. A módosítás a veszélyhelyzet megszűnését követő napon hatályát veszti.</w:t>
      </w:r>
    </w:p>
  </w:footnote>
  <w:footnote w:id="347">
    <w:p w14:paraId="64EE89ED" w14:textId="77777777" w:rsidR="00BD6AF1" w:rsidRPr="001537FC" w:rsidRDefault="00BD6AF1" w:rsidP="00893D5B">
      <w:pPr>
        <w:pStyle w:val="Lbjegyzetszveg"/>
        <w:jc w:val="both"/>
        <w:rPr>
          <w:i/>
        </w:rPr>
      </w:pPr>
      <w:r w:rsidRPr="001537FC">
        <w:rPr>
          <w:rStyle w:val="Lbjegyzet-hivatkozs"/>
          <w:i/>
        </w:rPr>
        <w:footnoteRef/>
      </w:r>
      <w:r w:rsidRPr="001537FC">
        <w:rPr>
          <w:i/>
        </w:rPr>
        <w:t xml:space="preserve"> A módosítást a Szenátus 2007. február 22-ei ülésén fogadta el. Hatályos: 200. február 22. napjától.</w:t>
      </w:r>
    </w:p>
  </w:footnote>
  <w:footnote w:id="348">
    <w:p w14:paraId="2E2E3E5D" w14:textId="77777777" w:rsidR="00BD6AF1" w:rsidRPr="002952BD"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49">
    <w:p w14:paraId="3F1B3387" w14:textId="77777777" w:rsidR="00BD6AF1" w:rsidRPr="004002C8" w:rsidRDefault="00BD6AF1" w:rsidP="00893D5B">
      <w:pPr>
        <w:pStyle w:val="Lbjegyzetszveg"/>
        <w:jc w:val="both"/>
        <w:rPr>
          <w:i/>
        </w:rPr>
      </w:pPr>
      <w:r>
        <w:rPr>
          <w:rStyle w:val="Lbjegyzet-hivatkozs"/>
        </w:rPr>
        <w:footnoteRef/>
      </w:r>
      <w:r>
        <w:t xml:space="preserve"> </w:t>
      </w:r>
      <w:r w:rsidRPr="00C63126">
        <w:rPr>
          <w:i/>
        </w:rPr>
        <w:t>A módosítást a Szenátus 2014. április 24-ei ülésén fogadta el. Hatályos: 2014. április 24. napjától.</w:t>
      </w:r>
    </w:p>
  </w:footnote>
  <w:footnote w:id="350">
    <w:p w14:paraId="11948F4C" w14:textId="77777777" w:rsidR="00BD6AF1" w:rsidRPr="00B55D0D" w:rsidRDefault="00BD6AF1" w:rsidP="00893D5B">
      <w:pPr>
        <w:pStyle w:val="Lbjegyzetszveg"/>
        <w:jc w:val="both"/>
        <w:rPr>
          <w:i/>
        </w:rPr>
      </w:pPr>
      <w:r>
        <w:rPr>
          <w:rStyle w:val="Lbjegyzet-hivatkozs"/>
        </w:rPr>
        <w:footnoteRef/>
      </w:r>
      <w:r>
        <w:t xml:space="preserve"> </w:t>
      </w:r>
      <w:r w:rsidRPr="00C63126">
        <w:rPr>
          <w:i/>
        </w:rPr>
        <w:t>A módosítást a Szenátus 2014. október 02-ai ülésén fogadta el. Hatályos: 2014. október 02. napjától.</w:t>
      </w:r>
    </w:p>
  </w:footnote>
  <w:footnote w:id="351">
    <w:p w14:paraId="0B4A1481" w14:textId="77777777" w:rsidR="00BD6AF1" w:rsidRPr="00C63126" w:rsidRDefault="00BD6AF1" w:rsidP="00893D5B">
      <w:pPr>
        <w:pStyle w:val="Lbjegyzetszveg"/>
        <w:jc w:val="both"/>
        <w:rPr>
          <w:i/>
        </w:rPr>
      </w:pPr>
      <w:r>
        <w:rPr>
          <w:rStyle w:val="Lbjegyzet-hivatkozs"/>
        </w:rPr>
        <w:footnoteRef/>
      </w:r>
      <w:r>
        <w:t xml:space="preserve"> </w:t>
      </w:r>
      <w:r w:rsidRPr="00183779">
        <w:rPr>
          <w:i/>
        </w:rPr>
        <w:t>A módosítást a Szenátus 2015. május 28-ai ülésén fogadta el. Hatályos: 2015. május 28. napjától.</w:t>
      </w:r>
    </w:p>
  </w:footnote>
  <w:footnote w:id="352">
    <w:p w14:paraId="34014DB0" w14:textId="77777777" w:rsidR="00BD6AF1" w:rsidRDefault="00BD6AF1" w:rsidP="00893D5B">
      <w:pPr>
        <w:pStyle w:val="Lbjegyzetszveg"/>
      </w:pPr>
      <w:r>
        <w:rPr>
          <w:rStyle w:val="Lbjegyzet-hivatkozs"/>
        </w:rPr>
        <w:footnoteRef/>
      </w:r>
      <w:r>
        <w:t xml:space="preserve"> </w:t>
      </w:r>
      <w:r>
        <w:rPr>
          <w:i/>
        </w:rPr>
        <w:t>Beépítette a Szenátus 2016. december 15-ei ülésén elfogadott módosítás. Hatályos: 2017. január 1. napjától.</w:t>
      </w:r>
    </w:p>
  </w:footnote>
  <w:footnote w:id="353">
    <w:p w14:paraId="310E34F3" w14:textId="77777777" w:rsidR="00BD6AF1" w:rsidRPr="001537FC" w:rsidRDefault="00BD6AF1" w:rsidP="00893D5B">
      <w:pPr>
        <w:pStyle w:val="Lbjegyzetszveg"/>
        <w:jc w:val="both"/>
        <w:rPr>
          <w:i/>
        </w:rPr>
      </w:pPr>
      <w:r w:rsidRPr="001537FC">
        <w:rPr>
          <w:rStyle w:val="Lbjegyzet-hivatkozs"/>
          <w:i/>
        </w:rPr>
        <w:footnoteRef/>
      </w:r>
      <w:r w:rsidRPr="001537FC">
        <w:rPr>
          <w:i/>
        </w:rPr>
        <w:t xml:space="preserve"> Beépítette a 2007. február 22-ei szenátusi ülésen elfogadott módosítás. Hatályos: 200. február 22. napjától.</w:t>
      </w:r>
    </w:p>
  </w:footnote>
  <w:footnote w:id="354">
    <w:p w14:paraId="09122A38"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355">
    <w:p w14:paraId="18EA54F4" w14:textId="77777777" w:rsidR="00BD6AF1" w:rsidRPr="00326130" w:rsidRDefault="00BD6AF1" w:rsidP="00893D5B">
      <w:pPr>
        <w:pStyle w:val="Lbjegyzetszveg"/>
        <w:jc w:val="both"/>
        <w:rPr>
          <w:i/>
        </w:rPr>
      </w:pPr>
      <w:r>
        <w:rPr>
          <w:rStyle w:val="Lbjegyzet-hivatkozs"/>
        </w:rPr>
        <w:footnoteRef/>
      </w:r>
      <w:r>
        <w:t xml:space="preserve"> </w:t>
      </w:r>
      <w:r>
        <w:rPr>
          <w:i/>
        </w:rPr>
        <w:t>A módosítást a Szenátus 2008. február 28-ai ülésén fogadta el. Hatályos: 2008. február 28. napjától.</w:t>
      </w:r>
    </w:p>
  </w:footnote>
  <w:footnote w:id="356">
    <w:p w14:paraId="70C9C75D" w14:textId="77777777" w:rsidR="00BD6AF1" w:rsidRPr="008D4C06"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Hatályos:2010. február 18. napjától.</w:t>
      </w:r>
    </w:p>
  </w:footnote>
  <w:footnote w:id="357">
    <w:p w14:paraId="07F239DE"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358">
    <w:p w14:paraId="72A2AF85" w14:textId="77777777" w:rsidR="00BD6AF1" w:rsidRPr="00FC697B"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59">
    <w:p w14:paraId="66347228" w14:textId="77777777" w:rsidR="00BD6AF1" w:rsidRDefault="00BD6AF1" w:rsidP="00893D5B">
      <w:pPr>
        <w:pStyle w:val="Lbjegyzetszveg"/>
        <w:jc w:val="both"/>
      </w:pPr>
      <w:r>
        <w:rPr>
          <w:rStyle w:val="Lbjegyzet-hivatkozs"/>
        </w:rPr>
        <w:footnoteRef/>
      </w:r>
      <w:r>
        <w:t xml:space="preserve"> </w:t>
      </w:r>
      <w:r w:rsidRPr="00882E94">
        <w:rPr>
          <w:i/>
        </w:rPr>
        <w:t>A módosítást a Szenátus 2015. november 12-ei ülésén fogadta el. Hatályos: 2015. november 12. napjától.</w:t>
      </w:r>
    </w:p>
  </w:footnote>
  <w:footnote w:id="360">
    <w:p w14:paraId="050C57A7" w14:textId="77777777" w:rsidR="00BD6AF1" w:rsidRPr="00D75251" w:rsidRDefault="00BD6AF1" w:rsidP="00D75251">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november 28-ai</w:t>
      </w:r>
      <w:r w:rsidRPr="001D4A53">
        <w:rPr>
          <w:i/>
        </w:rPr>
        <w:t xml:space="preserve"> ülésén fogadta el. Hatályos </w:t>
      </w:r>
      <w:r>
        <w:rPr>
          <w:i/>
        </w:rPr>
        <w:t>2019. november 28.</w:t>
      </w:r>
      <w:r w:rsidRPr="001D4A53">
        <w:rPr>
          <w:i/>
        </w:rPr>
        <w:t xml:space="preserve"> napjától.</w:t>
      </w:r>
    </w:p>
  </w:footnote>
  <w:footnote w:id="361">
    <w:p w14:paraId="458B6374"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62">
    <w:p w14:paraId="0F73456A" w14:textId="77777777" w:rsidR="00BD6AF1" w:rsidRPr="00D75251" w:rsidRDefault="00BD6AF1" w:rsidP="00D75251">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november 28-ai</w:t>
      </w:r>
      <w:r w:rsidRPr="001D4A53">
        <w:rPr>
          <w:i/>
        </w:rPr>
        <w:t xml:space="preserve"> ülésén fogadta el. Hatályos </w:t>
      </w:r>
      <w:r>
        <w:rPr>
          <w:i/>
        </w:rPr>
        <w:t>2019. november 28.</w:t>
      </w:r>
      <w:r w:rsidRPr="001D4A53">
        <w:rPr>
          <w:i/>
        </w:rPr>
        <w:t xml:space="preserve"> napjától.</w:t>
      </w:r>
    </w:p>
  </w:footnote>
  <w:footnote w:id="363">
    <w:p w14:paraId="543AB90A"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64">
    <w:p w14:paraId="6BD9A40D" w14:textId="77777777" w:rsidR="00BD6AF1" w:rsidRPr="00D75251" w:rsidRDefault="00BD6AF1" w:rsidP="00D75251">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november 28-ai</w:t>
      </w:r>
      <w:r w:rsidRPr="001D4A53">
        <w:rPr>
          <w:i/>
        </w:rPr>
        <w:t xml:space="preserve"> ülésén fogadta el. Hatályos </w:t>
      </w:r>
      <w:r>
        <w:rPr>
          <w:i/>
        </w:rPr>
        <w:t>2019. november 28.</w:t>
      </w:r>
      <w:r w:rsidRPr="001D4A53">
        <w:rPr>
          <w:i/>
        </w:rPr>
        <w:t xml:space="preserve"> napjától.</w:t>
      </w:r>
    </w:p>
  </w:footnote>
  <w:footnote w:id="365">
    <w:p w14:paraId="17776463" w14:textId="77777777" w:rsidR="00BD6AF1" w:rsidRPr="00B66201" w:rsidRDefault="00BD6AF1" w:rsidP="00893D5B">
      <w:pPr>
        <w:pStyle w:val="Lbjegyzetszveg"/>
        <w:jc w:val="both"/>
        <w:rPr>
          <w:i/>
        </w:rPr>
      </w:pPr>
      <w:r>
        <w:rPr>
          <w:rStyle w:val="Lbjegyzet-hivatkozs"/>
        </w:rPr>
        <w:footnoteRef/>
      </w:r>
      <w:r>
        <w:t xml:space="preserve"> </w:t>
      </w:r>
      <w:r w:rsidRPr="00B66201">
        <w:rPr>
          <w:i/>
        </w:rPr>
        <w:t>Hatályon kívül helyezte a Szenátus 2008. június 26-ülésén elfogadott módosítás. Hatályát veszti 2008. június 26-án.</w:t>
      </w:r>
    </w:p>
  </w:footnote>
  <w:footnote w:id="366">
    <w:p w14:paraId="5A52DF8A"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67">
    <w:p w14:paraId="3856861A"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368">
    <w:p w14:paraId="6A636C88" w14:textId="77777777" w:rsidR="00BD6AF1" w:rsidRPr="00742AE6"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69">
    <w:p w14:paraId="03479C7D" w14:textId="77777777" w:rsidR="00BD6AF1" w:rsidRPr="00071501" w:rsidRDefault="00BD6AF1" w:rsidP="00893D5B">
      <w:pPr>
        <w:pStyle w:val="Lbjegyzetszveg"/>
        <w:jc w:val="both"/>
        <w:rPr>
          <w:i/>
        </w:rPr>
      </w:pPr>
      <w:r>
        <w:rPr>
          <w:rStyle w:val="Lbjegyzet-hivatkozs"/>
        </w:rPr>
        <w:footnoteRef/>
      </w:r>
      <w:r>
        <w:t xml:space="preserve"> </w:t>
      </w:r>
      <w:r>
        <w:rPr>
          <w:i/>
        </w:rPr>
        <w:t>A módosítást a Szenátus 2013. április 29-ei ülésén fogadta el. Hatályos: 2013. április 29. napjától.</w:t>
      </w:r>
    </w:p>
  </w:footnote>
  <w:footnote w:id="370">
    <w:p w14:paraId="6D4B1D48" w14:textId="77777777" w:rsidR="00BD6AF1" w:rsidRDefault="00BD6AF1" w:rsidP="00893D5B">
      <w:pPr>
        <w:pStyle w:val="Lbjegyzetszveg"/>
      </w:pPr>
      <w:r>
        <w:rPr>
          <w:rStyle w:val="Lbjegyzet-hivatkozs"/>
        </w:rPr>
        <w:footnoteRef/>
      </w:r>
      <w:r>
        <w:t xml:space="preserve"> </w:t>
      </w:r>
      <w:r w:rsidRPr="002F78BE">
        <w:rPr>
          <w:i/>
        </w:rPr>
        <w:t>A módosítást a Szenátus 2017. június 22-ei ülésén fogadta el. Hatályos 2017. június 23. napjától.</w:t>
      </w:r>
    </w:p>
  </w:footnote>
  <w:footnote w:id="371">
    <w:p w14:paraId="75AF43FF" w14:textId="77777777" w:rsidR="00BD6AF1" w:rsidRPr="00FD3A90" w:rsidRDefault="00BD6AF1" w:rsidP="00893D5B">
      <w:pPr>
        <w:pStyle w:val="Lbjegyzetszveg"/>
        <w:jc w:val="both"/>
        <w:rPr>
          <w:i/>
        </w:rPr>
      </w:pPr>
      <w:r>
        <w:rPr>
          <w:rStyle w:val="Lbjegyzet-hivatkozs"/>
        </w:rPr>
        <w:footnoteRef/>
      </w:r>
      <w:r>
        <w:t xml:space="preserve"> </w:t>
      </w:r>
      <w:r>
        <w:rPr>
          <w:i/>
        </w:rPr>
        <w:t>Beépítette a Szenátus 2013. november 14-ei ülésén elfogadott módosítás. Hatályos: 2013. november 14. napjától.</w:t>
      </w:r>
    </w:p>
  </w:footnote>
  <w:footnote w:id="372">
    <w:p w14:paraId="5FD093AF" w14:textId="77777777" w:rsidR="00BD6AF1" w:rsidRPr="00763305" w:rsidRDefault="00BD6AF1" w:rsidP="00893D5B">
      <w:pPr>
        <w:pStyle w:val="Lbjegyzetszveg"/>
      </w:pPr>
      <w:r>
        <w:rPr>
          <w:rStyle w:val="Lbjegyzet-hivatkozs"/>
        </w:rPr>
        <w:footnoteRef/>
      </w:r>
      <w:r>
        <w:t xml:space="preserve"> </w:t>
      </w:r>
      <w:r w:rsidRPr="00763305">
        <w:rPr>
          <w:i/>
        </w:rPr>
        <w:t>Beépítette a Szenátus 2017. június 22-ei ülésén elfogadott módosítás. Hatályos 2017. június 23. napjától.</w:t>
      </w:r>
    </w:p>
    <w:p w14:paraId="5FBE78C3" w14:textId="77777777" w:rsidR="00BD6AF1" w:rsidRDefault="00BD6AF1" w:rsidP="00893D5B">
      <w:pPr>
        <w:pStyle w:val="Lbjegyzetszveg"/>
      </w:pPr>
    </w:p>
  </w:footnote>
  <w:footnote w:id="373">
    <w:p w14:paraId="292BC907" w14:textId="77777777" w:rsidR="00BD6AF1" w:rsidRPr="00180F7D" w:rsidRDefault="00BD6AF1" w:rsidP="00893D5B">
      <w:pPr>
        <w:pStyle w:val="Lbjegyzetszveg"/>
        <w:jc w:val="both"/>
        <w:rPr>
          <w:i/>
        </w:rPr>
      </w:pPr>
      <w:r>
        <w:rPr>
          <w:rStyle w:val="Lbjegyzet-hivatkozs"/>
        </w:rPr>
        <w:footnoteRef/>
      </w:r>
      <w:r>
        <w:t xml:space="preserve"> </w:t>
      </w:r>
      <w:r>
        <w:rPr>
          <w:i/>
        </w:rPr>
        <w:t>Hatályon kívül helyezte a Szenátus 2009. április 9-ei ülésén elfogadott módosítás.</w:t>
      </w:r>
    </w:p>
  </w:footnote>
  <w:footnote w:id="374">
    <w:p w14:paraId="0FCBD282" w14:textId="77777777" w:rsidR="00BD6AF1" w:rsidRPr="00BE6CDD" w:rsidRDefault="00BD6AF1" w:rsidP="00893D5B">
      <w:pPr>
        <w:pStyle w:val="Lbjegyzetszveg"/>
        <w:jc w:val="both"/>
        <w:rPr>
          <w:i/>
        </w:rPr>
      </w:pPr>
      <w:r>
        <w:rPr>
          <w:rStyle w:val="Lbjegyzet-hivatkozs"/>
        </w:rPr>
        <w:footnoteRef/>
      </w:r>
      <w:r>
        <w:t xml:space="preserve"> </w:t>
      </w:r>
      <w:r>
        <w:rPr>
          <w:i/>
        </w:rPr>
        <w:t>A Hatodik rész módosítását a Szenátus 2014. április 24-ei ülésén fogadta el. Hatályos: 2014. április 24. napjától.</w:t>
      </w:r>
    </w:p>
  </w:footnote>
  <w:footnote w:id="375">
    <w:p w14:paraId="19578B36"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76">
    <w:p w14:paraId="4E84631E" w14:textId="77777777" w:rsidR="00BD6AF1" w:rsidRPr="009E0B69" w:rsidRDefault="00BD6AF1" w:rsidP="00893D5B">
      <w:pPr>
        <w:pStyle w:val="Lbjegyzetszveg"/>
        <w:jc w:val="both"/>
        <w:rPr>
          <w:i/>
        </w:rPr>
      </w:pPr>
      <w:r>
        <w:rPr>
          <w:rStyle w:val="Lbjegyzet-hivatkozs"/>
        </w:rPr>
        <w:footnoteRef/>
      </w:r>
      <w:r>
        <w:rPr>
          <w:i/>
        </w:rPr>
        <w:t>.</w:t>
      </w:r>
      <w:r w:rsidRPr="00FC697B">
        <w:rPr>
          <w:i/>
        </w:rPr>
        <w:t xml:space="preserve"> A módosítást a Szenátus 2015. május 28-ai ülésén fogadta el. Hatályos: 2015. május 28. napjától.</w:t>
      </w:r>
    </w:p>
  </w:footnote>
  <w:footnote w:id="377">
    <w:p w14:paraId="47DB6132" w14:textId="77777777" w:rsidR="00BD6AF1" w:rsidRPr="004B6D9A"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378">
    <w:p w14:paraId="462C9933" w14:textId="77777777" w:rsidR="00BD6AF1" w:rsidRPr="007D73FD" w:rsidRDefault="00BD6AF1" w:rsidP="00893D5B">
      <w:pPr>
        <w:pStyle w:val="Lbjegyzetszveg"/>
        <w:jc w:val="both"/>
        <w:rPr>
          <w:i/>
        </w:rPr>
      </w:pPr>
      <w:r>
        <w:rPr>
          <w:rStyle w:val="Lbjegyzet-hivatkozs"/>
        </w:rPr>
        <w:footnoteRef/>
      </w:r>
      <w:r>
        <w:t xml:space="preserve"> </w:t>
      </w:r>
      <w:r w:rsidRPr="007D73FD">
        <w:rPr>
          <w:i/>
        </w:rPr>
        <w:t>Beépítette a Szenátus 2008. június 26-ai ülésén elfogadott módosítás. A hatálybalépésének időpontja: 2008. június 26.</w:t>
      </w:r>
    </w:p>
  </w:footnote>
  <w:footnote w:id="379">
    <w:p w14:paraId="37FE11CB"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380">
    <w:p w14:paraId="28FD718A" w14:textId="77777777" w:rsidR="00BD6AF1" w:rsidRPr="007D73FD" w:rsidRDefault="00BD6AF1" w:rsidP="00893D5B">
      <w:pPr>
        <w:pStyle w:val="Lbjegyzetszveg"/>
        <w:jc w:val="both"/>
        <w:rPr>
          <w:i/>
        </w:rPr>
      </w:pPr>
      <w:r w:rsidRPr="007D73FD">
        <w:rPr>
          <w:rStyle w:val="Lbjegyzet-hivatkozs"/>
          <w:i/>
        </w:rPr>
        <w:footnoteRef/>
      </w:r>
      <w:r w:rsidRPr="007D73FD">
        <w:rPr>
          <w:i/>
        </w:rPr>
        <w:t xml:space="preserve"> Beépítette a Szenátus 2008. június 26-ai ülésén elfogadott módosítás. A hatálybalépésének időpontja: 2008. június 26.</w:t>
      </w:r>
    </w:p>
  </w:footnote>
  <w:footnote w:id="381">
    <w:p w14:paraId="1DF977FA"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82">
    <w:p w14:paraId="067C782F" w14:textId="77777777" w:rsidR="00BD6AF1" w:rsidRPr="009C6126"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383">
    <w:p w14:paraId="701B45B0"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384">
    <w:p w14:paraId="614D6DFE" w14:textId="77777777" w:rsidR="00BD6AF1" w:rsidRPr="007D73FD" w:rsidRDefault="00BD6AF1" w:rsidP="00893D5B">
      <w:pPr>
        <w:pStyle w:val="Lbjegyzetszveg"/>
        <w:jc w:val="both"/>
        <w:rPr>
          <w:i/>
        </w:rPr>
      </w:pPr>
      <w:r>
        <w:rPr>
          <w:rStyle w:val="Lbjegyzet-hivatkozs"/>
        </w:rPr>
        <w:footnoteRef/>
      </w:r>
      <w:r>
        <w:t xml:space="preserve"> </w:t>
      </w:r>
      <w:r w:rsidRPr="007D73FD">
        <w:rPr>
          <w:bCs/>
          <w:i/>
        </w:rPr>
        <w:t>A módosítást a Szenátus 2015. május 28-ai ülésén fogadta el. Hatályos: 2015. május 28. napjától.</w:t>
      </w:r>
    </w:p>
  </w:footnote>
  <w:footnote w:id="385">
    <w:p w14:paraId="72818941" w14:textId="77777777" w:rsidR="00BD6AF1" w:rsidRPr="00982C11" w:rsidRDefault="00BD6AF1" w:rsidP="00893D5B">
      <w:pPr>
        <w:pStyle w:val="Lbjegyzetszveg"/>
        <w:jc w:val="both"/>
        <w:rPr>
          <w:i/>
        </w:rPr>
      </w:pPr>
      <w:r>
        <w:rPr>
          <w:rStyle w:val="Lbjegyzet-hivatkozs"/>
        </w:rPr>
        <w:footnoteRef/>
      </w:r>
      <w:r>
        <w:t xml:space="preserve"> </w:t>
      </w:r>
      <w:r w:rsidRPr="007D73FD">
        <w:rPr>
          <w:i/>
        </w:rPr>
        <w:t>Beépítette a Szenátus 2013. november 14-ei ülésén elfogadott módosítás. Hatályos: 2013. november 14. napjától.</w:t>
      </w:r>
    </w:p>
  </w:footnote>
  <w:footnote w:id="386">
    <w:p w14:paraId="6E7B769A" w14:textId="77777777" w:rsidR="00BD6AF1" w:rsidRPr="009E0B69" w:rsidRDefault="00BD6AF1" w:rsidP="00893D5B">
      <w:pPr>
        <w:pStyle w:val="Lbjegyzetszveg"/>
        <w:jc w:val="both"/>
        <w:rPr>
          <w:i/>
        </w:rPr>
      </w:pPr>
      <w:r>
        <w:rPr>
          <w:rStyle w:val="Lbjegyzet-hivatkozs"/>
        </w:rPr>
        <w:footnoteRef/>
      </w:r>
      <w:r w:rsidRPr="00FC697B">
        <w:rPr>
          <w:i/>
        </w:rPr>
        <w:t>A módosítást a Szenátus 2015. május 28-ai ülésén fogadta el. Hatályos: 2015. május 28. napjától.</w:t>
      </w:r>
    </w:p>
  </w:footnote>
  <w:footnote w:id="387">
    <w:p w14:paraId="1181D2AE" w14:textId="77777777" w:rsidR="00BD6AF1" w:rsidRPr="00781668"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388">
    <w:p w14:paraId="3C7C23DE" w14:textId="77777777" w:rsidR="00BD6AF1" w:rsidRPr="00DA01F3" w:rsidRDefault="00BD6AF1" w:rsidP="00893D5B">
      <w:pPr>
        <w:pStyle w:val="Lbjegyzetszveg"/>
        <w:jc w:val="both"/>
        <w:rPr>
          <w:i/>
        </w:rPr>
      </w:pPr>
      <w:r>
        <w:rPr>
          <w:rStyle w:val="Lbjegyzet-hivatkozs"/>
        </w:rPr>
        <w:footnoteRef/>
      </w:r>
      <w:r>
        <w:t xml:space="preserve"> </w:t>
      </w:r>
      <w:r w:rsidRPr="007D73FD">
        <w:rPr>
          <w:i/>
        </w:rPr>
        <w:t>A módosítást a Szenátus 2009. október 1-ei ülésén fogadta el. Hatályos 2010. január 1. napjától.</w:t>
      </w:r>
    </w:p>
  </w:footnote>
  <w:footnote w:id="389">
    <w:p w14:paraId="0178E082" w14:textId="77777777" w:rsidR="00BD6AF1" w:rsidRDefault="00BD6AF1" w:rsidP="00893D5B">
      <w:pPr>
        <w:pStyle w:val="Lbjegyzetszveg"/>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390">
    <w:p w14:paraId="15497B13" w14:textId="77777777" w:rsidR="00BD6AF1" w:rsidRPr="00E97782"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391">
    <w:p w14:paraId="3F0342F3" w14:textId="77777777" w:rsidR="00BD6AF1" w:rsidRPr="00940571" w:rsidRDefault="00BD6AF1" w:rsidP="00893D5B">
      <w:pPr>
        <w:pStyle w:val="Lbjegyzetszveg"/>
        <w:jc w:val="both"/>
        <w:rPr>
          <w:i/>
        </w:rPr>
      </w:pPr>
      <w:r>
        <w:rPr>
          <w:rStyle w:val="Lbjegyzet-hivatkozs"/>
        </w:rPr>
        <w:footnoteRef/>
      </w:r>
      <w:r>
        <w:t xml:space="preserve"> </w:t>
      </w:r>
      <w:r>
        <w:rPr>
          <w:i/>
        </w:rPr>
        <w:t>A módosítást a Szenátus 2009. június 18-ai ülésén fogadta el. Hatályos: 2009. június 18. napjától.</w:t>
      </w:r>
    </w:p>
  </w:footnote>
  <w:footnote w:id="392">
    <w:p w14:paraId="7B2C2859" w14:textId="77777777" w:rsidR="00BD6AF1" w:rsidRPr="00C64D6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393">
    <w:p w14:paraId="6814CC2D"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394">
    <w:p w14:paraId="00E9BF48" w14:textId="77777777" w:rsidR="00BD6AF1" w:rsidRPr="00E8666F"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395">
    <w:p w14:paraId="225BD3F9" w14:textId="77777777" w:rsidR="00BD6AF1" w:rsidRPr="00647D33"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396">
    <w:p w14:paraId="37DFAE62" w14:textId="77777777" w:rsidR="00BD6AF1" w:rsidRPr="007F78EB" w:rsidRDefault="00BD6AF1" w:rsidP="00893D5B">
      <w:pPr>
        <w:pStyle w:val="Lbjegyzetszveg"/>
        <w:jc w:val="both"/>
        <w:rPr>
          <w:i/>
        </w:rPr>
      </w:pPr>
      <w:r>
        <w:rPr>
          <w:rStyle w:val="Lbjegyzet-hivatkozs"/>
        </w:rPr>
        <w:footnoteRef/>
      </w:r>
      <w:r>
        <w:t xml:space="preserve"> </w:t>
      </w:r>
      <w:r>
        <w:rPr>
          <w:i/>
        </w:rPr>
        <w:t>A módosítást a Szenátus 2010. február 18-ai ülésén fogadta el. Hatályos: 2010. február 18. napjától.</w:t>
      </w:r>
    </w:p>
  </w:footnote>
  <w:footnote w:id="397">
    <w:p w14:paraId="1B31AA0D" w14:textId="77777777" w:rsidR="00BD6AF1" w:rsidRPr="005A2B0B"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398">
    <w:p w14:paraId="5B55789B" w14:textId="77777777" w:rsidR="00BD6AF1" w:rsidRPr="00F22B3E" w:rsidRDefault="00BD6AF1" w:rsidP="00893D5B">
      <w:pPr>
        <w:pStyle w:val="Lbjegyzetszveg"/>
        <w:jc w:val="both"/>
        <w:rPr>
          <w:i/>
        </w:rPr>
      </w:pPr>
      <w:r>
        <w:rPr>
          <w:rStyle w:val="Lbjegyzet-hivatkozs"/>
        </w:rPr>
        <w:footnoteRef/>
      </w:r>
      <w:r>
        <w:t xml:space="preserve"> </w:t>
      </w:r>
      <w:r>
        <w:rPr>
          <w:i/>
        </w:rPr>
        <w:t>A módosítást a Szenátus 2018. június 21-ei ülésén fogadta el. Hatályos: 2018. július 01. napjától.</w:t>
      </w:r>
    </w:p>
  </w:footnote>
  <w:footnote w:id="399">
    <w:p w14:paraId="7900C1E0" w14:textId="77777777" w:rsidR="00BD6AF1" w:rsidRPr="00BA73CA" w:rsidRDefault="00BD6AF1" w:rsidP="00893D5B">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400">
    <w:p w14:paraId="2D1A99F9"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401">
    <w:p w14:paraId="7091B900" w14:textId="77777777" w:rsidR="00BD6AF1" w:rsidRPr="00EA7F2A" w:rsidRDefault="00BD6AF1" w:rsidP="00EA7F2A">
      <w:pPr>
        <w:pStyle w:val="Lbjegyzetszveg"/>
        <w:jc w:val="both"/>
        <w:rPr>
          <w:i/>
        </w:rPr>
      </w:pPr>
      <w:r>
        <w:rPr>
          <w:rStyle w:val="Lbjegyzet-hivatkozs"/>
        </w:rPr>
        <w:footnoteRef/>
      </w:r>
      <w:r>
        <w:t xml:space="preserve"> </w:t>
      </w:r>
      <w:r>
        <w:rPr>
          <w:i/>
        </w:rPr>
        <w:t>Beépítette</w:t>
      </w:r>
      <w:r w:rsidRPr="00E37D98">
        <w:rPr>
          <w:i/>
        </w:rPr>
        <w:t xml:space="preserve"> </w:t>
      </w:r>
      <w:r>
        <w:rPr>
          <w:i/>
        </w:rPr>
        <w:t>a Szenátus 2020. június 18-ai ülésén elfogadott módosítás. Hatályos: 2020. június 18. napjától.</w:t>
      </w:r>
    </w:p>
  </w:footnote>
  <w:footnote w:id="402">
    <w:p w14:paraId="21732326" w14:textId="77777777" w:rsidR="00BD6AF1" w:rsidRPr="00C97CA7" w:rsidRDefault="00BD6AF1" w:rsidP="00893D5B">
      <w:pPr>
        <w:pStyle w:val="Lbjegyzetszveg"/>
        <w:jc w:val="both"/>
        <w:rPr>
          <w:i/>
        </w:rPr>
      </w:pPr>
      <w:r>
        <w:rPr>
          <w:rStyle w:val="Lbjegyzet-hivatkozs"/>
        </w:rPr>
        <w:footnoteRef/>
      </w:r>
      <w:r>
        <w:t xml:space="preserve"> </w:t>
      </w:r>
      <w:r>
        <w:rPr>
          <w:i/>
        </w:rPr>
        <w:t>A módosítást a Szenátus 2011. május 19-ei ülésén fogadta el. Hatályos: 2011. május 19. napjától.</w:t>
      </w:r>
    </w:p>
  </w:footnote>
  <w:footnote w:id="403">
    <w:p w14:paraId="59181CE1" w14:textId="77777777" w:rsidR="00BD6AF1" w:rsidRPr="00FE7783" w:rsidRDefault="00BD6AF1" w:rsidP="00893D5B">
      <w:pPr>
        <w:pStyle w:val="Lbjegyzetszveg"/>
        <w:jc w:val="both"/>
        <w:rPr>
          <w:i/>
        </w:rPr>
      </w:pPr>
      <w:r>
        <w:rPr>
          <w:rStyle w:val="Lbjegyzet-hivatkozs"/>
        </w:rPr>
        <w:footnoteRef/>
      </w:r>
      <w:r>
        <w:t xml:space="preserve"> </w:t>
      </w:r>
      <w:r w:rsidRPr="00FE7783">
        <w:rPr>
          <w:i/>
        </w:rPr>
        <w:t>A módosítást a Szenátus 2013. november 14-ei ülésén fogadta el. Hatályos: 2013. november 14. napjától.</w:t>
      </w:r>
    </w:p>
  </w:footnote>
  <w:footnote w:id="404">
    <w:p w14:paraId="0D18C6CC" w14:textId="77777777" w:rsidR="00BD6AF1" w:rsidRPr="00974655" w:rsidRDefault="00BD6AF1" w:rsidP="00893D5B">
      <w:pPr>
        <w:pStyle w:val="Lbjegyzetszveg"/>
        <w:jc w:val="both"/>
        <w:rPr>
          <w:i/>
        </w:rPr>
      </w:pPr>
      <w:r>
        <w:rPr>
          <w:rStyle w:val="Lbjegyzet-hivatkozs"/>
        </w:rPr>
        <w:footnoteRef/>
      </w:r>
      <w:r>
        <w:t xml:space="preserve"> </w:t>
      </w:r>
      <w:r w:rsidRPr="00FE7783">
        <w:rPr>
          <w:i/>
        </w:rPr>
        <w:t>A módosítást a Szenátus 2013. november 14-ei ülésén fogadta el. Hatályos: 2013. november 14. napjától.</w:t>
      </w:r>
    </w:p>
  </w:footnote>
  <w:footnote w:id="405">
    <w:p w14:paraId="0A8F3889" w14:textId="77777777" w:rsidR="00BD6AF1" w:rsidRPr="00D719A7"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406">
    <w:p w14:paraId="33788AA1" w14:textId="77777777" w:rsidR="00BD6AF1" w:rsidRPr="00B75D5F" w:rsidRDefault="00BD6AF1" w:rsidP="00893D5B">
      <w:pPr>
        <w:pStyle w:val="Lbjegyzetszveg"/>
        <w:jc w:val="both"/>
        <w:rPr>
          <w:i/>
        </w:rPr>
      </w:pPr>
      <w:r>
        <w:rPr>
          <w:rStyle w:val="Lbjegyzet-hivatkozs"/>
        </w:rPr>
        <w:footnoteRef/>
      </w:r>
      <w:r>
        <w:t xml:space="preserve"> </w:t>
      </w:r>
      <w:r>
        <w:rPr>
          <w:i/>
        </w:rPr>
        <w:t>A módosítást a Szenátus 20 9. június 18-ai ülésén fogadta el. Hatályos: 2009. június 18. napjától.</w:t>
      </w:r>
    </w:p>
  </w:footnote>
  <w:footnote w:id="407">
    <w:p w14:paraId="326B186F" w14:textId="77777777" w:rsidR="00BD6AF1" w:rsidRPr="001D03AF" w:rsidRDefault="00BD6AF1" w:rsidP="00893D5B">
      <w:pPr>
        <w:pStyle w:val="Lbjegyzetszveg"/>
        <w:jc w:val="both"/>
        <w:rPr>
          <w:i/>
        </w:rPr>
      </w:pPr>
      <w:r>
        <w:rPr>
          <w:rStyle w:val="Lbjegyzet-hivatkozs"/>
        </w:rPr>
        <w:footnoteRef/>
      </w:r>
      <w:r>
        <w:t xml:space="preserve"> </w:t>
      </w:r>
      <w:r>
        <w:rPr>
          <w:i/>
        </w:rPr>
        <w:t>A módosítást a Szenátus 2018. március 22-ei ülésén fogadat el. Hatályos: 2018. március 22. napjától.</w:t>
      </w:r>
    </w:p>
  </w:footnote>
  <w:footnote w:id="408">
    <w:p w14:paraId="51951AE9" w14:textId="77777777" w:rsidR="00BD6AF1" w:rsidRPr="00BB02F5" w:rsidRDefault="00BD6AF1" w:rsidP="00893D5B">
      <w:pPr>
        <w:pStyle w:val="Lbjegyzetszveg"/>
        <w:jc w:val="both"/>
        <w:rPr>
          <w:i/>
        </w:rPr>
      </w:pPr>
      <w:r>
        <w:rPr>
          <w:rStyle w:val="Lbjegyzet-hivatkozs"/>
        </w:rPr>
        <w:footnoteRef/>
      </w:r>
      <w:r>
        <w:t xml:space="preserve"> </w:t>
      </w:r>
      <w:r>
        <w:rPr>
          <w:i/>
        </w:rPr>
        <w:t>A módosítást a Szenátus 2017. november 09-ei ülésén fogadta el. Hatályos: 2017. november 09. napjától.</w:t>
      </w:r>
    </w:p>
  </w:footnote>
  <w:footnote w:id="409">
    <w:p w14:paraId="60364C83"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410">
    <w:p w14:paraId="1E221EB3" w14:textId="77777777" w:rsidR="00BD6AF1" w:rsidRDefault="00BD6AF1" w:rsidP="00893D5B">
      <w:pPr>
        <w:pStyle w:val="Lbjegyzetszveg"/>
      </w:pPr>
      <w:r>
        <w:rPr>
          <w:rStyle w:val="Lbjegyzet-hivatkozs"/>
        </w:rPr>
        <w:footnoteRef/>
      </w:r>
      <w:r>
        <w:t xml:space="preserve"> </w:t>
      </w:r>
      <w:r>
        <w:rPr>
          <w:i/>
        </w:rPr>
        <w:t>Beépítette a Szenátus 2016. március 17-ei ülésén elfogadott módosítás. Hatályos: 2016. március 17. napjától.</w:t>
      </w:r>
    </w:p>
  </w:footnote>
  <w:footnote w:id="411">
    <w:p w14:paraId="1E007C17" w14:textId="77777777" w:rsidR="00BD6AF1" w:rsidRPr="007E67B6"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412">
    <w:p w14:paraId="13A547A3"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413">
    <w:p w14:paraId="46BA046B" w14:textId="77777777" w:rsidR="00BD6AF1" w:rsidRPr="00C221EE" w:rsidRDefault="00BD6AF1" w:rsidP="00893D5B">
      <w:pPr>
        <w:pStyle w:val="Lbjegyzetszveg"/>
        <w:jc w:val="both"/>
        <w:rPr>
          <w:i/>
        </w:rPr>
      </w:pPr>
      <w:r>
        <w:rPr>
          <w:rStyle w:val="Lbjegyzet-hivatkozs"/>
        </w:rPr>
        <w:footnoteRef/>
      </w:r>
      <w:r>
        <w:t xml:space="preserve"> </w:t>
      </w:r>
      <w:r>
        <w:rPr>
          <w:i/>
        </w:rPr>
        <w:t>A díjazásra vonatkozó rendelkezések módosítását a Szenátus 2012. június 28-ai ülésén fogadta el.</w:t>
      </w:r>
    </w:p>
  </w:footnote>
  <w:footnote w:id="414">
    <w:p w14:paraId="69484C4B"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415">
    <w:p w14:paraId="15A3C7C5" w14:textId="77777777" w:rsidR="00BD6AF1" w:rsidRDefault="00BD6AF1" w:rsidP="00893D5B">
      <w:pPr>
        <w:pStyle w:val="Lbjegyzetszveg"/>
      </w:pPr>
      <w:r>
        <w:rPr>
          <w:rStyle w:val="Lbjegyzet-hivatkozs"/>
        </w:rPr>
        <w:footnoteRef/>
      </w:r>
      <w:r>
        <w:t xml:space="preserve"> </w:t>
      </w:r>
      <w:r>
        <w:rPr>
          <w:i/>
        </w:rPr>
        <w:t>Beépítette a Szenátus 2016. március 17-ei ülésén elfogadott módosítás. Hatályos: 2016. március 17. napjától.</w:t>
      </w:r>
    </w:p>
  </w:footnote>
  <w:footnote w:id="416">
    <w:p w14:paraId="473380F8" w14:textId="77777777" w:rsidR="00BD6AF1" w:rsidRPr="00B0392F" w:rsidRDefault="00BD6AF1" w:rsidP="00893D5B">
      <w:pPr>
        <w:pStyle w:val="Lbjegyzetszveg"/>
        <w:jc w:val="both"/>
        <w:rPr>
          <w:i/>
        </w:rPr>
      </w:pPr>
      <w:r>
        <w:rPr>
          <w:rStyle w:val="Lbjegyzet-hivatkozs"/>
        </w:rPr>
        <w:footnoteRef/>
      </w:r>
      <w:r>
        <w:t xml:space="preserve"> </w:t>
      </w:r>
      <w:r>
        <w:rPr>
          <w:i/>
        </w:rPr>
        <w:t>A módosítást a Szenátus 2014. április 24-ei ülésén fogadta el. Hatályos: 2014. április 24. napjától.</w:t>
      </w:r>
    </w:p>
  </w:footnote>
  <w:footnote w:id="417">
    <w:p w14:paraId="1DE790F9" w14:textId="77777777" w:rsidR="00BD6AF1" w:rsidRDefault="00BD6AF1" w:rsidP="00893D5B">
      <w:pPr>
        <w:pStyle w:val="Lbjegyzetszveg"/>
      </w:pPr>
      <w:r>
        <w:rPr>
          <w:rStyle w:val="Lbjegyzet-hivatkozs"/>
        </w:rPr>
        <w:footnoteRef/>
      </w:r>
      <w:r>
        <w:t xml:space="preserve"> </w:t>
      </w:r>
      <w:r w:rsidRPr="00C21940">
        <w:rPr>
          <w:i/>
        </w:rPr>
        <w:t>A módosítást a Szenátus 2017. június 22-ei ülésén fogadta el. Hatályos 2017. június 23. napjától.</w:t>
      </w:r>
    </w:p>
  </w:footnote>
  <w:footnote w:id="418">
    <w:p w14:paraId="57B162FE" w14:textId="77777777" w:rsidR="00BD6AF1" w:rsidRDefault="00BD6AF1" w:rsidP="00893D5B">
      <w:pPr>
        <w:pStyle w:val="Lbjegyzetszveg"/>
        <w:jc w:val="both"/>
      </w:pPr>
      <w:r>
        <w:rPr>
          <w:rStyle w:val="Lbjegyzet-hivatkozs"/>
        </w:rPr>
        <w:footnoteRef/>
      </w:r>
      <w:r>
        <w:t xml:space="preserve"> </w:t>
      </w:r>
      <w:r w:rsidRPr="000331B5">
        <w:rPr>
          <w:i/>
        </w:rPr>
        <w:t>A módosítást a Szenátus 2015. november 12-ei ülésén fogadta el. Hatályos: 2015. november 12. napjától.</w:t>
      </w:r>
    </w:p>
  </w:footnote>
  <w:footnote w:id="419">
    <w:p w14:paraId="4B2F8F80" w14:textId="77777777" w:rsidR="00BD6AF1" w:rsidRPr="00EE1F7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420">
    <w:p w14:paraId="7AA10A8C"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421">
    <w:p w14:paraId="0F1E9007"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r w:rsidRPr="007D73FD">
        <w:rPr>
          <w:i/>
        </w:rPr>
        <w:t>.</w:t>
      </w:r>
    </w:p>
  </w:footnote>
  <w:footnote w:id="422">
    <w:p w14:paraId="22881710" w14:textId="77777777" w:rsidR="00BD6AF1" w:rsidRPr="003F4819" w:rsidRDefault="00BD6AF1" w:rsidP="00893D5B">
      <w:pPr>
        <w:pStyle w:val="Lbjegyzetszveg"/>
        <w:jc w:val="both"/>
        <w:rPr>
          <w:i/>
        </w:rPr>
      </w:pPr>
      <w:r w:rsidRPr="003F4819">
        <w:rPr>
          <w:rStyle w:val="Lbjegyzet-hivatkozs"/>
        </w:rPr>
        <w:footnoteRef/>
      </w:r>
      <w:r w:rsidRPr="003F4819">
        <w:t xml:space="preserve"> </w:t>
      </w:r>
      <w:r w:rsidRPr="003F4819">
        <w:rPr>
          <w:i/>
        </w:rPr>
        <w:t>A módosítást Szenátus 2013. november 14-ei ülésén fogadta el. Hatályos</w:t>
      </w:r>
      <w:r>
        <w:rPr>
          <w:i/>
        </w:rPr>
        <w:t>: 2013. november 14. napjától.</w:t>
      </w:r>
    </w:p>
  </w:footnote>
  <w:footnote w:id="423">
    <w:p w14:paraId="59E99555" w14:textId="77777777" w:rsidR="00BD6AF1" w:rsidRPr="003F4819" w:rsidRDefault="00BD6AF1" w:rsidP="00893D5B">
      <w:pPr>
        <w:pStyle w:val="Lbjegyzetszveg"/>
        <w:rPr>
          <w:i/>
        </w:rPr>
      </w:pPr>
      <w:r>
        <w:rPr>
          <w:rStyle w:val="Lbjegyzet-hivatkozs"/>
        </w:rPr>
        <w:footnoteRef/>
      </w:r>
      <w:r>
        <w:t xml:space="preserve"> </w:t>
      </w:r>
      <w:r w:rsidRPr="003F4819">
        <w:rPr>
          <w:i/>
        </w:rPr>
        <w:t>Hatályon kívül helyezte a Szenátus 2016. március 17-ei ülésén elfogadott módosítás. Hatálytalan 2016. március 17. napjától.</w:t>
      </w:r>
    </w:p>
  </w:footnote>
  <w:footnote w:id="424">
    <w:p w14:paraId="7112B385" w14:textId="77777777" w:rsidR="00BD6AF1" w:rsidRPr="00D55E29" w:rsidRDefault="00BD6AF1" w:rsidP="00893D5B">
      <w:pPr>
        <w:pStyle w:val="Lbjegyzetszveg"/>
        <w:jc w:val="both"/>
        <w:rPr>
          <w:i/>
        </w:rPr>
      </w:pPr>
      <w:r>
        <w:rPr>
          <w:rStyle w:val="Lbjegyzet-hivatkozs"/>
        </w:rPr>
        <w:footnoteRef/>
      </w:r>
      <w:r>
        <w:t xml:space="preserve"> </w:t>
      </w:r>
      <w:r w:rsidRPr="00D55E29">
        <w:rPr>
          <w:i/>
        </w:rPr>
        <w:t>A módosítást a Szenátus 2013. február 11-ei ülésén fogadta el. Hatályos: 2013. február 11. napjától.</w:t>
      </w:r>
    </w:p>
  </w:footnote>
  <w:footnote w:id="425">
    <w:p w14:paraId="757DE6C1" w14:textId="77777777" w:rsidR="00BD6AF1" w:rsidRDefault="00BD6AF1" w:rsidP="00893D5B">
      <w:pPr>
        <w:pStyle w:val="Lbjegyzetszveg"/>
        <w:jc w:val="both"/>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426">
    <w:p w14:paraId="7A0A7A9D"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427">
    <w:p w14:paraId="7F0EC6A7" w14:textId="77777777" w:rsidR="00BD6AF1" w:rsidRPr="0020640A" w:rsidRDefault="00BD6AF1" w:rsidP="00893D5B">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428">
    <w:p w14:paraId="74E7EAFA" w14:textId="77777777" w:rsidR="00BD6AF1" w:rsidRPr="00C86EA7"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429">
    <w:p w14:paraId="002E71D5" w14:textId="77777777" w:rsidR="00BD6AF1" w:rsidRDefault="00BD6AF1" w:rsidP="00893D5B">
      <w:pPr>
        <w:pStyle w:val="Lbjegyzetszveg"/>
        <w:jc w:val="both"/>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430">
    <w:p w14:paraId="10D1B958" w14:textId="77777777" w:rsidR="00BD6AF1" w:rsidRDefault="00BD6AF1" w:rsidP="00893D5B">
      <w:pPr>
        <w:pStyle w:val="Lbjegyzetszveg"/>
      </w:pPr>
      <w:r>
        <w:rPr>
          <w:rStyle w:val="Lbjegyzet-hivatkozs"/>
        </w:rPr>
        <w:footnoteRef/>
      </w:r>
      <w:r>
        <w:t xml:space="preserve"> </w:t>
      </w:r>
      <w:r>
        <w:rPr>
          <w:i/>
        </w:rPr>
        <w:t>A módosítást a Szenátus 2016. december 15-ei ülésén fogadta el. Hatályos: 2017. január 1. napjától.</w:t>
      </w:r>
    </w:p>
  </w:footnote>
  <w:footnote w:id="431">
    <w:p w14:paraId="58C02AF4" w14:textId="77777777" w:rsidR="00BD6AF1" w:rsidRPr="005A12BB"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432">
    <w:p w14:paraId="5F3CAD82" w14:textId="77777777" w:rsidR="00BD6AF1" w:rsidRPr="009E0B69" w:rsidRDefault="00BD6AF1" w:rsidP="00893D5B">
      <w:pPr>
        <w:pStyle w:val="Lbjegyzetszveg"/>
        <w:jc w:val="both"/>
        <w:rPr>
          <w:i/>
        </w:rPr>
      </w:pPr>
      <w:r>
        <w:rPr>
          <w:rStyle w:val="Lbjegyzet-hivatkozs"/>
        </w:rPr>
        <w:footnoteRef/>
      </w:r>
      <w:r>
        <w:t xml:space="preserve"> </w:t>
      </w:r>
      <w:r w:rsidRPr="00C86EA7">
        <w:rPr>
          <w:i/>
        </w:rPr>
        <w:t>A módosítást a Szenátus 2014. április 24-ei ülésén fogadta el. Hatályos: 2014. április 24. napjától.</w:t>
      </w:r>
    </w:p>
  </w:footnote>
  <w:footnote w:id="433">
    <w:p w14:paraId="35D94299" w14:textId="77777777" w:rsidR="00BD6AF1" w:rsidRDefault="00BD6AF1" w:rsidP="00893D5B">
      <w:pPr>
        <w:pStyle w:val="Lbjegyzetszveg"/>
        <w:jc w:val="both"/>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434">
    <w:p w14:paraId="6ADCB069" w14:textId="77777777" w:rsidR="00BD6AF1" w:rsidRDefault="00BD6AF1" w:rsidP="00893D5B">
      <w:pPr>
        <w:pStyle w:val="Lbjegyzetszveg"/>
      </w:pPr>
      <w:r>
        <w:rPr>
          <w:rStyle w:val="Lbjegyzet-hivatkozs"/>
        </w:rPr>
        <w:footnoteRef/>
      </w:r>
      <w:r>
        <w:t xml:space="preserve"> </w:t>
      </w:r>
      <w:r w:rsidRPr="00A12EC3">
        <w:rPr>
          <w:i/>
        </w:rPr>
        <w:t>A módosítást a Szenátus 2015. november 12-ei ülésén fogadta el. Hatályos: 2015. november 12. napjától</w:t>
      </w:r>
    </w:p>
  </w:footnote>
  <w:footnote w:id="435">
    <w:p w14:paraId="2F689B44"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436">
    <w:p w14:paraId="5B194190" w14:textId="77777777" w:rsidR="00BD6AF1" w:rsidRPr="003353D9" w:rsidRDefault="00BD6AF1" w:rsidP="00893D5B">
      <w:pPr>
        <w:pStyle w:val="Lbjegyzetszveg"/>
        <w:jc w:val="both"/>
        <w:rPr>
          <w:i/>
        </w:rPr>
      </w:pPr>
      <w:r>
        <w:rPr>
          <w:rStyle w:val="Lbjegyzet-hivatkozs"/>
        </w:rPr>
        <w:footnoteRef/>
      </w:r>
      <w:r>
        <w:t xml:space="preserve"> </w:t>
      </w:r>
      <w:r>
        <w:rPr>
          <w:i/>
        </w:rPr>
        <w:t>Hatályon kívül helyezte a Szenátus 2015. május 28-ai ülésén elfogadott módosítás. Hatálytalan: 2015. május 28. napjától.</w:t>
      </w:r>
    </w:p>
  </w:footnote>
  <w:footnote w:id="437">
    <w:p w14:paraId="72F5248D" w14:textId="77777777" w:rsidR="00BD6AF1" w:rsidRPr="009E0B69" w:rsidRDefault="00BD6AF1" w:rsidP="00893D5B">
      <w:pPr>
        <w:pStyle w:val="Lbjegyzetszveg"/>
        <w:jc w:val="both"/>
        <w:rPr>
          <w:i/>
        </w:rPr>
      </w:pPr>
      <w:r>
        <w:rPr>
          <w:rStyle w:val="Lbjegyzet-hivatkozs"/>
        </w:rPr>
        <w:footnoteRef/>
      </w:r>
      <w:r>
        <w:rPr>
          <w:i/>
        </w:rPr>
        <w:t>.</w:t>
      </w:r>
      <w:r w:rsidRPr="00FC697B">
        <w:rPr>
          <w:i/>
        </w:rPr>
        <w:t xml:space="preserve"> A módosítást a Szenátus 2015. május 28-ai ülésén fogadta el. Hatályos: 2015. május 28. napjától.</w:t>
      </w:r>
    </w:p>
  </w:footnote>
  <w:footnote w:id="438">
    <w:p w14:paraId="41881D00" w14:textId="77777777" w:rsidR="00BD6AF1" w:rsidRDefault="00BD6AF1" w:rsidP="00893D5B">
      <w:pPr>
        <w:pStyle w:val="Lbjegyzetszveg"/>
        <w:jc w:val="both"/>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439">
    <w:p w14:paraId="1DCD5282"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440">
    <w:p w14:paraId="68E2FFF8" w14:textId="77777777" w:rsidR="00BD6AF1" w:rsidRPr="003E4196" w:rsidRDefault="00BD6AF1" w:rsidP="00893D5B">
      <w:pPr>
        <w:pStyle w:val="Lbjegyzetszveg"/>
        <w:jc w:val="both"/>
        <w:rPr>
          <w:i/>
        </w:rPr>
      </w:pPr>
      <w:r>
        <w:rPr>
          <w:rStyle w:val="Lbjegyzet-hivatkozs"/>
        </w:rPr>
        <w:footnoteRef/>
      </w:r>
      <w:r>
        <w:t xml:space="preserve"> </w:t>
      </w:r>
      <w:r>
        <w:rPr>
          <w:i/>
        </w:rPr>
        <w:t>A módosítást a Szenátus 2017. március 23-ai ülésén fogadta el. Hatályos: 2017. március 23. napjától.</w:t>
      </w:r>
    </w:p>
  </w:footnote>
  <w:footnote w:id="441">
    <w:p w14:paraId="6782B684" w14:textId="77777777" w:rsidR="00BD6AF1" w:rsidRPr="009E0B69" w:rsidRDefault="00BD6AF1" w:rsidP="00893D5B">
      <w:pPr>
        <w:pStyle w:val="Lbjegyzetszveg"/>
        <w:jc w:val="both"/>
        <w:rPr>
          <w:i/>
        </w:rPr>
      </w:pPr>
      <w:r>
        <w:rPr>
          <w:rStyle w:val="Lbjegyzet-hivatkozs"/>
        </w:rPr>
        <w:footnoteRef/>
      </w:r>
      <w:r>
        <w:t xml:space="preserve"> </w:t>
      </w:r>
      <w:r w:rsidRPr="00FC697B">
        <w:rPr>
          <w:i/>
        </w:rPr>
        <w:t>A módosítást a Szenátus 2015. május 28-ai ülésén fogadta el. Hatályos: 2015. május 28. napjától.</w:t>
      </w:r>
    </w:p>
  </w:footnote>
  <w:footnote w:id="442">
    <w:p w14:paraId="1CA0D599"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443">
    <w:p w14:paraId="612F1AC8" w14:textId="77777777" w:rsidR="00BD6AF1" w:rsidRPr="00443B57" w:rsidRDefault="00BD6AF1" w:rsidP="00893D5B">
      <w:pPr>
        <w:pStyle w:val="Lbjegyzetszveg"/>
      </w:pPr>
      <w:r>
        <w:rPr>
          <w:rStyle w:val="Lbjegyzet-hivatkozs"/>
        </w:rPr>
        <w:footnoteRef/>
      </w:r>
      <w:r>
        <w:t xml:space="preserve"> </w:t>
      </w:r>
      <w:r w:rsidRPr="00443B57">
        <w:rPr>
          <w:i/>
        </w:rPr>
        <w:t xml:space="preserve">A módosítást a Szenátus 2016. november 03-i </w:t>
      </w:r>
      <w:r>
        <w:rPr>
          <w:i/>
        </w:rPr>
        <w:t>ülésén fogadta el</w:t>
      </w:r>
      <w:r w:rsidRPr="00443B57">
        <w:rPr>
          <w:i/>
        </w:rPr>
        <w:t>. Hatályos: 2016. november 03. napjától.</w:t>
      </w:r>
    </w:p>
    <w:p w14:paraId="67236071" w14:textId="77777777" w:rsidR="00BD6AF1" w:rsidRDefault="00BD6AF1" w:rsidP="00893D5B">
      <w:pPr>
        <w:pStyle w:val="Lbjegyzetszveg"/>
      </w:pPr>
    </w:p>
  </w:footnote>
  <w:footnote w:id="444">
    <w:p w14:paraId="5337BD92" w14:textId="77777777" w:rsidR="00BD6AF1" w:rsidRPr="003C18E2" w:rsidRDefault="00BD6AF1" w:rsidP="00893D5B">
      <w:pPr>
        <w:pStyle w:val="Lbjegyzetszveg"/>
        <w:jc w:val="both"/>
        <w:rPr>
          <w:i/>
        </w:rPr>
      </w:pPr>
      <w:r w:rsidRPr="003C18E2">
        <w:rPr>
          <w:rStyle w:val="Lbjegyzet-hivatkozs"/>
        </w:rPr>
        <w:footnoteRef/>
      </w:r>
      <w:r w:rsidRPr="003C18E2">
        <w:t xml:space="preserve"> </w:t>
      </w:r>
      <w:r w:rsidRPr="003C18E2">
        <w:rPr>
          <w:i/>
        </w:rPr>
        <w:t>Beépítette a Szenátus 2014. november 12-ei ülésén elfogadott módosítás. Hatályos: 2015. január 1. napjától.</w:t>
      </w:r>
    </w:p>
  </w:footnote>
  <w:footnote w:id="445">
    <w:p w14:paraId="1C7060CF" w14:textId="77777777" w:rsidR="00BD6AF1" w:rsidRPr="0065499B" w:rsidRDefault="00BD6AF1" w:rsidP="00893D5B">
      <w:pPr>
        <w:pStyle w:val="Lbjegyzetszveg"/>
        <w:jc w:val="both"/>
        <w:rPr>
          <w:i/>
        </w:rPr>
      </w:pPr>
      <w:r>
        <w:rPr>
          <w:rStyle w:val="Lbjegyzet-hivatkozs"/>
        </w:rPr>
        <w:footnoteRef/>
      </w:r>
      <w:r>
        <w:t xml:space="preserve"> </w:t>
      </w:r>
      <w:r w:rsidRPr="003353D9">
        <w:rPr>
          <w:i/>
        </w:rPr>
        <w:t>A módosítást a Szenátus 2015. május 28-ai ülésén fogadta el. Hatá</w:t>
      </w:r>
      <w:r>
        <w:rPr>
          <w:i/>
        </w:rPr>
        <w:t>lyos: 2015. május 28. napjától.</w:t>
      </w:r>
    </w:p>
  </w:footnote>
  <w:footnote w:id="446">
    <w:p w14:paraId="1E3EA5B7" w14:textId="77777777" w:rsidR="00BD6AF1" w:rsidRPr="00611734" w:rsidRDefault="00BD6AF1" w:rsidP="00893D5B">
      <w:pPr>
        <w:pStyle w:val="Lbjegyzetszveg"/>
        <w:jc w:val="both"/>
        <w:rPr>
          <w:i/>
        </w:rPr>
      </w:pPr>
      <w:r>
        <w:rPr>
          <w:rStyle w:val="Lbjegyzet-hivatkozs"/>
        </w:rPr>
        <w:footnoteRef/>
      </w:r>
      <w:r>
        <w:t xml:space="preserve"> </w:t>
      </w:r>
      <w:r w:rsidRPr="00FE7783">
        <w:rPr>
          <w:i/>
        </w:rPr>
        <w:t>A módosítást a Szenátus 2013. november 14-ei ülésén fogadta el. Hatályos: 2013. november 14. napjától.</w:t>
      </w:r>
    </w:p>
  </w:footnote>
  <w:footnote w:id="447">
    <w:p w14:paraId="64682004" w14:textId="77777777" w:rsidR="00BD6AF1" w:rsidRPr="0031114C" w:rsidRDefault="00BD6AF1" w:rsidP="00893D5B">
      <w:pPr>
        <w:pStyle w:val="Lbjegyzetszveg"/>
        <w:jc w:val="both"/>
        <w:rPr>
          <w:i/>
        </w:rPr>
      </w:pPr>
      <w:r>
        <w:rPr>
          <w:rStyle w:val="Lbjegyzet-hivatkozs"/>
        </w:rPr>
        <w:footnoteRef/>
      </w:r>
      <w:r>
        <w:t xml:space="preserve"> </w:t>
      </w:r>
      <w:r>
        <w:rPr>
          <w:i/>
        </w:rPr>
        <w:t>A módosítást a Szenátus 2012. június 28-ai ülésén fogadta el.</w:t>
      </w:r>
    </w:p>
  </w:footnote>
  <w:footnote w:id="448">
    <w:p w14:paraId="09A11EAF" w14:textId="77777777" w:rsidR="00BD6AF1" w:rsidRPr="00A2117D" w:rsidRDefault="00BD6AF1" w:rsidP="00893D5B">
      <w:pPr>
        <w:pStyle w:val="Lbjegyzetszveg"/>
        <w:rPr>
          <w:i/>
        </w:rPr>
      </w:pPr>
      <w:r w:rsidRPr="00A2117D">
        <w:rPr>
          <w:rStyle w:val="Lbjegyzet-hivatkozs"/>
        </w:rPr>
        <w:footnoteRef/>
      </w:r>
      <w:r w:rsidRPr="00A2117D">
        <w:t xml:space="preserve"> </w:t>
      </w:r>
      <w:r w:rsidRPr="00A2117D">
        <w:rPr>
          <w:i/>
        </w:rPr>
        <w:t>A módosítást a Szenátus 2015. november 12-ei ülésén fogadta el. Hatályos: 2015. november 12. napjától.</w:t>
      </w:r>
    </w:p>
  </w:footnote>
  <w:footnote w:id="449">
    <w:p w14:paraId="0522E244" w14:textId="77777777" w:rsidR="00BD6AF1" w:rsidRPr="004846E3" w:rsidRDefault="00BD6AF1" w:rsidP="00893D5B">
      <w:pPr>
        <w:pStyle w:val="Lbjegyzetszveg"/>
        <w:jc w:val="both"/>
        <w:rPr>
          <w:i/>
        </w:rPr>
      </w:pPr>
      <w:r>
        <w:rPr>
          <w:rStyle w:val="Lbjegyzet-hivatkozs"/>
        </w:rPr>
        <w:footnoteRef/>
      </w:r>
      <w:r>
        <w:t xml:space="preserve"> </w:t>
      </w:r>
      <w:r>
        <w:rPr>
          <w:i/>
        </w:rPr>
        <w:t>A módosítást a Szenátus 2018. szeptember 13-ai ülésén fogadta el. Hatályos: 2018. október 01. napjától.</w:t>
      </w:r>
    </w:p>
  </w:footnote>
  <w:footnote w:id="450">
    <w:p w14:paraId="264EF125" w14:textId="77777777" w:rsidR="00BD6AF1" w:rsidRPr="00611734"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451">
    <w:p w14:paraId="3D85D2E3" w14:textId="77777777" w:rsidR="00BD6AF1" w:rsidRDefault="00BD6AF1" w:rsidP="00893D5B">
      <w:pPr>
        <w:pStyle w:val="Lbjegyzetszveg"/>
      </w:pPr>
      <w:r>
        <w:rPr>
          <w:rStyle w:val="Lbjegyzet-hivatkozs"/>
        </w:rPr>
        <w:footnoteRef/>
      </w:r>
      <w:r>
        <w:t xml:space="preserve"> </w:t>
      </w:r>
      <w:r>
        <w:rPr>
          <w:i/>
        </w:rPr>
        <w:t>A módosítást a Szenátus 2016. március 17-ei ülésén fogadta el. Hatályos: 2016. március 17. napjától.</w:t>
      </w:r>
    </w:p>
  </w:footnote>
  <w:footnote w:id="452">
    <w:p w14:paraId="51F81C04" w14:textId="77777777" w:rsidR="00BD6AF1" w:rsidRDefault="00BD6AF1" w:rsidP="00893D5B">
      <w:pPr>
        <w:pStyle w:val="Lbjegyzetszveg"/>
      </w:pPr>
      <w:r>
        <w:rPr>
          <w:rStyle w:val="Lbjegyzet-hivatkozs"/>
        </w:rPr>
        <w:footnoteRef/>
      </w:r>
      <w:r>
        <w:t xml:space="preserve"> </w:t>
      </w:r>
      <w:r w:rsidRPr="00A12EC3">
        <w:rPr>
          <w:i/>
        </w:rPr>
        <w:t>A módosítást a Szenátus 2015. november 12-ei ülésén fogadta el. Hatályos: 2015. november 12. napjától</w:t>
      </w:r>
    </w:p>
  </w:footnote>
  <w:footnote w:id="453">
    <w:p w14:paraId="36579F38" w14:textId="77777777" w:rsidR="00BD6AF1" w:rsidRDefault="00BD6AF1" w:rsidP="00893D5B">
      <w:pPr>
        <w:pStyle w:val="Lbjegyzetszveg"/>
      </w:pPr>
      <w:r>
        <w:rPr>
          <w:rStyle w:val="Lbjegyzet-hivatkozs"/>
        </w:rPr>
        <w:footnoteRef/>
      </w:r>
      <w:r>
        <w:t xml:space="preserve"> </w:t>
      </w:r>
      <w:r w:rsidRPr="00483D42">
        <w:rPr>
          <w:i/>
        </w:rPr>
        <w:t>A módosítást a Szenátus 2015. november 12-ei ülésén fogadta el. Hatályos: 2015. november 12. napjától</w:t>
      </w:r>
    </w:p>
  </w:footnote>
  <w:footnote w:id="454">
    <w:p w14:paraId="5A83F20C" w14:textId="77777777" w:rsidR="00BD6AF1" w:rsidRPr="0038281D" w:rsidRDefault="00BD6AF1" w:rsidP="00893D5B">
      <w:pPr>
        <w:pStyle w:val="Lbjegyzetszveg"/>
        <w:jc w:val="both"/>
        <w:rPr>
          <w:i/>
        </w:rPr>
      </w:pPr>
      <w:r>
        <w:rPr>
          <w:rStyle w:val="Lbjegyzet-hivatkozs"/>
        </w:rPr>
        <w:footnoteRef/>
      </w:r>
      <w:r>
        <w:t xml:space="preserve"> </w:t>
      </w:r>
      <w:r>
        <w:rPr>
          <w:i/>
        </w:rPr>
        <w:t>A módosítást a Szenátus 2013. február 11-ei ülésén fogadta el. Hatályos: 2013. február 11. napjától.</w:t>
      </w:r>
    </w:p>
  </w:footnote>
  <w:footnote w:id="455">
    <w:p w14:paraId="12E993DF" w14:textId="77777777" w:rsidR="00BD6AF1" w:rsidRPr="005A2795" w:rsidRDefault="00BD6AF1" w:rsidP="00893D5B">
      <w:pPr>
        <w:pStyle w:val="Lbjegyzetszveg"/>
        <w:jc w:val="both"/>
        <w:rPr>
          <w:i/>
        </w:rPr>
      </w:pPr>
      <w:r>
        <w:rPr>
          <w:rStyle w:val="Lbjegyzet-hivatkozs"/>
        </w:rPr>
        <w:footnoteRef/>
      </w:r>
      <w:r>
        <w:t xml:space="preserve"> </w:t>
      </w:r>
      <w:r>
        <w:rPr>
          <w:i/>
        </w:rPr>
        <w:t>A módosítást a Szenátus 2014. december 18-ai ülésén fogadta el. Hatályos: 2014. december 18. napjától.</w:t>
      </w:r>
    </w:p>
  </w:footnote>
  <w:footnote w:id="456">
    <w:p w14:paraId="25DA9FDD" w14:textId="77777777" w:rsidR="00BD6AF1" w:rsidRDefault="00BD6AF1" w:rsidP="00893D5B">
      <w:pPr>
        <w:pStyle w:val="Lbjegyzetszveg"/>
      </w:pPr>
      <w:r>
        <w:rPr>
          <w:rStyle w:val="Lbjegyzet-hivatkozs"/>
        </w:rPr>
        <w:footnoteRef/>
      </w:r>
      <w:r>
        <w:t xml:space="preserve"> </w:t>
      </w:r>
      <w:r>
        <w:rPr>
          <w:i/>
        </w:rPr>
        <w:t>A módosítást a Szenátus 2015. december 17-e</w:t>
      </w:r>
      <w:r w:rsidRPr="00084B23">
        <w:rPr>
          <w:i/>
        </w:rPr>
        <w:t>i ü</w:t>
      </w:r>
      <w:r>
        <w:rPr>
          <w:i/>
        </w:rPr>
        <w:t>lésén fogadta el. Hatályos: 2015. december 17</w:t>
      </w:r>
      <w:r w:rsidRPr="00084B23">
        <w:rPr>
          <w:i/>
        </w:rPr>
        <w:t>. napjától.</w:t>
      </w:r>
    </w:p>
  </w:footnote>
  <w:footnote w:id="457">
    <w:p w14:paraId="4F33B08F" w14:textId="77777777" w:rsidR="00BD6AF1" w:rsidRPr="001456C6" w:rsidRDefault="00BD6AF1" w:rsidP="00893D5B">
      <w:pPr>
        <w:pStyle w:val="Lbjegyzetszveg"/>
        <w:rPr>
          <w:i/>
        </w:rPr>
      </w:pPr>
      <w:r w:rsidRPr="001456C6">
        <w:rPr>
          <w:rStyle w:val="Lbjegyzet-hivatkozs"/>
        </w:rPr>
        <w:footnoteRef/>
      </w:r>
      <w:r w:rsidRPr="001456C6">
        <w:t xml:space="preserve"> </w:t>
      </w:r>
      <w:r w:rsidRPr="001456C6">
        <w:rPr>
          <w:i/>
        </w:rPr>
        <w:t>Hatályon kívül helyezte a Szenátus 2016. december 15-ei ülésén elfogadott módosítás.</w:t>
      </w:r>
    </w:p>
  </w:footnote>
  <w:footnote w:id="458">
    <w:p w14:paraId="0D093E89" w14:textId="77777777" w:rsidR="00BD6AF1" w:rsidRDefault="00BD6AF1" w:rsidP="00893D5B">
      <w:pPr>
        <w:pStyle w:val="Lbjegyzetszveg"/>
      </w:pPr>
      <w:r>
        <w:rPr>
          <w:rStyle w:val="Lbjegyzet-hivatkozs"/>
        </w:rPr>
        <w:footnoteRef/>
      </w:r>
      <w:r>
        <w:t xml:space="preserve"> </w:t>
      </w:r>
      <w:r>
        <w:rPr>
          <w:i/>
        </w:rPr>
        <w:t>A módosítást a Szenátus 2015. december 17-e</w:t>
      </w:r>
      <w:r w:rsidRPr="00084B23">
        <w:rPr>
          <w:i/>
        </w:rPr>
        <w:t>i ü</w:t>
      </w:r>
      <w:r>
        <w:rPr>
          <w:i/>
        </w:rPr>
        <w:t>lésén fogadta el. Hatályos: 2015. december 17</w:t>
      </w:r>
      <w:r w:rsidRPr="00084B23">
        <w:rPr>
          <w:i/>
        </w:rPr>
        <w:t>. napjától.</w:t>
      </w:r>
    </w:p>
  </w:footnote>
  <w:footnote w:id="459">
    <w:p w14:paraId="36B0C66B" w14:textId="77777777" w:rsidR="00BD6AF1" w:rsidRPr="00410C4A" w:rsidRDefault="00BD6AF1" w:rsidP="00893D5B">
      <w:pPr>
        <w:pStyle w:val="Lbjegyzetszveg"/>
        <w:jc w:val="both"/>
        <w:rPr>
          <w:i/>
        </w:rPr>
      </w:pPr>
      <w:r>
        <w:rPr>
          <w:rStyle w:val="Lbjegyzet-hivatkozs"/>
        </w:rPr>
        <w:footnoteRef/>
      </w:r>
      <w:r>
        <w:rPr>
          <w:i/>
        </w:rPr>
        <w:t>A módosítást a Szenátus 2008. február 28-ai ülésén fogadta el. Hatályos: 2008. február 28. napjától.</w:t>
      </w:r>
    </w:p>
  </w:footnote>
  <w:footnote w:id="460">
    <w:p w14:paraId="36B8B6A3" w14:textId="77777777" w:rsidR="00BD6AF1" w:rsidRPr="00050DD1" w:rsidRDefault="00BD6AF1" w:rsidP="00893D5B">
      <w:pPr>
        <w:pStyle w:val="Lbjegyzetszveg"/>
        <w:jc w:val="both"/>
        <w:rPr>
          <w:i/>
        </w:rPr>
      </w:pPr>
      <w:r>
        <w:rPr>
          <w:rStyle w:val="Lbjegyzet-hivatkozs"/>
        </w:rPr>
        <w:footnoteRef/>
      </w:r>
      <w:r>
        <w:t xml:space="preserve"> </w:t>
      </w:r>
      <w:r>
        <w:rPr>
          <w:i/>
        </w:rPr>
        <w:t>Beépítette a Szenátus 2009. december 10-ei ülésén elfogadott módosítás.</w:t>
      </w:r>
    </w:p>
  </w:footnote>
  <w:footnote w:id="461">
    <w:p w14:paraId="674354CB" w14:textId="77777777" w:rsidR="00BD6AF1" w:rsidRDefault="00BD6AF1" w:rsidP="00893D5B">
      <w:pPr>
        <w:pStyle w:val="Lbjegyzetszveg"/>
      </w:pPr>
      <w:r>
        <w:rPr>
          <w:rStyle w:val="Lbjegyzet-hivatkozs"/>
        </w:rPr>
        <w:footnoteRef/>
      </w:r>
      <w:r>
        <w:t xml:space="preserve"> </w:t>
      </w:r>
      <w:r w:rsidRPr="00763305">
        <w:rPr>
          <w:i/>
        </w:rPr>
        <w:t>Beépítette a Szenátus 2017. június 22-ei ülésén elfogadott módosítás. Hatályos 2017. június 23. napjától.</w:t>
      </w:r>
    </w:p>
  </w:footnote>
  <w:footnote w:id="462">
    <w:p w14:paraId="1D18D7D3" w14:textId="77777777" w:rsidR="00BD6AF1" w:rsidRPr="00D31735" w:rsidRDefault="00BD6AF1" w:rsidP="00893D5B">
      <w:pPr>
        <w:pStyle w:val="Lbjegyzetszveg"/>
        <w:jc w:val="both"/>
        <w:rPr>
          <w:i/>
        </w:rPr>
      </w:pPr>
      <w:r>
        <w:rPr>
          <w:rStyle w:val="Lbjegyzet-hivatkozs"/>
        </w:rPr>
        <w:footnoteRef/>
      </w:r>
      <w:r>
        <w:t xml:space="preserve"> </w:t>
      </w:r>
      <w:r>
        <w:rPr>
          <w:i/>
        </w:rPr>
        <w:t>Beépítette a Szenátus 2011. május 19-ei ülésén elfogadott módosítás. Hatályos: 2011. május 19. napjától.</w:t>
      </w:r>
    </w:p>
  </w:footnote>
  <w:footnote w:id="463">
    <w:p w14:paraId="5D1C7897" w14:textId="77777777" w:rsidR="00BD6AF1" w:rsidRPr="002F1E5A" w:rsidRDefault="00BD6AF1" w:rsidP="00893D5B">
      <w:pPr>
        <w:pStyle w:val="Lbjegyzetszveg"/>
        <w:jc w:val="both"/>
        <w:rPr>
          <w:i/>
        </w:rPr>
      </w:pPr>
      <w:r>
        <w:rPr>
          <w:rStyle w:val="Lbjegyzet-hivatkozs"/>
        </w:rPr>
        <w:footnoteRef/>
      </w:r>
      <w:r>
        <w:t xml:space="preserve"> </w:t>
      </w:r>
      <w:r w:rsidRPr="001D4A53">
        <w:rPr>
          <w:i/>
        </w:rPr>
        <w:t>A módosítást a Szenátus 201</w:t>
      </w:r>
      <w:r>
        <w:rPr>
          <w:i/>
        </w:rPr>
        <w:t>9</w:t>
      </w:r>
      <w:r w:rsidRPr="001D4A53">
        <w:rPr>
          <w:i/>
        </w:rPr>
        <w:t xml:space="preserve">. </w:t>
      </w:r>
      <w:r>
        <w:rPr>
          <w:i/>
        </w:rPr>
        <w:t>szeptember 26</w:t>
      </w:r>
      <w:r w:rsidRPr="001D4A53">
        <w:rPr>
          <w:i/>
        </w:rPr>
        <w:t xml:space="preserve">-ai ülésén fogadta el. Hatályos </w:t>
      </w:r>
      <w:r>
        <w:rPr>
          <w:i/>
        </w:rPr>
        <w:t>2019. szeptember 26.</w:t>
      </w:r>
      <w:r w:rsidRPr="001D4A53">
        <w:rPr>
          <w:i/>
        </w:rPr>
        <w:t xml:space="preserve"> napjától.</w:t>
      </w:r>
    </w:p>
  </w:footnote>
  <w:footnote w:id="464">
    <w:p w14:paraId="284B28E0" w14:textId="77777777" w:rsidR="00BD6AF1" w:rsidRPr="00D05064" w:rsidRDefault="00BD6AF1" w:rsidP="00893D5B">
      <w:pPr>
        <w:pStyle w:val="Lbjegyzetszveg"/>
        <w:jc w:val="both"/>
        <w:rPr>
          <w:i/>
        </w:rPr>
      </w:pPr>
      <w:r w:rsidRPr="00D05064">
        <w:rPr>
          <w:rStyle w:val="Lbjegyzet-hivatkozs"/>
          <w:i/>
        </w:rPr>
        <w:footnoteRef/>
      </w:r>
      <w:r w:rsidRPr="00D05064">
        <w:rPr>
          <w:i/>
        </w:rPr>
        <w:t xml:space="preserve"> Beépítette a 2007. május 17-ei szenátusi ülésen elfogadott módosítás. Hatályos: 2007. május 17. napjától.</w:t>
      </w:r>
    </w:p>
  </w:footnote>
  <w:footnote w:id="465">
    <w:p w14:paraId="666BE20E" w14:textId="77777777" w:rsidR="00BD6AF1" w:rsidRPr="00834360" w:rsidRDefault="00BD6AF1" w:rsidP="00893D5B">
      <w:pPr>
        <w:pStyle w:val="Lbjegyzetszveg"/>
        <w:jc w:val="both"/>
        <w:rPr>
          <w:i/>
        </w:rPr>
      </w:pPr>
      <w:r>
        <w:rPr>
          <w:rStyle w:val="Lbjegyzet-hivatkozs"/>
        </w:rPr>
        <w:footnoteRef/>
      </w:r>
      <w:r>
        <w:t xml:space="preserve"> </w:t>
      </w:r>
      <w:r>
        <w:rPr>
          <w:i/>
        </w:rPr>
        <w:t>Beépítette a Szenátus 2009. április 9-ei ülésén elfogadott módosítás. Hatályos: 2009. április 9. napjától.</w:t>
      </w:r>
    </w:p>
  </w:footnote>
  <w:footnote w:id="466">
    <w:p w14:paraId="53CC1444" w14:textId="77777777" w:rsidR="00BD6AF1" w:rsidRPr="008B14F4" w:rsidRDefault="00BD6AF1" w:rsidP="00893D5B">
      <w:pPr>
        <w:pStyle w:val="Lbjegyzetszveg"/>
        <w:jc w:val="both"/>
        <w:rPr>
          <w:i/>
        </w:rPr>
      </w:pPr>
      <w:r>
        <w:rPr>
          <w:rStyle w:val="Lbjegyzet-hivatkozs"/>
        </w:rPr>
        <w:footnoteRef/>
      </w:r>
      <w:r>
        <w:t xml:space="preserve"> </w:t>
      </w:r>
      <w:r>
        <w:rPr>
          <w:i/>
        </w:rPr>
        <w:t>Beépítette a Szenátus 2013. november 14-ei ülésén elfogadott módosítás. Hatályos: 2013. november 14. napjától.</w:t>
      </w:r>
    </w:p>
  </w:footnote>
  <w:footnote w:id="467">
    <w:p w14:paraId="57326518" w14:textId="77777777" w:rsidR="00BD6AF1" w:rsidRDefault="00BD6AF1" w:rsidP="00893D5B">
      <w:pPr>
        <w:pStyle w:val="Lbjegyzetszveg"/>
      </w:pPr>
      <w:r>
        <w:rPr>
          <w:rStyle w:val="Lbjegyzet-hivatkozs"/>
        </w:rPr>
        <w:footnoteRef/>
      </w:r>
      <w:r>
        <w:t xml:space="preserve"> </w:t>
      </w:r>
      <w:r>
        <w:rPr>
          <w:i/>
        </w:rPr>
        <w:t>Beépítette a Szenátus 2016. március 17-ei ülésén elfogadott módosítás. Hatályos: 2016. március 17. napjától.</w:t>
      </w:r>
    </w:p>
  </w:footnote>
  <w:footnote w:id="468">
    <w:p w14:paraId="435D353E" w14:textId="77777777" w:rsidR="00BD6AF1" w:rsidRPr="00FA5A36" w:rsidRDefault="00BD6AF1" w:rsidP="00893D5B">
      <w:pPr>
        <w:contextualSpacing/>
        <w:jc w:val="both"/>
        <w:rPr>
          <w:i/>
          <w:sz w:val="20"/>
          <w:szCs w:val="20"/>
        </w:rPr>
      </w:pPr>
      <w:r w:rsidRPr="00FA5A36">
        <w:rPr>
          <w:rStyle w:val="Lbjegyzet-hivatkozs"/>
          <w:sz w:val="20"/>
        </w:rPr>
        <w:footnoteRef/>
      </w:r>
      <w:r w:rsidRPr="00FA5A36">
        <w:rPr>
          <w:sz w:val="20"/>
        </w:rPr>
        <w:t xml:space="preserve"> </w:t>
      </w:r>
      <w:r>
        <w:rPr>
          <w:i/>
          <w:sz w:val="20"/>
          <w:szCs w:val="20"/>
        </w:rPr>
        <w:t>Beépítette a</w:t>
      </w:r>
      <w:r w:rsidRPr="00596464">
        <w:rPr>
          <w:i/>
          <w:sz w:val="20"/>
          <w:szCs w:val="20"/>
        </w:rPr>
        <w:t xml:space="preserve"> Szenátus 2019. június 27-ei ülésén elfogadott módosítás</w:t>
      </w:r>
      <w:r>
        <w:rPr>
          <w:i/>
          <w:sz w:val="20"/>
          <w:szCs w:val="20"/>
        </w:rPr>
        <w:t xml:space="preserve">. </w:t>
      </w:r>
      <w:r w:rsidRPr="00596464">
        <w:rPr>
          <w:i/>
          <w:sz w:val="20"/>
          <w:szCs w:val="20"/>
        </w:rPr>
        <w:t>Hatályos: 2019. július 1. napjától.</w:t>
      </w:r>
    </w:p>
  </w:footnote>
  <w:footnote w:id="469">
    <w:p w14:paraId="69D05819" w14:textId="77777777" w:rsidR="00BD6AF1" w:rsidRPr="006110DE" w:rsidRDefault="00BD6AF1" w:rsidP="00893D5B">
      <w:pPr>
        <w:pStyle w:val="Lbjegyzetszveg"/>
        <w:jc w:val="both"/>
        <w:rPr>
          <w:i/>
        </w:rPr>
      </w:pPr>
      <w:r>
        <w:rPr>
          <w:rStyle w:val="Lbjegyzet-hivatkozs"/>
        </w:rPr>
        <w:footnoteRef/>
      </w:r>
      <w:r>
        <w:t xml:space="preserve"> </w:t>
      </w:r>
      <w:r>
        <w:rPr>
          <w:i/>
        </w:rPr>
        <w:t>Kiegészítette</w:t>
      </w:r>
      <w:r w:rsidRPr="001D4A53">
        <w:rPr>
          <w:i/>
        </w:rPr>
        <w:t xml:space="preserve"> a Szenátus 201</w:t>
      </w:r>
      <w:r>
        <w:rPr>
          <w:i/>
        </w:rPr>
        <w:t>9</w:t>
      </w:r>
      <w:r w:rsidRPr="001D4A53">
        <w:rPr>
          <w:i/>
        </w:rPr>
        <w:t xml:space="preserve">. </w:t>
      </w:r>
      <w:r>
        <w:rPr>
          <w:i/>
        </w:rPr>
        <w:t>szeptember 26</w:t>
      </w:r>
      <w:r w:rsidRPr="001D4A53">
        <w:rPr>
          <w:i/>
        </w:rPr>
        <w:t xml:space="preserve">-ai ülésén elfogadott módosítás. Hatályos: </w:t>
      </w:r>
      <w:r>
        <w:rPr>
          <w:i/>
        </w:rPr>
        <w:t>2019. szeptember 26.</w:t>
      </w:r>
      <w:r w:rsidRPr="001D4A53">
        <w:rPr>
          <w:i/>
        </w:rPr>
        <w:t xml:space="preserve"> napjától.</w:t>
      </w:r>
    </w:p>
  </w:footnote>
  <w:footnote w:id="470">
    <w:p w14:paraId="142EF126" w14:textId="77777777" w:rsidR="008A07C4" w:rsidRPr="00BE4BDD" w:rsidRDefault="008A07C4" w:rsidP="008A07C4">
      <w:pPr>
        <w:pStyle w:val="Lbjegyzetszveg"/>
        <w:jc w:val="both"/>
        <w:rPr>
          <w:i/>
        </w:rPr>
      </w:pPr>
      <w:r>
        <w:rPr>
          <w:rStyle w:val="Lbjegyzet-hivatkozs"/>
        </w:rPr>
        <w:footnoteRef/>
      </w:r>
      <w:r>
        <w:t xml:space="preserve"> </w:t>
      </w:r>
      <w:r>
        <w:rPr>
          <w:i/>
        </w:rPr>
        <w:t>Beépítette a Szenátus 2020. december 30-ai rendkívüli online ülését követő elektronikus döntéshozatali eljárásban elfogadott módosítás. Hatályos: 2021. január 01. napjától. A módosítás a veszélyhelyzet megszűnését követő napon hatályát veszti.</w:t>
      </w:r>
    </w:p>
    <w:p w14:paraId="6F520822" w14:textId="0DAC6F52" w:rsidR="008A07C4" w:rsidRDefault="008A07C4">
      <w:pPr>
        <w:pStyle w:val="Lbjegyzetszveg"/>
      </w:pPr>
    </w:p>
  </w:footnote>
  <w:footnote w:id="471">
    <w:p w14:paraId="78D0A958" w14:textId="77777777" w:rsidR="00BD6AF1" w:rsidRPr="006110DE" w:rsidRDefault="00BD6AF1" w:rsidP="00FD0545">
      <w:pPr>
        <w:pStyle w:val="Lbjegyzetszveg"/>
        <w:jc w:val="both"/>
      </w:pPr>
      <w:r>
        <w:rPr>
          <w:rStyle w:val="Lbjegyzet-hivatkozs"/>
        </w:rPr>
        <w:footnoteRef/>
      </w:r>
      <w:r>
        <w:t xml:space="preserve"> </w:t>
      </w:r>
      <w:r w:rsidRPr="006110DE">
        <w:rPr>
          <w:i/>
        </w:rPr>
        <w:t xml:space="preserve">A korábbi 1. számú mellékletet hatályon kívül helyezte a Szenátus 2016. március 17-ei ülésén elfogadott módosítás. Hatálytalan: 2016. március 17. napjától. Az 1/1.-1/10. számú mellékleteket </w:t>
      </w:r>
      <w:r>
        <w:t>b</w:t>
      </w:r>
      <w:r w:rsidRPr="001D4A53">
        <w:rPr>
          <w:i/>
        </w:rPr>
        <w:t>eépítette a Szenátus 201</w:t>
      </w:r>
      <w:r>
        <w:rPr>
          <w:i/>
        </w:rPr>
        <w:t>9</w:t>
      </w:r>
      <w:r w:rsidRPr="001D4A53">
        <w:rPr>
          <w:i/>
        </w:rPr>
        <w:t xml:space="preserve">. </w:t>
      </w:r>
      <w:r>
        <w:rPr>
          <w:i/>
        </w:rPr>
        <w:t>szeptember 26</w:t>
      </w:r>
      <w:r w:rsidRPr="001D4A53">
        <w:rPr>
          <w:i/>
        </w:rPr>
        <w:t xml:space="preserve">-ai ülésén elfogadott módosítás. Hatályos: </w:t>
      </w:r>
      <w:r>
        <w:rPr>
          <w:i/>
        </w:rPr>
        <w:t>2019. szeptember 26.</w:t>
      </w:r>
      <w:r w:rsidRPr="001D4A53">
        <w:rPr>
          <w:i/>
        </w:rPr>
        <w:t xml:space="preserve"> napjától.</w:t>
      </w:r>
    </w:p>
    <w:p w14:paraId="77FD953E" w14:textId="77777777" w:rsidR="00BD6AF1" w:rsidRDefault="00BD6AF1" w:rsidP="00FD0545">
      <w:pPr>
        <w:pStyle w:val="Lbjegyzetszveg"/>
      </w:pPr>
    </w:p>
  </w:footnote>
  <w:footnote w:id="472">
    <w:p w14:paraId="56536A87" w14:textId="77777777" w:rsidR="00BD6AF1" w:rsidRDefault="00BD6AF1" w:rsidP="00A037FC">
      <w:pPr>
        <w:pStyle w:val="Lbjegyzetszveg"/>
        <w:jc w:val="both"/>
      </w:pPr>
      <w:r>
        <w:rPr>
          <w:rStyle w:val="Lbjegyzet-hivatkozs"/>
        </w:rPr>
        <w:footnoteRef/>
      </w:r>
      <w:r>
        <w:t xml:space="preserve"> </w:t>
      </w:r>
      <w:r w:rsidRPr="0026501E">
        <w:rPr>
          <w:i/>
        </w:rPr>
        <w:t xml:space="preserve">A Bölcsészettudományi Kar névváltoztatását Bölcsészet- és Társadalomtudományi Karra a Szenátus 61/2020. (04.29.) sz. elektronikus úton hozott határozatával elfogadta. A névváltoztatás </w:t>
      </w:r>
      <w:r>
        <w:rPr>
          <w:i/>
        </w:rPr>
        <w:t xml:space="preserve">2020. augusztus </w:t>
      </w:r>
      <w:r w:rsidRPr="0026501E">
        <w:rPr>
          <w:i/>
        </w:rPr>
        <w:t>1</w:t>
      </w:r>
      <w:r>
        <w:rPr>
          <w:i/>
        </w:rPr>
        <w:t>.</w:t>
      </w:r>
      <w:r w:rsidRPr="0026501E">
        <w:rPr>
          <w:i/>
        </w:rPr>
        <w:t xml:space="preserve"> napjától hatályos.</w:t>
      </w:r>
    </w:p>
  </w:footnote>
  <w:footnote w:id="473">
    <w:p w14:paraId="592A9263" w14:textId="77777777" w:rsidR="00BD6AF1" w:rsidRDefault="00BD6AF1" w:rsidP="00934AB0">
      <w:pPr>
        <w:pStyle w:val="Lbjegyzetszveg"/>
        <w:jc w:val="both"/>
      </w:pPr>
      <w:r>
        <w:rPr>
          <w:rStyle w:val="Lbjegyzet-hivatkozs"/>
        </w:rPr>
        <w:footnoteRef/>
      </w:r>
      <w:r>
        <w:t xml:space="preserve"> </w:t>
      </w:r>
      <w:r w:rsidRPr="002B6307">
        <w:t xml:space="preserve">A melléklet átfogó módosítását az Oktatási Bizottság </w:t>
      </w:r>
      <w:r w:rsidRPr="002B6307">
        <w:rPr>
          <w:rStyle w:val="normaltextrun"/>
          <w:bCs/>
        </w:rPr>
        <w:t>45/2020. (04.16.) számú határozatával hagyta jóvá. A módosított melléklet 2020. július 1. napjával hatályos és először a 2020/2021. tanév vonatkozásában alkalmazandó.</w:t>
      </w:r>
    </w:p>
  </w:footnote>
  <w:footnote w:id="474">
    <w:p w14:paraId="513EB588" w14:textId="77777777" w:rsidR="00BD6AF1" w:rsidRDefault="00BD6AF1" w:rsidP="002B6307">
      <w:pPr>
        <w:pStyle w:val="Lbjegyzetszveg"/>
        <w:jc w:val="both"/>
      </w:pPr>
      <w:r>
        <w:rPr>
          <w:rStyle w:val="Lbjegyzet-hivatkozs"/>
        </w:rPr>
        <w:footnoteRef/>
      </w:r>
      <w:r>
        <w:t xml:space="preserve"> </w:t>
      </w:r>
      <w:r w:rsidRPr="002B6307">
        <w:t xml:space="preserve">A melléklet átfogó módosítását az Oktatási Bizottság </w:t>
      </w:r>
      <w:r w:rsidRPr="002B6307">
        <w:rPr>
          <w:rStyle w:val="normaltextrun"/>
          <w:bCs/>
        </w:rPr>
        <w:t>4</w:t>
      </w:r>
      <w:r>
        <w:rPr>
          <w:rStyle w:val="normaltextrun"/>
          <w:bCs/>
        </w:rPr>
        <w:t>4</w:t>
      </w:r>
      <w:r w:rsidRPr="002B6307">
        <w:rPr>
          <w:rStyle w:val="normaltextrun"/>
          <w:bCs/>
        </w:rPr>
        <w:t>/2020. (04.16.) számú határozatával hagyta jóvá. A módosított melléklet 2020. július 1. napjával hatályos és először a 2020/2021. tanév vonatkozásában alkalmazandó.</w:t>
      </w:r>
    </w:p>
  </w:footnote>
  <w:footnote w:id="475">
    <w:p w14:paraId="6DC70CE0" w14:textId="77777777" w:rsidR="00BD6AF1" w:rsidRDefault="00BD6AF1">
      <w:pPr>
        <w:pStyle w:val="Lbjegyzetszveg"/>
      </w:pPr>
      <w:r>
        <w:rPr>
          <w:rStyle w:val="Lbjegyzet-hivatkozs"/>
        </w:rPr>
        <w:footnoteRef/>
      </w:r>
      <w:r>
        <w:t xml:space="preserve"> A harmadik mondatot beiktatta a 2020. július 3. napjától hatályos módosítás.</w:t>
      </w:r>
    </w:p>
  </w:footnote>
  <w:footnote w:id="476">
    <w:p w14:paraId="0845F1DA" w14:textId="77777777" w:rsidR="00BD6AF1" w:rsidRDefault="00BD6AF1">
      <w:pPr>
        <w:pStyle w:val="Lbjegyzetszveg"/>
      </w:pPr>
      <w:r>
        <w:rPr>
          <w:rStyle w:val="Lbjegyzet-hivatkozs"/>
        </w:rPr>
        <w:footnoteRef/>
      </w:r>
      <w:r>
        <w:t xml:space="preserve"> Kiegészítette a 2020. július 3. napjától hatályos módosítás.</w:t>
      </w:r>
    </w:p>
  </w:footnote>
  <w:footnote w:id="477">
    <w:p w14:paraId="7E5BF110" w14:textId="77777777" w:rsidR="00BD6AF1" w:rsidRDefault="00BD6AF1">
      <w:pPr>
        <w:pStyle w:val="Lbjegyzetszveg"/>
      </w:pPr>
      <w:r>
        <w:rPr>
          <w:rStyle w:val="Lbjegyzet-hivatkozs"/>
        </w:rPr>
        <w:footnoteRef/>
      </w:r>
      <w:r>
        <w:t xml:space="preserve"> Beiktatta a 2020. július 3. napjától hatályos módosítás.</w:t>
      </w:r>
    </w:p>
  </w:footnote>
  <w:footnote w:id="478">
    <w:p w14:paraId="283BEDD9" w14:textId="77777777" w:rsidR="00BD6AF1" w:rsidRDefault="00BD6AF1">
      <w:pPr>
        <w:pStyle w:val="Lbjegyzetszveg"/>
      </w:pPr>
      <w:r>
        <w:rPr>
          <w:rStyle w:val="Lbjegyzet-hivatkozs"/>
        </w:rPr>
        <w:footnoteRef/>
      </w:r>
      <w:r>
        <w:t xml:space="preserve"> Beiktatta a 2020. július 3. napjától hatályos módosítás.</w:t>
      </w:r>
    </w:p>
  </w:footnote>
  <w:footnote w:id="479">
    <w:p w14:paraId="1E205B33" w14:textId="77777777" w:rsidR="00BD6AF1" w:rsidRDefault="00BD6AF1">
      <w:pPr>
        <w:pStyle w:val="Lbjegyzetszveg"/>
      </w:pPr>
      <w:r>
        <w:rPr>
          <w:rStyle w:val="Lbjegyzet-hivatkozs"/>
        </w:rPr>
        <w:footnoteRef/>
      </w:r>
      <w:r>
        <w:t xml:space="preserve"> Beiktatta a 2020. július 3. napjától hatályos módosítás.</w:t>
      </w:r>
    </w:p>
  </w:footnote>
  <w:footnote w:id="480">
    <w:p w14:paraId="0E4C2291" w14:textId="77777777" w:rsidR="00E66932" w:rsidRDefault="00E66932" w:rsidP="00E66932">
      <w:pPr>
        <w:pStyle w:val="Lbjegyzetszveg"/>
        <w:jc w:val="both"/>
      </w:pPr>
      <w:r>
        <w:rPr>
          <w:rStyle w:val="Lbjegyzet-hivatkozs"/>
        </w:rPr>
        <w:footnoteRef/>
      </w:r>
      <w:r>
        <w:t xml:space="preserve"> </w:t>
      </w:r>
      <w:r w:rsidRPr="002B6307">
        <w:t xml:space="preserve">A melléklet átfogó módosítását az Oktatási Bizottság </w:t>
      </w:r>
      <w:r w:rsidRPr="00472194">
        <w:t>65/2021. (06.02.)  számú határozatával hagyta jóvá. A módosított melléklet először a 2020/2021. tanév vonatkozásában alkalmazandó azzal, hogy a 2020/2021. tanévi teljesítmény tekintetében, a 2021. évi minősítés eredményéhez kapcsolódóan nem alkalmazhatók hátrányos jogkövetkezmények.</w:t>
      </w:r>
    </w:p>
  </w:footnote>
  <w:footnote w:id="481">
    <w:p w14:paraId="52224F13" w14:textId="77777777" w:rsidR="001B6E1C" w:rsidRPr="00BD31CD" w:rsidRDefault="001B6E1C" w:rsidP="001B6E1C">
      <w:pPr>
        <w:pStyle w:val="Lbjegyzetszveg"/>
        <w:rPr>
          <w:b/>
        </w:rPr>
      </w:pPr>
      <w:r>
        <w:rPr>
          <w:rStyle w:val="Lbjegyzet-hivatkozs"/>
        </w:rPr>
        <w:footnoteRef/>
      </w:r>
      <w:r>
        <w:t xml:space="preserve"> Kiegészítette a 2020. szeptember 15. napjától hatályos módosítás.</w:t>
      </w:r>
    </w:p>
  </w:footnote>
  <w:footnote w:id="482">
    <w:p w14:paraId="09407EEC" w14:textId="77777777" w:rsidR="001B6E1C" w:rsidRDefault="001B6E1C" w:rsidP="001B6E1C">
      <w:pPr>
        <w:pStyle w:val="Lbjegyzetszveg"/>
      </w:pPr>
      <w:r>
        <w:rPr>
          <w:rStyle w:val="Lbjegyzet-hivatkozs"/>
        </w:rPr>
        <w:footnoteRef/>
      </w:r>
      <w:r>
        <w:t xml:space="preserve"> A felsorolás sorrendjét módosította a 2020. szeptember 15. napjától hatályos módosítás.</w:t>
      </w:r>
    </w:p>
  </w:footnote>
  <w:footnote w:id="483">
    <w:p w14:paraId="0A51D03F" w14:textId="77777777" w:rsidR="001B6E1C" w:rsidRDefault="001B6E1C" w:rsidP="001B6E1C">
      <w:pPr>
        <w:pStyle w:val="Lbjegyzetszveg"/>
      </w:pPr>
      <w:r>
        <w:rPr>
          <w:rStyle w:val="Lbjegyzet-hivatkozs"/>
        </w:rPr>
        <w:footnoteRef/>
      </w:r>
      <w:r>
        <w:t xml:space="preserve"> Az eredeti 6. § szövegét hatályon kívül helyezte és az megállapított új szöveggel egyidejűleg a szabályzat számozását módosította a 2020. szeptember 15. napjától hatályos módosítás.</w:t>
      </w:r>
    </w:p>
  </w:footnote>
  <w:footnote w:id="484">
    <w:p w14:paraId="7FAEB050" w14:textId="77777777" w:rsidR="001B6E1C" w:rsidRDefault="001B6E1C" w:rsidP="001B6E1C">
      <w:pPr>
        <w:pStyle w:val="Lbjegyzetszveg"/>
      </w:pPr>
      <w:r>
        <w:rPr>
          <w:rStyle w:val="Lbjegyzet-hivatkozs"/>
        </w:rPr>
        <w:footnoteRef/>
      </w:r>
      <w:r>
        <w:t xml:space="preserve"> Kiegészítette a 2020. szeptember 15. napjától hatályos módosítás.</w:t>
      </w:r>
    </w:p>
  </w:footnote>
  <w:footnote w:id="485">
    <w:p w14:paraId="6BAEEC70" w14:textId="77777777" w:rsidR="001B6E1C" w:rsidRDefault="001B6E1C" w:rsidP="001B6E1C">
      <w:pPr>
        <w:pStyle w:val="Lbjegyzetszveg"/>
      </w:pPr>
      <w:r>
        <w:rPr>
          <w:rStyle w:val="Lbjegyzet-hivatkozs"/>
        </w:rPr>
        <w:footnoteRef/>
      </w:r>
      <w:r>
        <w:t xml:space="preserve"> Módosította a 2020. szeptember 15. napjától hatályos módosítás.</w:t>
      </w:r>
    </w:p>
  </w:footnote>
  <w:footnote w:id="486">
    <w:p w14:paraId="30B17CCC" w14:textId="77777777" w:rsidR="001B6E1C" w:rsidRDefault="001B6E1C" w:rsidP="001B6E1C">
      <w:pPr>
        <w:pStyle w:val="Lbjegyzetszveg"/>
      </w:pPr>
      <w:r>
        <w:rPr>
          <w:rStyle w:val="Lbjegyzet-hivatkozs"/>
        </w:rPr>
        <w:footnoteRef/>
      </w:r>
      <w:r>
        <w:t xml:space="preserve"> Az utolsó mondatot törölte a 2020. szeptember 15. napjától hatályos módosítás.</w:t>
      </w:r>
    </w:p>
  </w:footnote>
  <w:footnote w:id="487">
    <w:p w14:paraId="240D7E8B" w14:textId="77777777" w:rsidR="001B6E1C" w:rsidRDefault="001B6E1C" w:rsidP="001B6E1C">
      <w:pPr>
        <w:pStyle w:val="Lbjegyzetszveg"/>
      </w:pPr>
      <w:r>
        <w:rPr>
          <w:rStyle w:val="Lbjegyzet-hivatkozs"/>
        </w:rPr>
        <w:footnoteRef/>
      </w:r>
      <w:r>
        <w:t xml:space="preserve"> Módosította a 2020. szeptember 15. napjától hatályos módosítás.</w:t>
      </w:r>
    </w:p>
  </w:footnote>
  <w:footnote w:id="488">
    <w:p w14:paraId="34BC6B92" w14:textId="77777777" w:rsidR="001B6E1C" w:rsidRDefault="001B6E1C" w:rsidP="001B6E1C">
      <w:pPr>
        <w:pStyle w:val="Lbjegyzetszveg"/>
      </w:pPr>
      <w:r>
        <w:rPr>
          <w:rStyle w:val="Lbjegyzet-hivatkozs"/>
        </w:rPr>
        <w:footnoteRef/>
      </w:r>
      <w:r>
        <w:t xml:space="preserve"> A (3)-(4) bekezdéseket beiktatta a 2020. szeptember 15. napjától hatályos módosítás.</w:t>
      </w:r>
    </w:p>
  </w:footnote>
  <w:footnote w:id="489">
    <w:p w14:paraId="5A57844C" w14:textId="77777777" w:rsidR="00BD6AF1" w:rsidRPr="00E7400F" w:rsidRDefault="00BD6AF1" w:rsidP="00FD0545">
      <w:pPr>
        <w:pStyle w:val="Lbjegyzetszveg"/>
        <w:rPr>
          <w:sz w:val="18"/>
        </w:rPr>
      </w:pPr>
      <w:r>
        <w:rPr>
          <w:rStyle w:val="Lbjegyzet-hivatkozs"/>
        </w:rPr>
        <w:footnoteRef/>
      </w:r>
      <w:r>
        <w:t xml:space="preserve"> </w:t>
      </w:r>
      <w:r w:rsidRPr="00E7400F">
        <w:rPr>
          <w:rFonts w:eastAsia="Arial"/>
          <w:szCs w:val="22"/>
        </w:rPr>
        <w:t>Amennyiben a minősített az MTA IX. Osztálya szerint méretné meg magát úgy, a Sporttudományi és Testnevelési Intézet esetén megjelenő gazdaságtudomány fület kell, hogy válassza</w:t>
      </w:r>
      <w:r>
        <w:rPr>
          <w:rFonts w:eastAsia="Arial"/>
          <w:szCs w:val="22"/>
        </w:rPr>
        <w:t>.</w:t>
      </w:r>
    </w:p>
  </w:footnote>
  <w:footnote w:id="490">
    <w:p w14:paraId="6A7B5077" w14:textId="77777777" w:rsidR="00BD6AF1" w:rsidRPr="006D5056" w:rsidRDefault="00BD6AF1" w:rsidP="00FD0545">
      <w:pPr>
        <w:spacing w:line="0" w:lineRule="atLeast"/>
        <w:rPr>
          <w:rFonts w:eastAsia="Arial"/>
          <w:sz w:val="20"/>
          <w:szCs w:val="22"/>
        </w:rPr>
      </w:pPr>
      <w:r>
        <w:rPr>
          <w:rStyle w:val="Lbjegyzet-hivatkozs"/>
        </w:rPr>
        <w:footnoteRef/>
      </w:r>
      <w:r>
        <w:t xml:space="preserve"> </w:t>
      </w:r>
      <w:r w:rsidRPr="006D5056">
        <w:rPr>
          <w:rFonts w:eastAsia="Arial"/>
          <w:sz w:val="20"/>
          <w:szCs w:val="22"/>
        </w:rPr>
        <w:t>Min. 4 oldal; CD-n megjelent cikk is elfogadható, ha a CD-nek van ISBN-száma.</w:t>
      </w:r>
    </w:p>
  </w:footnote>
  <w:footnote w:id="491">
    <w:p w14:paraId="17CAE4E9" w14:textId="77777777" w:rsidR="00BD6AF1" w:rsidRPr="006D5056" w:rsidRDefault="00BD6AF1" w:rsidP="00FD0545">
      <w:pPr>
        <w:pStyle w:val="Lbjegyzetszveg"/>
        <w:jc w:val="both"/>
        <w:rPr>
          <w:sz w:val="18"/>
        </w:rPr>
      </w:pPr>
      <w:r>
        <w:rPr>
          <w:rStyle w:val="Lbjegyzet-hivatkozs"/>
        </w:rPr>
        <w:footnoteRef/>
      </w:r>
      <w:r>
        <w:t xml:space="preserve"> </w:t>
      </w:r>
      <w:r w:rsidRPr="006D5056">
        <w:rPr>
          <w:rFonts w:eastAsia="Arial"/>
          <w:szCs w:val="22"/>
        </w:rPr>
        <w:t xml:space="preserve">Csak azok a független hivatkozások (a hivatkozó és a hivatkozott publikációknak nincs közös szerzőjük) fogadhatók el, amelyek tudományos könyvben, tudományos folyóiratban, tudományos </w:t>
      </w:r>
      <w:proofErr w:type="gramStart"/>
      <w:r w:rsidRPr="006D5056">
        <w:rPr>
          <w:rFonts w:eastAsia="Arial"/>
          <w:szCs w:val="22"/>
        </w:rPr>
        <w:t>konferencia</w:t>
      </w:r>
      <w:proofErr w:type="gramEnd"/>
      <w:r w:rsidRPr="006D5056">
        <w:rPr>
          <w:rFonts w:eastAsia="Arial"/>
          <w:szCs w:val="22"/>
        </w:rPr>
        <w:t>-kiadványban vagy olyan (PhD-, habilitációs, tudományok doktora vagy MTA doktora) értekezésben jelentek meg, amely értekezés nem a pályázó tudományos vezetésével készült</w:t>
      </w:r>
      <w:r>
        <w:rPr>
          <w:rFonts w:eastAsia="Arial"/>
          <w:szCs w:val="22"/>
        </w:rPr>
        <w:t>.</w:t>
      </w:r>
    </w:p>
  </w:footnote>
  <w:footnote w:id="492">
    <w:p w14:paraId="5DBC85E6" w14:textId="77777777" w:rsidR="00BD6AF1" w:rsidRDefault="00BD6AF1" w:rsidP="00FD0545">
      <w:pPr>
        <w:pStyle w:val="Lbjegyzetszveg"/>
      </w:pPr>
      <w:r>
        <w:rPr>
          <w:rStyle w:val="Lbjegyzet-hivatkozs"/>
        </w:rPr>
        <w:footnoteRef/>
      </w:r>
      <w:r>
        <w:t xml:space="preserve"> </w:t>
      </w:r>
      <w:r w:rsidRPr="00634FBC">
        <w:rPr>
          <w:rFonts w:eastAsia="Arial"/>
          <w:szCs w:val="22"/>
        </w:rPr>
        <w:t>A folyóiratcikkek besorolását tartalmazó lista elérhető a Dékáni Hivatalban. A Sport-tudományi és Testnevelési Intézet feladata, hogy ezt a hivatalos listát minden értékelés előtt eljuttassa a Dékáni Hivatalba</w:t>
      </w:r>
      <w:r>
        <w:rPr>
          <w:rFonts w:eastAsia="Arial"/>
          <w:szCs w:val="22"/>
        </w:rPr>
        <w:t>.</w:t>
      </w:r>
    </w:p>
  </w:footnote>
  <w:footnote w:id="493">
    <w:p w14:paraId="2469BECB" w14:textId="77777777" w:rsidR="00BD6AF1" w:rsidRPr="006016B3" w:rsidRDefault="00BD6AF1" w:rsidP="00FD2F93">
      <w:pPr>
        <w:pStyle w:val="Lbjegyzetszveg"/>
        <w:jc w:val="both"/>
      </w:pPr>
      <w:r>
        <w:rPr>
          <w:rStyle w:val="Lbjegyzet-hivatkozs"/>
        </w:rPr>
        <w:footnoteRef/>
      </w:r>
      <w:r>
        <w:t xml:space="preserve"> </w:t>
      </w:r>
      <w:r w:rsidRPr="006016B3">
        <w:t>3 pontot csak az a minősített kaphat, akinek a vizsgált periódusban van legalább egy vezető szerzős (első, utolsó, vagy levelező) Q1 cikke és az adott tudományterület Karunkon Doktori Iskolával rendelkezik.</w:t>
      </w:r>
    </w:p>
  </w:footnote>
  <w:footnote w:id="494">
    <w:p w14:paraId="07C93D5A" w14:textId="77777777" w:rsidR="00BD6AF1" w:rsidRPr="002A45B7" w:rsidRDefault="00BD6AF1" w:rsidP="00FD0545">
      <w:pPr>
        <w:pStyle w:val="Lbjegyzetszveg"/>
        <w:jc w:val="both"/>
        <w:rPr>
          <w:i/>
        </w:rPr>
      </w:pPr>
      <w:r>
        <w:rPr>
          <w:rStyle w:val="Lbjegyzet-hivatkozs"/>
        </w:rPr>
        <w:footnoteRef/>
      </w:r>
      <w:r>
        <w:t xml:space="preserve"> </w:t>
      </w:r>
      <w:r>
        <w:rPr>
          <w:i/>
        </w:rPr>
        <w:t>A 3/A-3/C. mellékleteket a Szenátus 2014. április 24-ei ülésén fogadta el. Hatályos: 2014. április 24. napjától.</w:t>
      </w:r>
    </w:p>
  </w:footnote>
  <w:footnote w:id="495">
    <w:p w14:paraId="4E4363BC" w14:textId="77777777" w:rsidR="00BD6AF1" w:rsidRPr="0068118A" w:rsidRDefault="00BD6AF1" w:rsidP="00FD0545">
      <w:pPr>
        <w:pStyle w:val="Lbjegyzetszveg"/>
        <w:rPr>
          <w:i/>
          <w:sz w:val="18"/>
          <w:szCs w:val="18"/>
        </w:rPr>
      </w:pPr>
      <w:r w:rsidRPr="0068118A">
        <w:rPr>
          <w:rStyle w:val="Lbjegyzet-hivatkozs"/>
          <w:i/>
          <w:sz w:val="18"/>
          <w:szCs w:val="18"/>
        </w:rPr>
        <w:footnoteRef/>
      </w:r>
      <w:r w:rsidRPr="0068118A">
        <w:rPr>
          <w:i/>
          <w:sz w:val="18"/>
          <w:szCs w:val="18"/>
        </w:rPr>
        <w:t xml:space="preserve"> Egyetemi alapképzés, szakirányú továbbképzés, mesterképzés, doktori képzés pontos megnevezése</w:t>
      </w:r>
    </w:p>
  </w:footnote>
  <w:footnote w:id="496">
    <w:p w14:paraId="0A560C6D" w14:textId="77777777" w:rsidR="00BD6AF1" w:rsidRPr="005D59FF" w:rsidRDefault="00BD6AF1" w:rsidP="00FD0545">
      <w:pPr>
        <w:pStyle w:val="Lbjegyzetszveg"/>
        <w:jc w:val="both"/>
        <w:rPr>
          <w:i/>
        </w:rPr>
      </w:pPr>
      <w:r>
        <w:rPr>
          <w:rStyle w:val="Lbjegyzet-hivatkozs"/>
        </w:rPr>
        <w:footnoteRef/>
      </w:r>
      <w:r>
        <w:t xml:space="preserve"> </w:t>
      </w:r>
      <w:r>
        <w:rPr>
          <w:i/>
        </w:rPr>
        <w:t>A módosítást a Szenátus 2018. március 22-ei ülésén fogadta el. Hatályos: 2018. március 22. napjától.</w:t>
      </w:r>
    </w:p>
  </w:footnote>
  <w:footnote w:id="497">
    <w:p w14:paraId="22275F02" w14:textId="77777777" w:rsidR="00BD6AF1" w:rsidRDefault="00BD6AF1" w:rsidP="00FD0545">
      <w:pPr>
        <w:pStyle w:val="Lbjegyzetszveg"/>
      </w:pPr>
      <w:r>
        <w:rPr>
          <w:rStyle w:val="Lbjegyzet-hivatkozs"/>
        </w:rPr>
        <w:footnoteRef/>
      </w:r>
      <w:r>
        <w:t xml:space="preserve"> </w:t>
      </w:r>
      <w:r w:rsidRPr="00526792">
        <w:rPr>
          <w:i/>
        </w:rPr>
        <w:t>A módosítást a Szenátus 2015. november 12-ei ülésén fogadta el. Hatályos: 2015. november 12. napjától.</w:t>
      </w:r>
    </w:p>
  </w:footnote>
  <w:footnote w:id="498">
    <w:p w14:paraId="5B74860C" w14:textId="77777777" w:rsidR="00BD6AF1" w:rsidRPr="0068118A" w:rsidRDefault="00BD6AF1" w:rsidP="00FD0545">
      <w:pPr>
        <w:pStyle w:val="Lbjegyzetszveg"/>
        <w:rPr>
          <w:i/>
          <w:sz w:val="18"/>
          <w:szCs w:val="18"/>
        </w:rPr>
      </w:pPr>
      <w:r w:rsidRPr="0068118A">
        <w:rPr>
          <w:rStyle w:val="Lbjegyzet-hivatkozs"/>
          <w:i/>
          <w:sz w:val="18"/>
          <w:szCs w:val="18"/>
        </w:rPr>
        <w:footnoteRef/>
      </w:r>
      <w:r w:rsidRPr="0068118A">
        <w:rPr>
          <w:i/>
          <w:sz w:val="18"/>
          <w:szCs w:val="18"/>
        </w:rPr>
        <w:t xml:space="preserve"> Egyetemi alapképzés, szakirányú továbbképzés, mesterképzés, doktori képzés pontos megnevezése</w:t>
      </w:r>
    </w:p>
  </w:footnote>
  <w:footnote w:id="499">
    <w:p w14:paraId="20476EA6" w14:textId="77777777" w:rsidR="00BD6AF1" w:rsidRDefault="00BD6AF1" w:rsidP="00FD0545">
      <w:pPr>
        <w:pStyle w:val="Lbjegyzetszveg"/>
      </w:pPr>
      <w:r>
        <w:rPr>
          <w:rStyle w:val="Lbjegyzet-hivatkozs"/>
        </w:rPr>
        <w:footnoteRef/>
      </w:r>
      <w:r>
        <w:t xml:space="preserve"> </w:t>
      </w:r>
      <w:r w:rsidRPr="00526792">
        <w:rPr>
          <w:i/>
        </w:rPr>
        <w:t>A módosítást a Szenátus 2015. november 12-ei ülésén fogadta el. Hatályos: 2015. november 12. napjától.</w:t>
      </w:r>
    </w:p>
  </w:footnote>
  <w:footnote w:id="500">
    <w:p w14:paraId="6F6CAC8B" w14:textId="77777777" w:rsidR="00BD6AF1" w:rsidRPr="0068118A" w:rsidRDefault="00BD6AF1" w:rsidP="00FD0545">
      <w:pPr>
        <w:pStyle w:val="Lbjegyzetszveg"/>
        <w:rPr>
          <w:i/>
          <w:sz w:val="18"/>
          <w:szCs w:val="18"/>
        </w:rPr>
      </w:pPr>
      <w:r w:rsidRPr="0068118A">
        <w:rPr>
          <w:rStyle w:val="Lbjegyzet-hivatkozs"/>
          <w:i/>
          <w:sz w:val="18"/>
          <w:szCs w:val="18"/>
        </w:rPr>
        <w:footnoteRef/>
      </w:r>
      <w:r w:rsidRPr="0068118A">
        <w:rPr>
          <w:i/>
          <w:sz w:val="18"/>
          <w:szCs w:val="18"/>
        </w:rPr>
        <w:t xml:space="preserve"> Egyetemi alapképzés, szakirányú továbbképzés, mesterképzés, doktori képzés pontos megnevezése</w:t>
      </w:r>
    </w:p>
  </w:footnote>
  <w:footnote w:id="501">
    <w:p w14:paraId="37245352" w14:textId="77777777" w:rsidR="00BD6AF1" w:rsidRPr="00BD05D0" w:rsidRDefault="00BD6AF1" w:rsidP="00FD0545">
      <w:pPr>
        <w:autoSpaceDE w:val="0"/>
        <w:autoSpaceDN w:val="0"/>
        <w:adjustRightInd w:val="0"/>
        <w:ind w:firstLine="204"/>
        <w:jc w:val="both"/>
        <w:rPr>
          <w:sz w:val="18"/>
          <w:szCs w:val="18"/>
        </w:rPr>
      </w:pPr>
      <w:r w:rsidRPr="000E47D2">
        <w:rPr>
          <w:rStyle w:val="Lbjegyzet-hivatkozs"/>
          <w:sz w:val="18"/>
          <w:szCs w:val="18"/>
        </w:rPr>
        <w:sym w:font="Symbol" w:char="F02A"/>
      </w:r>
      <w:proofErr w:type="spellStart"/>
      <w:r w:rsidRPr="000E47D2">
        <w:rPr>
          <w:sz w:val="18"/>
          <w:szCs w:val="18"/>
        </w:rPr>
        <w:t>Nftv</w:t>
      </w:r>
      <w:proofErr w:type="spellEnd"/>
      <w:r w:rsidRPr="000E47D2">
        <w:rPr>
          <w:sz w:val="18"/>
          <w:szCs w:val="18"/>
        </w:rPr>
        <w:t>. 26.§ (3) bekezdés „Az oktató - függetlenül attól, hogy hány felsőoktatási intézményben lát el oktatói feladatot - az intézmény működési feltételei meglétének mérlegelése során, illetve a felsőoktatási intézmény támogatásának megállapításánál egy felsőoktatási intézményben vehető figyelembe. Az oktató, írásban adott nyilatkozata határozza meg, hogy melyik az a felsőoktatási intézmény, amelyiknél figyelembe lehet őt venni.”</w:t>
      </w:r>
    </w:p>
    <w:p w14:paraId="079D5054" w14:textId="77777777" w:rsidR="00BD6AF1" w:rsidRDefault="00BD6AF1" w:rsidP="00FD0545">
      <w:pPr>
        <w:autoSpaceDE w:val="0"/>
        <w:autoSpaceDN w:val="0"/>
        <w:adjustRightInd w:val="0"/>
        <w:rPr>
          <w:sz w:val="20"/>
          <w:szCs w:val="20"/>
        </w:rPr>
      </w:pPr>
    </w:p>
    <w:p w14:paraId="391F4A55" w14:textId="77777777" w:rsidR="00BD6AF1" w:rsidRDefault="00BD6AF1" w:rsidP="00FD0545">
      <w:pPr>
        <w:autoSpaceDE w:val="0"/>
        <w:autoSpaceDN w:val="0"/>
        <w:adjustRightInd w:val="0"/>
        <w:rPr>
          <w:sz w:val="20"/>
          <w:szCs w:val="20"/>
        </w:rPr>
      </w:pPr>
      <w:r>
        <w:rPr>
          <w:sz w:val="20"/>
          <w:szCs w:val="20"/>
        </w:rPr>
        <w:t>Ennek alapján kérjük a megfelelőt bekarikázni.</w:t>
      </w:r>
    </w:p>
    <w:p w14:paraId="007371FB" w14:textId="77777777" w:rsidR="00BD6AF1" w:rsidRDefault="00BD6AF1" w:rsidP="00FD0545">
      <w:pPr>
        <w:pStyle w:val="Lbjegyzetszveg"/>
      </w:pPr>
    </w:p>
  </w:footnote>
  <w:footnote w:id="502">
    <w:p w14:paraId="67E84827" w14:textId="77777777" w:rsidR="00BD6AF1" w:rsidRPr="000E47D2" w:rsidRDefault="00BD6AF1" w:rsidP="00FD0545">
      <w:pPr>
        <w:autoSpaceDE w:val="0"/>
        <w:autoSpaceDN w:val="0"/>
        <w:adjustRightInd w:val="0"/>
        <w:ind w:firstLine="204"/>
        <w:jc w:val="both"/>
        <w:rPr>
          <w:sz w:val="18"/>
          <w:szCs w:val="18"/>
        </w:rPr>
      </w:pPr>
      <w:r w:rsidRPr="000E47D2">
        <w:rPr>
          <w:rStyle w:val="Lbjegyzet-hivatkozs"/>
        </w:rPr>
        <w:sym w:font="Symbol" w:char="F02A"/>
      </w:r>
      <w:r w:rsidRPr="000E47D2">
        <w:rPr>
          <w:sz w:val="18"/>
          <w:szCs w:val="18"/>
        </w:rPr>
        <w:t xml:space="preserve"> </w:t>
      </w:r>
      <w:proofErr w:type="spellStart"/>
      <w:r w:rsidRPr="000E47D2">
        <w:rPr>
          <w:sz w:val="18"/>
          <w:szCs w:val="18"/>
        </w:rPr>
        <w:t>Nftv</w:t>
      </w:r>
      <w:proofErr w:type="spellEnd"/>
      <w:r w:rsidRPr="000E47D2">
        <w:rPr>
          <w:sz w:val="18"/>
          <w:szCs w:val="18"/>
        </w:rPr>
        <w:t>. 26.§ (3) bekezdés „Az oktató - függetlenül attól, hogy hány felsőoktatási intézményben lát el oktatói feladatot - az intézmény működési feltételei meglétének mérlegelése során, illetve a felsőoktatási intézmény támogatásának megállapításánál egy felsőoktatási intézményben vehető figyelembe. Az oktató, írásban adott nyilatkozata határozza meg, hogy melyik az a felsőoktatási intézmény, amelyiknél figyelembe lehet őt venni.”</w:t>
      </w:r>
    </w:p>
    <w:p w14:paraId="5524F32F" w14:textId="77777777" w:rsidR="00BD6AF1" w:rsidRPr="000E47D2" w:rsidRDefault="00BD6AF1" w:rsidP="00FD0545">
      <w:pPr>
        <w:autoSpaceDE w:val="0"/>
        <w:autoSpaceDN w:val="0"/>
        <w:adjustRightInd w:val="0"/>
        <w:rPr>
          <w:sz w:val="20"/>
          <w:szCs w:val="20"/>
        </w:rPr>
      </w:pPr>
    </w:p>
    <w:p w14:paraId="0592306A" w14:textId="77777777" w:rsidR="00BD6AF1" w:rsidRDefault="00BD6AF1" w:rsidP="00FD0545">
      <w:pPr>
        <w:autoSpaceDE w:val="0"/>
        <w:autoSpaceDN w:val="0"/>
        <w:adjustRightInd w:val="0"/>
        <w:ind w:firstLine="204"/>
        <w:jc w:val="both"/>
        <w:rPr>
          <w:sz w:val="20"/>
          <w:szCs w:val="20"/>
        </w:rPr>
      </w:pPr>
      <w:r w:rsidRPr="000E47D2">
        <w:rPr>
          <w:sz w:val="20"/>
          <w:szCs w:val="20"/>
        </w:rPr>
        <w:t>Ennek alapján kérjük a megfelelőt bekarikázni</w:t>
      </w:r>
      <w:r>
        <w:rPr>
          <w:sz w:val="20"/>
          <w:szCs w:val="20"/>
        </w:rPr>
        <w:t>.</w:t>
      </w:r>
    </w:p>
    <w:p w14:paraId="5457F9EB" w14:textId="77777777" w:rsidR="00BD6AF1" w:rsidRDefault="00BD6AF1" w:rsidP="00FD0545">
      <w:pPr>
        <w:pStyle w:val="Lbjegyzetszveg"/>
      </w:pPr>
    </w:p>
  </w:footnote>
  <w:footnote w:id="503">
    <w:p w14:paraId="4E1B9B0A" w14:textId="77777777" w:rsidR="00BD6AF1" w:rsidRDefault="00BD6AF1" w:rsidP="00FD0545">
      <w:pPr>
        <w:pStyle w:val="Lbjegyzetszveg"/>
        <w:jc w:val="both"/>
      </w:pPr>
      <w:r>
        <w:rPr>
          <w:rStyle w:val="Lbjegyzet-hivatkozs"/>
        </w:rPr>
        <w:footnoteRef/>
      </w:r>
      <w:r>
        <w:t xml:space="preserve"> </w:t>
      </w:r>
      <w:r>
        <w:rPr>
          <w:i/>
        </w:rPr>
        <w:t>Hatályon kívül helyezte a Szenátus 2016. március 17-ei ülésén elfogadott módosítás. Hatálytalan: 2016. március 17. napjától.</w:t>
      </w:r>
    </w:p>
    <w:p w14:paraId="1417B357" w14:textId="77777777" w:rsidR="00BD6AF1" w:rsidRDefault="00BD6AF1" w:rsidP="00FD0545">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185210"/>
    <w:lvl w:ilvl="0">
      <w:start w:val="1"/>
      <w:numFmt w:val="bullet"/>
      <w:pStyle w:val="Szakasz"/>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636529C"/>
    <w:lvl w:ilvl="0">
      <w:start w:val="1"/>
      <w:numFmt w:val="decimal"/>
      <w:suff w:val="nothing"/>
      <w:lvlText w:val="%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0"/>
        </w:tabs>
        <w:ind w:left="454" w:hanging="454"/>
      </w:pPr>
      <w:rPr>
        <w:rFonts w:ascii="Tms Rmn" w:hAnsi="Tms Rmn" w:hint="default"/>
      </w:rPr>
    </w:lvl>
    <w:lvl w:ilvl="2">
      <w:start w:val="1"/>
      <w:numFmt w:val="lowerLetter"/>
      <w:lvlText w:val="%3)"/>
      <w:lvlJc w:val="left"/>
      <w:pPr>
        <w:tabs>
          <w:tab w:val="num" w:pos="0"/>
        </w:tabs>
        <w:ind w:left="908" w:hanging="454"/>
      </w:pPr>
      <w:rPr>
        <w:rFonts w:ascii="Tms Rmn" w:hAnsi="Tms Rmn" w:hint="default"/>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1616" w:hanging="708"/>
      </w:pPr>
      <w:rPr>
        <w:rFonts w:hint="default"/>
      </w:rPr>
    </w:lvl>
    <w:lvl w:ilvl="5">
      <w:start w:val="1"/>
      <w:numFmt w:val="lowerLetter"/>
      <w:pStyle w:val="Cmsor6"/>
      <w:lvlText w:val="(%6)"/>
      <w:lvlJc w:val="left"/>
      <w:pPr>
        <w:tabs>
          <w:tab w:val="num" w:pos="0"/>
        </w:tabs>
        <w:ind w:left="2324" w:hanging="708"/>
      </w:pPr>
      <w:rPr>
        <w:rFonts w:hint="default"/>
      </w:rPr>
    </w:lvl>
    <w:lvl w:ilvl="6">
      <w:start w:val="1"/>
      <w:numFmt w:val="lowerRoman"/>
      <w:pStyle w:val="Cmsor7"/>
      <w:lvlText w:val="(%7)"/>
      <w:lvlJc w:val="left"/>
      <w:pPr>
        <w:tabs>
          <w:tab w:val="num" w:pos="0"/>
        </w:tabs>
        <w:ind w:left="3032" w:hanging="708"/>
      </w:pPr>
      <w:rPr>
        <w:rFonts w:hint="default"/>
      </w:rPr>
    </w:lvl>
    <w:lvl w:ilvl="7">
      <w:start w:val="1"/>
      <w:numFmt w:val="lowerLetter"/>
      <w:pStyle w:val="Cmsor8"/>
      <w:lvlText w:val="(%8)"/>
      <w:lvlJc w:val="left"/>
      <w:pPr>
        <w:tabs>
          <w:tab w:val="num" w:pos="0"/>
        </w:tabs>
        <w:ind w:left="3740" w:hanging="708"/>
      </w:pPr>
      <w:rPr>
        <w:rFonts w:hint="default"/>
      </w:rPr>
    </w:lvl>
    <w:lvl w:ilvl="8">
      <w:start w:val="1"/>
      <w:numFmt w:val="lowerRoman"/>
      <w:pStyle w:val="Cmsor9"/>
      <w:lvlText w:val="(%9)"/>
      <w:lvlJc w:val="left"/>
      <w:pPr>
        <w:tabs>
          <w:tab w:val="num" w:pos="0"/>
        </w:tabs>
        <w:ind w:left="4448" w:hanging="708"/>
      </w:pPr>
      <w:rPr>
        <w:rFonts w:hint="default"/>
      </w:rPr>
    </w:lvl>
  </w:abstractNum>
  <w:abstractNum w:abstractNumId="2"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F61ABF"/>
    <w:multiLevelType w:val="hybridMultilevel"/>
    <w:tmpl w:val="552A99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293BC9"/>
    <w:multiLevelType w:val="hybridMultilevel"/>
    <w:tmpl w:val="DAF6C4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19C5BBC"/>
    <w:multiLevelType w:val="hybridMultilevel"/>
    <w:tmpl w:val="5C0A41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19D052F"/>
    <w:multiLevelType w:val="hybridMultilevel"/>
    <w:tmpl w:val="88A49A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1D503CC"/>
    <w:multiLevelType w:val="hybridMultilevel"/>
    <w:tmpl w:val="9B081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2180303"/>
    <w:multiLevelType w:val="hybridMultilevel"/>
    <w:tmpl w:val="2B5AAB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21B66D3"/>
    <w:multiLevelType w:val="hybridMultilevel"/>
    <w:tmpl w:val="3D707BF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2A23754"/>
    <w:multiLevelType w:val="hybridMultilevel"/>
    <w:tmpl w:val="B1DE0D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3057A52"/>
    <w:multiLevelType w:val="hybridMultilevel"/>
    <w:tmpl w:val="D9ECDBD4"/>
    <w:lvl w:ilvl="0" w:tplc="040E0017">
      <w:start w:val="1"/>
      <w:numFmt w:val="lowerLetter"/>
      <w:lvlText w:val="%1)"/>
      <w:lvlJc w:val="left"/>
      <w:pPr>
        <w:ind w:left="1284" w:hanging="360"/>
      </w:pPr>
      <w:rPr>
        <w:rFonts w:hint="default"/>
      </w:rPr>
    </w:lvl>
    <w:lvl w:ilvl="1" w:tplc="040E0017">
      <w:start w:val="1"/>
      <w:numFmt w:val="lowerLetter"/>
      <w:lvlText w:val="%2)"/>
      <w:lvlJc w:val="left"/>
      <w:pPr>
        <w:ind w:left="2004" w:hanging="360"/>
      </w:pPr>
    </w:lvl>
    <w:lvl w:ilvl="2" w:tplc="040E001B" w:tentative="1">
      <w:start w:val="1"/>
      <w:numFmt w:val="lowerRoman"/>
      <w:lvlText w:val="%3."/>
      <w:lvlJc w:val="right"/>
      <w:pPr>
        <w:ind w:left="2724" w:hanging="180"/>
      </w:pPr>
    </w:lvl>
    <w:lvl w:ilvl="3" w:tplc="040E000F" w:tentative="1">
      <w:start w:val="1"/>
      <w:numFmt w:val="decimal"/>
      <w:lvlText w:val="%4."/>
      <w:lvlJc w:val="left"/>
      <w:pPr>
        <w:ind w:left="3444" w:hanging="360"/>
      </w:pPr>
    </w:lvl>
    <w:lvl w:ilvl="4" w:tplc="040E0019" w:tentative="1">
      <w:start w:val="1"/>
      <w:numFmt w:val="lowerLetter"/>
      <w:lvlText w:val="%5."/>
      <w:lvlJc w:val="left"/>
      <w:pPr>
        <w:ind w:left="4164" w:hanging="360"/>
      </w:pPr>
    </w:lvl>
    <w:lvl w:ilvl="5" w:tplc="040E001B" w:tentative="1">
      <w:start w:val="1"/>
      <w:numFmt w:val="lowerRoman"/>
      <w:lvlText w:val="%6."/>
      <w:lvlJc w:val="right"/>
      <w:pPr>
        <w:ind w:left="4884" w:hanging="180"/>
      </w:pPr>
    </w:lvl>
    <w:lvl w:ilvl="6" w:tplc="040E000F" w:tentative="1">
      <w:start w:val="1"/>
      <w:numFmt w:val="decimal"/>
      <w:lvlText w:val="%7."/>
      <w:lvlJc w:val="left"/>
      <w:pPr>
        <w:ind w:left="5604" w:hanging="360"/>
      </w:pPr>
    </w:lvl>
    <w:lvl w:ilvl="7" w:tplc="040E0019" w:tentative="1">
      <w:start w:val="1"/>
      <w:numFmt w:val="lowerLetter"/>
      <w:lvlText w:val="%8."/>
      <w:lvlJc w:val="left"/>
      <w:pPr>
        <w:ind w:left="6324" w:hanging="360"/>
      </w:pPr>
    </w:lvl>
    <w:lvl w:ilvl="8" w:tplc="040E001B" w:tentative="1">
      <w:start w:val="1"/>
      <w:numFmt w:val="lowerRoman"/>
      <w:lvlText w:val="%9."/>
      <w:lvlJc w:val="right"/>
      <w:pPr>
        <w:ind w:left="7044" w:hanging="180"/>
      </w:pPr>
    </w:lvl>
  </w:abstractNum>
  <w:abstractNum w:abstractNumId="12" w15:restartNumberingAfterBreak="0">
    <w:nsid w:val="035A3466"/>
    <w:multiLevelType w:val="hybridMultilevel"/>
    <w:tmpl w:val="B6A8FD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3895DB5"/>
    <w:multiLevelType w:val="hybridMultilevel"/>
    <w:tmpl w:val="731EA3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57B6258"/>
    <w:multiLevelType w:val="hybridMultilevel"/>
    <w:tmpl w:val="847889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58C6936"/>
    <w:multiLevelType w:val="hybridMultilevel"/>
    <w:tmpl w:val="2572EC3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05AE0AF9"/>
    <w:multiLevelType w:val="hybridMultilevel"/>
    <w:tmpl w:val="9B847B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BC4018"/>
    <w:multiLevelType w:val="hybridMultilevel"/>
    <w:tmpl w:val="4CCCA3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5BF1A21"/>
    <w:multiLevelType w:val="hybridMultilevel"/>
    <w:tmpl w:val="10D2A2A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5CD3C2D"/>
    <w:multiLevelType w:val="hybridMultilevel"/>
    <w:tmpl w:val="55FE7E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5DC7454"/>
    <w:multiLevelType w:val="hybridMultilevel"/>
    <w:tmpl w:val="934C55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70E66A6"/>
    <w:multiLevelType w:val="hybridMultilevel"/>
    <w:tmpl w:val="376E05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7BC7626"/>
    <w:multiLevelType w:val="hybridMultilevel"/>
    <w:tmpl w:val="65A254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7C95A60"/>
    <w:multiLevelType w:val="hybridMultilevel"/>
    <w:tmpl w:val="8D8CD942"/>
    <w:lvl w:ilvl="0" w:tplc="219A993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7F31FA2"/>
    <w:multiLevelType w:val="hybridMultilevel"/>
    <w:tmpl w:val="431CF5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82109FD"/>
    <w:multiLevelType w:val="hybridMultilevel"/>
    <w:tmpl w:val="AED801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099A14A3"/>
    <w:multiLevelType w:val="hybridMultilevel"/>
    <w:tmpl w:val="29CCD0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A3A714A"/>
    <w:multiLevelType w:val="hybridMultilevel"/>
    <w:tmpl w:val="715E86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0AB44031"/>
    <w:multiLevelType w:val="hybridMultilevel"/>
    <w:tmpl w:val="92BA64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AE51A4A"/>
    <w:multiLevelType w:val="hybridMultilevel"/>
    <w:tmpl w:val="9E081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C706417"/>
    <w:multiLevelType w:val="hybridMultilevel"/>
    <w:tmpl w:val="D018E1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D21654D"/>
    <w:multiLevelType w:val="hybridMultilevel"/>
    <w:tmpl w:val="49360F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E6891"/>
    <w:multiLevelType w:val="hybridMultilevel"/>
    <w:tmpl w:val="71789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98076C"/>
    <w:multiLevelType w:val="hybridMultilevel"/>
    <w:tmpl w:val="D3526EA4"/>
    <w:lvl w:ilvl="0" w:tplc="DA022CA2">
      <w:start w:val="6"/>
      <w:numFmt w:val="bullet"/>
      <w:lvlText w:val="-"/>
      <w:lvlJc w:val="left"/>
      <w:pPr>
        <w:tabs>
          <w:tab w:val="num" w:pos="1060"/>
        </w:tabs>
        <w:ind w:left="1060" w:hanging="360"/>
      </w:pPr>
      <w:rPr>
        <w:rFonts w:ascii="Times New Roman" w:eastAsia="Times New Roman" w:hAnsi="Times New Roman" w:cs="Times New Roman" w:hint="default"/>
      </w:rPr>
    </w:lvl>
    <w:lvl w:ilvl="1" w:tplc="FEF46C02">
      <w:start w:val="1"/>
      <w:numFmt w:val="lowerLetter"/>
      <w:lvlText w:val="(%2)"/>
      <w:lvlJc w:val="left"/>
      <w:pPr>
        <w:tabs>
          <w:tab w:val="num" w:pos="1324"/>
        </w:tabs>
        <w:ind w:left="1324" w:hanging="284"/>
      </w:pPr>
      <w:rPr>
        <w:rFonts w:hint="default"/>
      </w:r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4" w15:restartNumberingAfterBreak="0">
    <w:nsid w:val="0ECE265C"/>
    <w:multiLevelType w:val="hybridMultilevel"/>
    <w:tmpl w:val="044E9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F5D13F6"/>
    <w:multiLevelType w:val="hybridMultilevel"/>
    <w:tmpl w:val="753275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0F8F1567"/>
    <w:multiLevelType w:val="hybridMultilevel"/>
    <w:tmpl w:val="A57AB2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03032B4"/>
    <w:multiLevelType w:val="hybridMultilevel"/>
    <w:tmpl w:val="CFA81D9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112D13D2"/>
    <w:multiLevelType w:val="hybridMultilevel"/>
    <w:tmpl w:val="3A506E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1825C28"/>
    <w:multiLevelType w:val="hybridMultilevel"/>
    <w:tmpl w:val="DE3EB4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2FF7D72"/>
    <w:multiLevelType w:val="hybridMultilevel"/>
    <w:tmpl w:val="AE9E6D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38639A0"/>
    <w:multiLevelType w:val="hybridMultilevel"/>
    <w:tmpl w:val="D9AC4A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46359A4"/>
    <w:multiLevelType w:val="hybridMultilevel"/>
    <w:tmpl w:val="D1F40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66A281C"/>
    <w:multiLevelType w:val="hybridMultilevel"/>
    <w:tmpl w:val="5BC87E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6753F77"/>
    <w:multiLevelType w:val="hybridMultilevel"/>
    <w:tmpl w:val="0EC26428"/>
    <w:lvl w:ilvl="0" w:tplc="040E0001">
      <w:start w:val="1"/>
      <w:numFmt w:val="bullet"/>
      <w:lvlText w:val=""/>
      <w:lvlJc w:val="left"/>
      <w:pPr>
        <w:ind w:left="1071" w:hanging="360"/>
      </w:pPr>
      <w:rPr>
        <w:rFonts w:ascii="Symbol" w:hAnsi="Symbol"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45" w15:restartNumberingAfterBreak="0">
    <w:nsid w:val="17472D27"/>
    <w:multiLevelType w:val="hybridMultilevel"/>
    <w:tmpl w:val="F7366FC8"/>
    <w:lvl w:ilvl="0" w:tplc="CFBAA9E2">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88B3E03"/>
    <w:multiLevelType w:val="hybridMultilevel"/>
    <w:tmpl w:val="E25C896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8EA084D"/>
    <w:multiLevelType w:val="hybridMultilevel"/>
    <w:tmpl w:val="6794EE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A457EC3"/>
    <w:multiLevelType w:val="hybridMultilevel"/>
    <w:tmpl w:val="0AFCB99C"/>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9" w15:restartNumberingAfterBreak="0">
    <w:nsid w:val="1ADF24FD"/>
    <w:multiLevelType w:val="hybridMultilevel"/>
    <w:tmpl w:val="6B8A1B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1C262251"/>
    <w:multiLevelType w:val="hybridMultilevel"/>
    <w:tmpl w:val="CACC9A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1D034187"/>
    <w:multiLevelType w:val="hybridMultilevel"/>
    <w:tmpl w:val="30DCC6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1D836AF6"/>
    <w:multiLevelType w:val="hybridMultilevel"/>
    <w:tmpl w:val="41F83450"/>
    <w:lvl w:ilvl="0" w:tplc="DDB4077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 w15:restartNumberingAfterBreak="0">
    <w:nsid w:val="1E500DA5"/>
    <w:multiLevelType w:val="hybridMultilevel"/>
    <w:tmpl w:val="28CEDA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1EB25949"/>
    <w:multiLevelType w:val="hybridMultilevel"/>
    <w:tmpl w:val="0720D8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1ECA5290"/>
    <w:multiLevelType w:val="hybridMultilevel"/>
    <w:tmpl w:val="0F80ED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1EF136E3"/>
    <w:multiLevelType w:val="hybridMultilevel"/>
    <w:tmpl w:val="B50E54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0E470F0"/>
    <w:multiLevelType w:val="hybridMultilevel"/>
    <w:tmpl w:val="E25C896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1347A68"/>
    <w:multiLevelType w:val="hybridMultilevel"/>
    <w:tmpl w:val="706203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2734285"/>
    <w:multiLevelType w:val="hybridMultilevel"/>
    <w:tmpl w:val="F894DC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34E12E1"/>
    <w:multiLevelType w:val="hybridMultilevel"/>
    <w:tmpl w:val="FCE46F10"/>
    <w:lvl w:ilvl="0" w:tplc="F44A431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379145D"/>
    <w:multiLevelType w:val="hybridMultilevel"/>
    <w:tmpl w:val="2C0AC9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3CE5E6D"/>
    <w:multiLevelType w:val="hybridMultilevel"/>
    <w:tmpl w:val="E604BA32"/>
    <w:lvl w:ilvl="0" w:tplc="B530899C">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431202E"/>
    <w:multiLevelType w:val="hybridMultilevel"/>
    <w:tmpl w:val="672CA1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4E23D50"/>
    <w:multiLevelType w:val="hybridMultilevel"/>
    <w:tmpl w:val="D5327154"/>
    <w:lvl w:ilvl="0" w:tplc="F44A431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5876D6B"/>
    <w:multiLevelType w:val="hybridMultilevel"/>
    <w:tmpl w:val="E3664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26E01559"/>
    <w:multiLevelType w:val="hybridMultilevel"/>
    <w:tmpl w:val="3B82703A"/>
    <w:lvl w:ilvl="0" w:tplc="C2221F5A">
      <w:numFmt w:val="bullet"/>
      <w:lvlText w:val="-"/>
      <w:lvlJc w:val="left"/>
      <w:pPr>
        <w:tabs>
          <w:tab w:val="num" w:pos="720"/>
        </w:tabs>
        <w:ind w:left="720" w:hanging="360"/>
      </w:pPr>
      <w:rPr>
        <w:rFonts w:ascii="Calibri" w:eastAsia="Calibri" w:hAnsi="Calibri" w:cs="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FA0ED8"/>
    <w:multiLevelType w:val="hybridMultilevel"/>
    <w:tmpl w:val="73BA3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7256E27"/>
    <w:multiLevelType w:val="hybridMultilevel"/>
    <w:tmpl w:val="AA2623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7C0367E"/>
    <w:multiLevelType w:val="hybridMultilevel"/>
    <w:tmpl w:val="9EDCEB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29514B23"/>
    <w:multiLevelType w:val="hybridMultilevel"/>
    <w:tmpl w:val="80CEDBD2"/>
    <w:lvl w:ilvl="0" w:tplc="DDB407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AB94940"/>
    <w:multiLevelType w:val="hybridMultilevel"/>
    <w:tmpl w:val="ACC0B6E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2AC63245"/>
    <w:multiLevelType w:val="hybridMultilevel"/>
    <w:tmpl w:val="E03025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2C0C7811"/>
    <w:multiLevelType w:val="hybridMultilevel"/>
    <w:tmpl w:val="EFE0F0A0"/>
    <w:lvl w:ilvl="0" w:tplc="DA022CA2">
      <w:start w:val="6"/>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4" w15:restartNumberingAfterBreak="0">
    <w:nsid w:val="2D863047"/>
    <w:multiLevelType w:val="hybridMultilevel"/>
    <w:tmpl w:val="322067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2D944534"/>
    <w:multiLevelType w:val="hybridMultilevel"/>
    <w:tmpl w:val="5802D5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2DC2216F"/>
    <w:multiLevelType w:val="hybridMultilevel"/>
    <w:tmpl w:val="0F5235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2DC63031"/>
    <w:multiLevelType w:val="hybridMultilevel"/>
    <w:tmpl w:val="238C3D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2DD20678"/>
    <w:multiLevelType w:val="hybridMultilevel"/>
    <w:tmpl w:val="789698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2E871A43"/>
    <w:multiLevelType w:val="hybridMultilevel"/>
    <w:tmpl w:val="82E658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2E9A0D57"/>
    <w:multiLevelType w:val="hybridMultilevel"/>
    <w:tmpl w:val="09C888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2EAA6C21"/>
    <w:multiLevelType w:val="hybridMultilevel"/>
    <w:tmpl w:val="D3C25C10"/>
    <w:lvl w:ilvl="0" w:tplc="9F0AE5DC">
      <w:start w:val="1"/>
      <w:numFmt w:val="decimal"/>
      <w:lvlText w:val="%1. § "/>
      <w:lvlJc w:val="left"/>
      <w:pPr>
        <w:ind w:left="720" w:hanging="360"/>
      </w:pPr>
      <w:rPr>
        <w:rFonts w:hint="default"/>
      </w:rPr>
    </w:lvl>
    <w:lvl w:ilvl="1" w:tplc="040E0017">
      <w:start w:val="1"/>
      <w:numFmt w:val="lowerLetter"/>
      <w:lvlText w:val="%2)"/>
      <w:lvlJc w:val="left"/>
      <w:pPr>
        <w:ind w:left="1440" w:hanging="360"/>
      </w:pPr>
    </w:lvl>
    <w:lvl w:ilvl="2" w:tplc="B626628C">
      <w:start w:val="3"/>
      <w:numFmt w:val="decimal"/>
      <w:lvlText w:val="%3."/>
      <w:lvlJc w:val="left"/>
      <w:pPr>
        <w:ind w:left="2340" w:hanging="360"/>
      </w:pPr>
      <w:rPr>
        <w:rFonts w:hint="default"/>
      </w:rPr>
    </w:lvl>
    <w:lvl w:ilvl="3" w:tplc="41129B34">
      <w:start w:val="6"/>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2EE707AA"/>
    <w:multiLevelType w:val="hybridMultilevel"/>
    <w:tmpl w:val="E0F6EF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317B0B3B"/>
    <w:multiLevelType w:val="hybridMultilevel"/>
    <w:tmpl w:val="6ED420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1A13675"/>
    <w:multiLevelType w:val="hybridMultilevel"/>
    <w:tmpl w:val="49360F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1C46D58"/>
    <w:multiLevelType w:val="hybridMultilevel"/>
    <w:tmpl w:val="172A0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33266BB2"/>
    <w:multiLevelType w:val="hybridMultilevel"/>
    <w:tmpl w:val="9BE40B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35D44B7"/>
    <w:multiLevelType w:val="hybridMultilevel"/>
    <w:tmpl w:val="B0E262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3770B07"/>
    <w:multiLevelType w:val="hybridMultilevel"/>
    <w:tmpl w:val="5AEC8AB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9" w15:restartNumberingAfterBreak="0">
    <w:nsid w:val="33B020CA"/>
    <w:multiLevelType w:val="hybridMultilevel"/>
    <w:tmpl w:val="F440EDE8"/>
    <w:lvl w:ilvl="0" w:tplc="66067D8C">
      <w:start w:val="1"/>
      <w:numFmt w:val="upperLetter"/>
      <w:lvlText w:val="%1."/>
      <w:lvlJc w:val="left"/>
      <w:pPr>
        <w:ind w:left="1287" w:hanging="360"/>
      </w:pPr>
      <w:rPr>
        <w:rFonts w:ascii="Times New Roman" w:hAnsi="Times New Roman" w:cs="Times New Roman" w:hint="default"/>
        <w:b w:val="0"/>
        <w:bCs/>
        <w:i w:val="0"/>
        <w:iCs/>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0" w15:restartNumberingAfterBreak="0">
    <w:nsid w:val="3500773F"/>
    <w:multiLevelType w:val="hybridMultilevel"/>
    <w:tmpl w:val="EDA214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61C1766"/>
    <w:multiLevelType w:val="hybridMultilevel"/>
    <w:tmpl w:val="B92200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67273B2"/>
    <w:multiLevelType w:val="hybridMultilevel"/>
    <w:tmpl w:val="CDBAECDC"/>
    <w:lvl w:ilvl="0" w:tplc="5FDE497E">
      <w:start w:val="1"/>
      <w:numFmt w:val="lowerLetter"/>
      <w:lvlText w:val="%1)"/>
      <w:lvlJc w:val="left"/>
      <w:pPr>
        <w:ind w:left="720" w:hanging="360"/>
      </w:pPr>
      <w:rPr>
        <w:b w:val="0"/>
        <w:i w:val="0"/>
      </w:rPr>
    </w:lvl>
    <w:lvl w:ilvl="1" w:tplc="D700CC2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370D1A93"/>
    <w:multiLevelType w:val="hybridMultilevel"/>
    <w:tmpl w:val="2618A8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383C2400"/>
    <w:multiLevelType w:val="hybridMultilevel"/>
    <w:tmpl w:val="3EAA7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38777AC8"/>
    <w:multiLevelType w:val="hybridMultilevel"/>
    <w:tmpl w:val="C582A0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38BF334A"/>
    <w:multiLevelType w:val="hybridMultilevel"/>
    <w:tmpl w:val="F11C89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9997109"/>
    <w:multiLevelType w:val="hybridMultilevel"/>
    <w:tmpl w:val="4F5C138A"/>
    <w:lvl w:ilvl="0" w:tplc="DA022CA2">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3BFD0CD7"/>
    <w:multiLevelType w:val="hybridMultilevel"/>
    <w:tmpl w:val="6A0EF6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3C22342A"/>
    <w:multiLevelType w:val="hybridMultilevel"/>
    <w:tmpl w:val="CADA97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3CC47B7E"/>
    <w:multiLevelType w:val="hybridMultilevel"/>
    <w:tmpl w:val="C16CED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3D080B11"/>
    <w:multiLevelType w:val="hybridMultilevel"/>
    <w:tmpl w:val="8F646686"/>
    <w:lvl w:ilvl="0" w:tplc="C1E87182">
      <w:start w:val="1"/>
      <w:numFmt w:val="lowerLetter"/>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3D132F84"/>
    <w:multiLevelType w:val="hybridMultilevel"/>
    <w:tmpl w:val="D43E0A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3D4115A2"/>
    <w:multiLevelType w:val="hybridMultilevel"/>
    <w:tmpl w:val="1D1AE1F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3DDA1239"/>
    <w:multiLevelType w:val="hybridMultilevel"/>
    <w:tmpl w:val="7F9ABFD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05" w15:restartNumberingAfterBreak="0">
    <w:nsid w:val="3E404BFD"/>
    <w:multiLevelType w:val="hybridMultilevel"/>
    <w:tmpl w:val="3AF8A7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3F822105"/>
    <w:multiLevelType w:val="hybridMultilevel"/>
    <w:tmpl w:val="CCB4A6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40257ED1"/>
    <w:multiLevelType w:val="multilevel"/>
    <w:tmpl w:val="B61A7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14E7CAA"/>
    <w:multiLevelType w:val="hybridMultilevel"/>
    <w:tmpl w:val="2208CD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41F64CAC"/>
    <w:multiLevelType w:val="hybridMultilevel"/>
    <w:tmpl w:val="7BBAF9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42271155"/>
    <w:multiLevelType w:val="hybridMultilevel"/>
    <w:tmpl w:val="608A1C7E"/>
    <w:lvl w:ilvl="0" w:tplc="6C4299FE">
      <w:start w:val="1"/>
      <w:numFmt w:val="lowerLetter"/>
      <w:lvlText w:val="%1)"/>
      <w:lvlJc w:val="left"/>
      <w:pPr>
        <w:ind w:left="720" w:hanging="360"/>
      </w:pPr>
      <w:rPr>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426E4845"/>
    <w:multiLevelType w:val="hybridMultilevel"/>
    <w:tmpl w:val="2FE60AB8"/>
    <w:lvl w:ilvl="0" w:tplc="DDB40774">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2" w15:restartNumberingAfterBreak="0">
    <w:nsid w:val="42C40CBA"/>
    <w:multiLevelType w:val="hybridMultilevel"/>
    <w:tmpl w:val="E12868F6"/>
    <w:lvl w:ilvl="0" w:tplc="A99EBDFC">
      <w:start w:val="1"/>
      <w:numFmt w:val="decimal"/>
      <w:lvlText w:val="(%1)"/>
      <w:lvlJc w:val="left"/>
      <w:pPr>
        <w:tabs>
          <w:tab w:val="num" w:pos="340"/>
        </w:tabs>
        <w:ind w:left="340" w:hanging="340"/>
      </w:pPr>
      <w:rPr>
        <w:rFonts w:hint="default"/>
      </w:rPr>
    </w:lvl>
    <w:lvl w:ilvl="1" w:tplc="07860736">
      <w:start w:val="1"/>
      <w:numFmt w:val="lowerLetter"/>
      <w:pStyle w:val="MTDisplayEquation"/>
      <w:lvlText w:val="(%2)"/>
      <w:lvlJc w:val="left"/>
      <w:pPr>
        <w:tabs>
          <w:tab w:val="num" w:pos="1417"/>
        </w:tabs>
        <w:ind w:left="1417" w:hanging="283"/>
      </w:pPr>
      <w:rPr>
        <w:rFonts w:ascii="Times New Roman" w:eastAsia="Times New Roman" w:hAnsi="Times New Roman" w:cs="Times New Roman"/>
        <w:i w:val="0"/>
      </w:rPr>
    </w:lvl>
    <w:lvl w:ilvl="2" w:tplc="040E0001">
      <w:start w:val="1"/>
      <w:numFmt w:val="bullet"/>
      <w:lvlText w:val=""/>
      <w:lvlJc w:val="left"/>
      <w:pPr>
        <w:tabs>
          <w:tab w:val="num" w:pos="1980"/>
        </w:tabs>
        <w:ind w:left="1980" w:hanging="360"/>
      </w:pPr>
      <w:rPr>
        <w:rFonts w:ascii="Symbol" w:hAnsi="Symbol"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3" w15:restartNumberingAfterBreak="0">
    <w:nsid w:val="4380444E"/>
    <w:multiLevelType w:val="hybridMultilevel"/>
    <w:tmpl w:val="605041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443F55B7"/>
    <w:multiLevelType w:val="hybridMultilevel"/>
    <w:tmpl w:val="433E23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44AE145B"/>
    <w:multiLevelType w:val="hybridMultilevel"/>
    <w:tmpl w:val="5BC4F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4E41737"/>
    <w:multiLevelType w:val="hybridMultilevel"/>
    <w:tmpl w:val="93161C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45C0124B"/>
    <w:multiLevelType w:val="hybridMultilevel"/>
    <w:tmpl w:val="DE9CAB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45D36E1B"/>
    <w:multiLevelType w:val="hybridMultilevel"/>
    <w:tmpl w:val="53FA3222"/>
    <w:lvl w:ilvl="0" w:tplc="B3AA1702">
      <w:start w:val="1"/>
      <w:numFmt w:val="lowerLetter"/>
      <w:lvlText w:val="%1)"/>
      <w:lvlJc w:val="left"/>
      <w:pPr>
        <w:ind w:left="720" w:hanging="360"/>
      </w:pPr>
      <w:rPr>
        <w:rFonts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46D343DA"/>
    <w:multiLevelType w:val="hybridMultilevel"/>
    <w:tmpl w:val="94040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46E32FED"/>
    <w:multiLevelType w:val="hybridMultilevel"/>
    <w:tmpl w:val="B2A4F4C2"/>
    <w:lvl w:ilvl="0" w:tplc="DDB4077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1" w15:restartNumberingAfterBreak="0">
    <w:nsid w:val="46F326B4"/>
    <w:multiLevelType w:val="hybridMultilevel"/>
    <w:tmpl w:val="673257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477928E2"/>
    <w:multiLevelType w:val="hybridMultilevel"/>
    <w:tmpl w:val="BECE5C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478163D7"/>
    <w:multiLevelType w:val="hybridMultilevel"/>
    <w:tmpl w:val="120244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47DA3DD5"/>
    <w:multiLevelType w:val="hybridMultilevel"/>
    <w:tmpl w:val="212CF7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48343C9F"/>
    <w:multiLevelType w:val="hybridMultilevel"/>
    <w:tmpl w:val="221AA5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499B02F8"/>
    <w:multiLevelType w:val="hybridMultilevel"/>
    <w:tmpl w:val="4CC8FE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49FC0D90"/>
    <w:multiLevelType w:val="hybridMultilevel"/>
    <w:tmpl w:val="377276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4A1C4E72"/>
    <w:multiLevelType w:val="hybridMultilevel"/>
    <w:tmpl w:val="12B63A16"/>
    <w:lvl w:ilvl="0" w:tplc="DA7C6846">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4A456B11"/>
    <w:multiLevelType w:val="hybridMultilevel"/>
    <w:tmpl w:val="8C203F06"/>
    <w:lvl w:ilvl="0" w:tplc="DA022CA2">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9D20A2"/>
    <w:multiLevelType w:val="hybridMultilevel"/>
    <w:tmpl w:val="90047284"/>
    <w:lvl w:ilvl="0" w:tplc="DA022CA2">
      <w:start w:val="6"/>
      <w:numFmt w:val="bullet"/>
      <w:lvlText w:val="-"/>
      <w:lvlJc w:val="left"/>
      <w:pPr>
        <w:ind w:left="814" w:hanging="360"/>
      </w:pPr>
      <w:rPr>
        <w:rFonts w:ascii="Times New Roman" w:eastAsia="Times New Roman"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131" w15:restartNumberingAfterBreak="0">
    <w:nsid w:val="4AAE36B2"/>
    <w:multiLevelType w:val="hybridMultilevel"/>
    <w:tmpl w:val="9D0C73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4AE7372C"/>
    <w:multiLevelType w:val="hybridMultilevel"/>
    <w:tmpl w:val="840095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4C202BDC"/>
    <w:multiLevelType w:val="hybridMultilevel"/>
    <w:tmpl w:val="1E3057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4F867DB5"/>
    <w:multiLevelType w:val="hybridMultilevel"/>
    <w:tmpl w:val="BB6CD398"/>
    <w:lvl w:ilvl="0" w:tplc="C6846962">
      <w:start w:val="1"/>
      <w:numFmt w:val="lowerLetter"/>
      <w:lvlText w:val="%1)"/>
      <w:lvlJc w:val="left"/>
      <w:pPr>
        <w:ind w:left="51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4FE84C43"/>
    <w:multiLevelType w:val="hybridMultilevel"/>
    <w:tmpl w:val="68C4A5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502E2A61"/>
    <w:multiLevelType w:val="hybridMultilevel"/>
    <w:tmpl w:val="B8D8D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5048106F"/>
    <w:multiLevelType w:val="hybridMultilevel"/>
    <w:tmpl w:val="5B94D9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515316AD"/>
    <w:multiLevelType w:val="hybridMultilevel"/>
    <w:tmpl w:val="6ED420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52986134"/>
    <w:multiLevelType w:val="hybridMultilevel"/>
    <w:tmpl w:val="B8D697DA"/>
    <w:lvl w:ilvl="0" w:tplc="DDB4077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0" w15:restartNumberingAfterBreak="0">
    <w:nsid w:val="52BF3E6E"/>
    <w:multiLevelType w:val="hybridMultilevel"/>
    <w:tmpl w:val="98B24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532F6F6E"/>
    <w:multiLevelType w:val="hybridMultilevel"/>
    <w:tmpl w:val="8E24A3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5463197D"/>
    <w:multiLevelType w:val="hybridMultilevel"/>
    <w:tmpl w:val="EDC2AC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55A3146C"/>
    <w:multiLevelType w:val="hybridMultilevel"/>
    <w:tmpl w:val="3CECBCF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4" w15:restartNumberingAfterBreak="0">
    <w:nsid w:val="56CE76AF"/>
    <w:multiLevelType w:val="hybridMultilevel"/>
    <w:tmpl w:val="D9263B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56F36B9C"/>
    <w:multiLevelType w:val="hybridMultilevel"/>
    <w:tmpl w:val="71CC1F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56FD7680"/>
    <w:multiLevelType w:val="hybridMultilevel"/>
    <w:tmpl w:val="98964C84"/>
    <w:lvl w:ilvl="0" w:tplc="DA022CA2">
      <w:start w:val="6"/>
      <w:numFmt w:val="bullet"/>
      <w:lvlText w:val="-"/>
      <w:lvlJc w:val="left"/>
      <w:pPr>
        <w:ind w:left="1174" w:hanging="360"/>
      </w:pPr>
      <w:rPr>
        <w:rFonts w:ascii="Times New Roman" w:eastAsia="Times New Roman" w:hAnsi="Times New Roman" w:cs="Times New Roman"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47" w15:restartNumberingAfterBreak="0">
    <w:nsid w:val="58F61A6A"/>
    <w:multiLevelType w:val="hybridMultilevel"/>
    <w:tmpl w:val="6E5ACDCC"/>
    <w:lvl w:ilvl="0" w:tplc="F44A431A">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58FB5D1E"/>
    <w:multiLevelType w:val="hybridMultilevel"/>
    <w:tmpl w:val="51E052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59BE0A81"/>
    <w:multiLevelType w:val="hybridMultilevel"/>
    <w:tmpl w:val="0EA65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5A000214"/>
    <w:multiLevelType w:val="hybridMultilevel"/>
    <w:tmpl w:val="26D622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15:restartNumberingAfterBreak="0">
    <w:nsid w:val="5A5D779E"/>
    <w:multiLevelType w:val="hybridMultilevel"/>
    <w:tmpl w:val="0A8ACF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5AA64A55"/>
    <w:multiLevelType w:val="hybridMultilevel"/>
    <w:tmpl w:val="D5D02A5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3" w15:restartNumberingAfterBreak="0">
    <w:nsid w:val="5B0E664E"/>
    <w:multiLevelType w:val="hybridMultilevel"/>
    <w:tmpl w:val="1CFC5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5D055914"/>
    <w:multiLevelType w:val="hybridMultilevel"/>
    <w:tmpl w:val="48E87F8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5DCE7C5C"/>
    <w:multiLevelType w:val="hybridMultilevel"/>
    <w:tmpl w:val="13921E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5DF37D36"/>
    <w:multiLevelType w:val="hybridMultilevel"/>
    <w:tmpl w:val="CDDC20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5EE77DF5"/>
    <w:multiLevelType w:val="hybridMultilevel"/>
    <w:tmpl w:val="0E8E99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5F9529C0"/>
    <w:multiLevelType w:val="hybridMultilevel"/>
    <w:tmpl w:val="0BB0B3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60252B30"/>
    <w:multiLevelType w:val="hybridMultilevel"/>
    <w:tmpl w:val="753275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612E771E"/>
    <w:multiLevelType w:val="hybridMultilevel"/>
    <w:tmpl w:val="472CE0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62466121"/>
    <w:multiLevelType w:val="hybridMultilevel"/>
    <w:tmpl w:val="4F2A91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63DE0514"/>
    <w:multiLevelType w:val="hybridMultilevel"/>
    <w:tmpl w:val="E744AD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64B82658"/>
    <w:multiLevelType w:val="hybridMultilevel"/>
    <w:tmpl w:val="99B63F5C"/>
    <w:lvl w:ilvl="0" w:tplc="056657D2">
      <w:start w:val="1"/>
      <w:numFmt w:val="lowerLetter"/>
      <w:lvlText w:val="%1)"/>
      <w:lvlJc w:val="left"/>
      <w:pPr>
        <w:ind w:left="720" w:hanging="360"/>
      </w:pPr>
      <w:rPr>
        <w:rFonts w:ascii="Times New Roman" w:eastAsia="Times New Roman" w:hAnsi="Times New Roman" w:cs="Times New Roman"/>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656635AB"/>
    <w:multiLevelType w:val="hybridMultilevel"/>
    <w:tmpl w:val="F1CE12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658613AA"/>
    <w:multiLevelType w:val="hybridMultilevel"/>
    <w:tmpl w:val="D9AC4A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6AB56CC9"/>
    <w:multiLevelType w:val="hybridMultilevel"/>
    <w:tmpl w:val="F5F0BF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6AF160E5"/>
    <w:multiLevelType w:val="hybridMultilevel"/>
    <w:tmpl w:val="4DD09D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6BCA7D53"/>
    <w:multiLevelType w:val="hybridMultilevel"/>
    <w:tmpl w:val="7B8AD808"/>
    <w:lvl w:ilvl="0" w:tplc="0A9C5C3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6BCD75DB"/>
    <w:multiLevelType w:val="hybridMultilevel"/>
    <w:tmpl w:val="0FC69110"/>
    <w:lvl w:ilvl="0" w:tplc="C2221F5A">
      <w:numFmt w:val="bullet"/>
      <w:lvlText w:val="-"/>
      <w:lvlJc w:val="left"/>
      <w:pPr>
        <w:ind w:left="405" w:hanging="360"/>
      </w:pPr>
      <w:rPr>
        <w:rFonts w:ascii="Calibri" w:eastAsia="Calibr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70" w15:restartNumberingAfterBreak="0">
    <w:nsid w:val="6DB0359A"/>
    <w:multiLevelType w:val="hybridMultilevel"/>
    <w:tmpl w:val="FC6C5E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15:restartNumberingAfterBreak="0">
    <w:nsid w:val="6E324890"/>
    <w:multiLevelType w:val="hybridMultilevel"/>
    <w:tmpl w:val="C78CB8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6EBC6F39"/>
    <w:multiLevelType w:val="singleLevel"/>
    <w:tmpl w:val="05D070AE"/>
    <w:lvl w:ilvl="0">
      <w:start w:val="1"/>
      <w:numFmt w:val="lowerLetter"/>
      <w:lvlText w:val="%1) "/>
      <w:legacy w:legacy="1" w:legacySpace="0" w:legacyIndent="283"/>
      <w:lvlJc w:val="left"/>
      <w:pPr>
        <w:ind w:left="992" w:hanging="283"/>
      </w:pPr>
      <w:rPr>
        <w:b w:val="0"/>
        <w:i w:val="0"/>
        <w:sz w:val="24"/>
        <w:szCs w:val="24"/>
      </w:rPr>
    </w:lvl>
  </w:abstractNum>
  <w:abstractNum w:abstractNumId="173" w15:restartNumberingAfterBreak="0">
    <w:nsid w:val="6F322B57"/>
    <w:multiLevelType w:val="hybridMultilevel"/>
    <w:tmpl w:val="723CCE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726F6C60"/>
    <w:multiLevelType w:val="hybridMultilevel"/>
    <w:tmpl w:val="C69E59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7511592F"/>
    <w:multiLevelType w:val="hybridMultilevel"/>
    <w:tmpl w:val="FBB058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6" w15:restartNumberingAfterBreak="0">
    <w:nsid w:val="766B34CA"/>
    <w:multiLevelType w:val="hybridMultilevel"/>
    <w:tmpl w:val="09C2D5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776A7F6E"/>
    <w:multiLevelType w:val="hybridMultilevel"/>
    <w:tmpl w:val="65F4A0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8" w15:restartNumberingAfterBreak="0">
    <w:nsid w:val="77A264D9"/>
    <w:multiLevelType w:val="hybridMultilevel"/>
    <w:tmpl w:val="2A6CE918"/>
    <w:lvl w:ilvl="0" w:tplc="C2221F5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78BA5CBD"/>
    <w:multiLevelType w:val="hybridMultilevel"/>
    <w:tmpl w:val="43BE1C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0" w15:restartNumberingAfterBreak="0">
    <w:nsid w:val="7956261B"/>
    <w:multiLevelType w:val="hybridMultilevel"/>
    <w:tmpl w:val="2856E5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1" w15:restartNumberingAfterBreak="0">
    <w:nsid w:val="79F459A0"/>
    <w:multiLevelType w:val="hybridMultilevel"/>
    <w:tmpl w:val="34FE5E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7A3C349C"/>
    <w:multiLevelType w:val="hybridMultilevel"/>
    <w:tmpl w:val="C188FE4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3" w15:restartNumberingAfterBreak="0">
    <w:nsid w:val="7A8C2D7B"/>
    <w:multiLevelType w:val="hybridMultilevel"/>
    <w:tmpl w:val="5100F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4" w15:restartNumberingAfterBreak="0">
    <w:nsid w:val="7D0336C8"/>
    <w:multiLevelType w:val="hybridMultilevel"/>
    <w:tmpl w:val="4956D3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5" w15:restartNumberingAfterBreak="0">
    <w:nsid w:val="7EB12CB5"/>
    <w:multiLevelType w:val="hybridMultilevel"/>
    <w:tmpl w:val="A4FE22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15:restartNumberingAfterBreak="0">
    <w:nsid w:val="7EEE56EB"/>
    <w:multiLevelType w:val="hybridMultilevel"/>
    <w:tmpl w:val="9732EC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40"/>
  </w:num>
  <w:num w:numId="3">
    <w:abstractNumId w:val="65"/>
  </w:num>
  <w:num w:numId="4">
    <w:abstractNumId w:val="101"/>
  </w:num>
  <w:num w:numId="5">
    <w:abstractNumId w:val="36"/>
  </w:num>
  <w:num w:numId="6">
    <w:abstractNumId w:val="28"/>
  </w:num>
  <w:num w:numId="7">
    <w:abstractNumId w:val="10"/>
  </w:num>
  <w:num w:numId="8">
    <w:abstractNumId w:val="117"/>
  </w:num>
  <w:num w:numId="9">
    <w:abstractNumId w:val="103"/>
  </w:num>
  <w:num w:numId="10">
    <w:abstractNumId w:val="49"/>
  </w:num>
  <w:num w:numId="11">
    <w:abstractNumId w:val="144"/>
  </w:num>
  <w:num w:numId="12">
    <w:abstractNumId w:val="185"/>
  </w:num>
  <w:num w:numId="13">
    <w:abstractNumId w:val="98"/>
  </w:num>
  <w:num w:numId="14">
    <w:abstractNumId w:val="96"/>
  </w:num>
  <w:num w:numId="15">
    <w:abstractNumId w:val="75"/>
  </w:num>
  <w:num w:numId="16">
    <w:abstractNumId w:val="77"/>
  </w:num>
  <w:num w:numId="17">
    <w:abstractNumId w:val="118"/>
  </w:num>
  <w:num w:numId="18">
    <w:abstractNumId w:val="134"/>
  </w:num>
  <w:num w:numId="19">
    <w:abstractNumId w:val="124"/>
  </w:num>
  <w:num w:numId="20">
    <w:abstractNumId w:val="19"/>
  </w:num>
  <w:num w:numId="21">
    <w:abstractNumId w:val="25"/>
  </w:num>
  <w:num w:numId="22">
    <w:abstractNumId w:val="92"/>
  </w:num>
  <w:num w:numId="23">
    <w:abstractNumId w:val="142"/>
  </w:num>
  <w:num w:numId="24">
    <w:abstractNumId w:val="121"/>
  </w:num>
  <w:num w:numId="25">
    <w:abstractNumId w:val="143"/>
  </w:num>
  <w:num w:numId="26">
    <w:abstractNumId w:val="95"/>
  </w:num>
  <w:num w:numId="27">
    <w:abstractNumId w:val="161"/>
  </w:num>
  <w:num w:numId="28">
    <w:abstractNumId w:val="55"/>
  </w:num>
  <w:num w:numId="29">
    <w:abstractNumId w:val="15"/>
  </w:num>
  <w:num w:numId="30">
    <w:abstractNumId w:val="122"/>
  </w:num>
  <w:num w:numId="31">
    <w:abstractNumId w:val="50"/>
  </w:num>
  <w:num w:numId="32">
    <w:abstractNumId w:val="186"/>
  </w:num>
  <w:num w:numId="33">
    <w:abstractNumId w:val="127"/>
  </w:num>
  <w:num w:numId="34">
    <w:abstractNumId w:val="177"/>
  </w:num>
  <w:num w:numId="35">
    <w:abstractNumId w:val="78"/>
  </w:num>
  <w:num w:numId="36">
    <w:abstractNumId w:val="68"/>
  </w:num>
  <w:num w:numId="37">
    <w:abstractNumId w:val="22"/>
  </w:num>
  <w:num w:numId="38">
    <w:abstractNumId w:val="102"/>
  </w:num>
  <w:num w:numId="39">
    <w:abstractNumId w:val="183"/>
  </w:num>
  <w:num w:numId="40">
    <w:abstractNumId w:val="58"/>
  </w:num>
  <w:num w:numId="41">
    <w:abstractNumId w:val="99"/>
  </w:num>
  <w:num w:numId="42">
    <w:abstractNumId w:val="180"/>
  </w:num>
  <w:num w:numId="43">
    <w:abstractNumId w:val="131"/>
  </w:num>
  <w:num w:numId="44">
    <w:abstractNumId w:val="125"/>
  </w:num>
  <w:num w:numId="45">
    <w:abstractNumId w:val="175"/>
  </w:num>
  <w:num w:numId="46">
    <w:abstractNumId w:val="79"/>
  </w:num>
  <w:num w:numId="47">
    <w:abstractNumId w:val="176"/>
  </w:num>
  <w:num w:numId="48">
    <w:abstractNumId w:val="145"/>
  </w:num>
  <w:num w:numId="49">
    <w:abstractNumId w:val="40"/>
  </w:num>
  <w:num w:numId="50">
    <w:abstractNumId w:val="62"/>
  </w:num>
  <w:num w:numId="51">
    <w:abstractNumId w:val="123"/>
  </w:num>
  <w:num w:numId="52">
    <w:abstractNumId w:val="17"/>
  </w:num>
  <w:num w:numId="53">
    <w:abstractNumId w:val="21"/>
  </w:num>
  <w:num w:numId="54">
    <w:abstractNumId w:val="35"/>
  </w:num>
  <w:num w:numId="55">
    <w:abstractNumId w:val="159"/>
  </w:num>
  <w:num w:numId="56">
    <w:abstractNumId w:val="13"/>
  </w:num>
  <w:num w:numId="57">
    <w:abstractNumId w:val="53"/>
  </w:num>
  <w:num w:numId="58">
    <w:abstractNumId w:val="133"/>
  </w:num>
  <w:num w:numId="59">
    <w:abstractNumId w:val="155"/>
  </w:num>
  <w:num w:numId="60">
    <w:abstractNumId w:val="69"/>
  </w:num>
  <w:num w:numId="61">
    <w:abstractNumId w:val="26"/>
  </w:num>
  <w:num w:numId="62">
    <w:abstractNumId w:val="43"/>
  </w:num>
  <w:num w:numId="63">
    <w:abstractNumId w:val="39"/>
  </w:num>
  <w:num w:numId="64">
    <w:abstractNumId w:val="45"/>
  </w:num>
  <w:num w:numId="65">
    <w:abstractNumId w:val="128"/>
  </w:num>
  <w:num w:numId="66">
    <w:abstractNumId w:val="166"/>
  </w:num>
  <w:num w:numId="67">
    <w:abstractNumId w:val="31"/>
  </w:num>
  <w:num w:numId="68">
    <w:abstractNumId w:val="74"/>
  </w:num>
  <w:num w:numId="69">
    <w:abstractNumId w:val="141"/>
  </w:num>
  <w:num w:numId="70">
    <w:abstractNumId w:val="16"/>
  </w:num>
  <w:num w:numId="71">
    <w:abstractNumId w:val="90"/>
  </w:num>
  <w:num w:numId="72">
    <w:abstractNumId w:val="56"/>
  </w:num>
  <w:num w:numId="73">
    <w:abstractNumId w:val="72"/>
  </w:num>
  <w:num w:numId="74">
    <w:abstractNumId w:val="87"/>
  </w:num>
  <w:num w:numId="75">
    <w:abstractNumId w:val="179"/>
  </w:num>
  <w:num w:numId="76">
    <w:abstractNumId w:val="109"/>
  </w:num>
  <w:num w:numId="77">
    <w:abstractNumId w:val="170"/>
  </w:num>
  <w:num w:numId="78">
    <w:abstractNumId w:val="119"/>
  </w:num>
  <w:num w:numId="79">
    <w:abstractNumId w:val="135"/>
  </w:num>
  <w:num w:numId="80">
    <w:abstractNumId w:val="5"/>
  </w:num>
  <w:num w:numId="81">
    <w:abstractNumId w:val="59"/>
  </w:num>
  <w:num w:numId="82">
    <w:abstractNumId w:val="173"/>
  </w:num>
  <w:num w:numId="83">
    <w:abstractNumId w:val="105"/>
  </w:num>
  <w:num w:numId="84">
    <w:abstractNumId w:val="148"/>
  </w:num>
  <w:num w:numId="85">
    <w:abstractNumId w:val="106"/>
  </w:num>
  <w:num w:numId="86">
    <w:abstractNumId w:val="32"/>
  </w:num>
  <w:num w:numId="87">
    <w:abstractNumId w:val="94"/>
  </w:num>
  <w:num w:numId="88">
    <w:abstractNumId w:val="160"/>
  </w:num>
  <w:num w:numId="89">
    <w:abstractNumId w:val="42"/>
  </w:num>
  <w:num w:numId="90">
    <w:abstractNumId w:val="76"/>
  </w:num>
  <w:num w:numId="91">
    <w:abstractNumId w:val="4"/>
  </w:num>
  <w:num w:numId="92">
    <w:abstractNumId w:val="82"/>
  </w:num>
  <w:num w:numId="93">
    <w:abstractNumId w:val="126"/>
  </w:num>
  <w:num w:numId="94">
    <w:abstractNumId w:val="38"/>
  </w:num>
  <w:num w:numId="95">
    <w:abstractNumId w:val="6"/>
  </w:num>
  <w:num w:numId="96">
    <w:abstractNumId w:val="54"/>
  </w:num>
  <w:num w:numId="97">
    <w:abstractNumId w:val="7"/>
  </w:num>
  <w:num w:numId="98">
    <w:abstractNumId w:val="12"/>
  </w:num>
  <w:num w:numId="99">
    <w:abstractNumId w:val="63"/>
  </w:num>
  <w:num w:numId="100">
    <w:abstractNumId w:val="110"/>
  </w:num>
  <w:num w:numId="101">
    <w:abstractNumId w:val="71"/>
  </w:num>
  <w:num w:numId="102">
    <w:abstractNumId w:val="20"/>
  </w:num>
  <w:num w:numId="103">
    <w:abstractNumId w:val="30"/>
  </w:num>
  <w:num w:numId="104">
    <w:abstractNumId w:val="184"/>
  </w:num>
  <w:num w:numId="105">
    <w:abstractNumId w:val="157"/>
  </w:num>
  <w:num w:numId="106">
    <w:abstractNumId w:val="114"/>
  </w:num>
  <w:num w:numId="107">
    <w:abstractNumId w:val="67"/>
  </w:num>
  <w:num w:numId="108">
    <w:abstractNumId w:val="113"/>
  </w:num>
  <w:num w:numId="109">
    <w:abstractNumId w:val="158"/>
  </w:num>
  <w:num w:numId="110">
    <w:abstractNumId w:val="151"/>
  </w:num>
  <w:num w:numId="111">
    <w:abstractNumId w:val="162"/>
  </w:num>
  <w:num w:numId="112">
    <w:abstractNumId w:val="182"/>
  </w:num>
  <w:num w:numId="113">
    <w:abstractNumId w:val="86"/>
  </w:num>
  <w:num w:numId="114">
    <w:abstractNumId w:val="24"/>
  </w:num>
  <w:num w:numId="115">
    <w:abstractNumId w:val="47"/>
  </w:num>
  <w:num w:numId="116">
    <w:abstractNumId w:val="8"/>
  </w:num>
  <w:num w:numId="117">
    <w:abstractNumId w:val="164"/>
  </w:num>
  <w:num w:numId="118">
    <w:abstractNumId w:val="27"/>
  </w:num>
  <w:num w:numId="119">
    <w:abstractNumId w:val="108"/>
  </w:num>
  <w:num w:numId="120">
    <w:abstractNumId w:val="150"/>
  </w:num>
  <w:num w:numId="121">
    <w:abstractNumId w:val="85"/>
  </w:num>
  <w:num w:numId="122">
    <w:abstractNumId w:val="14"/>
  </w:num>
  <w:num w:numId="123">
    <w:abstractNumId w:val="34"/>
  </w:num>
  <w:num w:numId="124">
    <w:abstractNumId w:val="136"/>
  </w:num>
  <w:num w:numId="125">
    <w:abstractNumId w:val="91"/>
  </w:num>
  <w:num w:numId="126">
    <w:abstractNumId w:val="3"/>
  </w:num>
  <w:num w:numId="127">
    <w:abstractNumId w:val="167"/>
  </w:num>
  <w:num w:numId="128">
    <w:abstractNumId w:val="163"/>
  </w:num>
  <w:num w:numId="129">
    <w:abstractNumId w:val="51"/>
  </w:num>
  <w:num w:numId="130">
    <w:abstractNumId w:val="93"/>
  </w:num>
  <w:num w:numId="131">
    <w:abstractNumId w:val="149"/>
  </w:num>
  <w:num w:numId="132">
    <w:abstractNumId w:val="84"/>
  </w:num>
  <w:num w:numId="133">
    <w:abstractNumId w:val="88"/>
  </w:num>
  <w:num w:numId="134">
    <w:abstractNumId w:val="138"/>
  </w:num>
  <w:num w:numId="135">
    <w:abstractNumId w:val="171"/>
  </w:num>
  <w:num w:numId="136">
    <w:abstractNumId w:val="132"/>
  </w:num>
  <w:num w:numId="137">
    <w:abstractNumId w:val="41"/>
  </w:num>
  <w:num w:numId="138">
    <w:abstractNumId w:val="165"/>
  </w:num>
  <w:num w:numId="139">
    <w:abstractNumId w:val="0"/>
  </w:num>
  <w:num w:numId="140">
    <w:abstractNumId w:val="112"/>
  </w:num>
  <w:num w:numId="141">
    <w:abstractNumId w:val="172"/>
    <w:lvlOverride w:ilvl="0">
      <w:startOverride w:val="1"/>
    </w:lvlOverride>
  </w:num>
  <w:num w:numId="142">
    <w:abstractNumId w:val="107"/>
  </w:num>
  <w:num w:numId="143">
    <w:abstractNumId w:val="147"/>
  </w:num>
  <w:num w:numId="144">
    <w:abstractNumId w:val="64"/>
  </w:num>
  <w:num w:numId="145">
    <w:abstractNumId w:val="81"/>
  </w:num>
  <w:num w:numId="146">
    <w:abstractNumId w:val="104"/>
  </w:num>
  <w:num w:numId="147">
    <w:abstractNumId w:val="11"/>
  </w:num>
  <w:num w:numId="148">
    <w:abstractNumId w:val="168"/>
  </w:num>
  <w:num w:numId="149">
    <w:abstractNumId w:val="115"/>
  </w:num>
  <w:num w:numId="150">
    <w:abstractNumId w:val="153"/>
  </w:num>
  <w:num w:numId="151">
    <w:abstractNumId w:val="80"/>
  </w:num>
  <w:num w:numId="152">
    <w:abstractNumId w:val="100"/>
  </w:num>
  <w:num w:numId="153">
    <w:abstractNumId w:val="169"/>
  </w:num>
  <w:num w:numId="154">
    <w:abstractNumId w:val="57"/>
  </w:num>
  <w:num w:numId="155">
    <w:abstractNumId w:val="66"/>
  </w:num>
  <w:num w:numId="156">
    <w:abstractNumId w:val="23"/>
  </w:num>
  <w:num w:numId="157">
    <w:abstractNumId w:val="48"/>
  </w:num>
  <w:num w:numId="158">
    <w:abstractNumId w:val="60"/>
  </w:num>
  <w:num w:numId="159">
    <w:abstractNumId w:val="137"/>
  </w:num>
  <w:num w:numId="160">
    <w:abstractNumId w:val="116"/>
  </w:num>
  <w:num w:numId="161">
    <w:abstractNumId w:val="174"/>
  </w:num>
  <w:num w:numId="162">
    <w:abstractNumId w:val="18"/>
  </w:num>
  <w:num w:numId="163">
    <w:abstractNumId w:val="154"/>
  </w:num>
  <w:num w:numId="164">
    <w:abstractNumId w:val="130"/>
  </w:num>
  <w:num w:numId="165">
    <w:abstractNumId w:val="129"/>
  </w:num>
  <w:num w:numId="166">
    <w:abstractNumId w:val="33"/>
  </w:num>
  <w:num w:numId="167">
    <w:abstractNumId w:val="146"/>
  </w:num>
  <w:num w:numId="168">
    <w:abstractNumId w:val="73"/>
  </w:num>
  <w:num w:numId="169">
    <w:abstractNumId w:val="97"/>
  </w:num>
  <w:num w:numId="170">
    <w:abstractNumId w:val="9"/>
  </w:num>
  <w:num w:numId="171">
    <w:abstractNumId w:val="37"/>
  </w:num>
  <w:num w:numId="172">
    <w:abstractNumId w:val="83"/>
  </w:num>
  <w:num w:numId="173">
    <w:abstractNumId w:val="2"/>
  </w:num>
  <w:num w:numId="174">
    <w:abstractNumId w:val="44"/>
  </w:num>
  <w:num w:numId="175">
    <w:abstractNumId w:val="181"/>
  </w:num>
  <w:num w:numId="176">
    <w:abstractNumId w:val="156"/>
  </w:num>
  <w:num w:numId="177">
    <w:abstractNumId w:val="29"/>
  </w:num>
  <w:num w:numId="178">
    <w:abstractNumId w:val="152"/>
  </w:num>
  <w:num w:numId="179">
    <w:abstractNumId w:val="178"/>
  </w:num>
  <w:num w:numId="180">
    <w:abstractNumId w:val="89"/>
  </w:num>
  <w:num w:numId="181">
    <w:abstractNumId w:val="111"/>
  </w:num>
  <w:num w:numId="182">
    <w:abstractNumId w:val="139"/>
  </w:num>
  <w:num w:numId="183">
    <w:abstractNumId w:val="52"/>
  </w:num>
  <w:num w:numId="184">
    <w:abstractNumId w:val="120"/>
  </w:num>
  <w:num w:numId="185">
    <w:abstractNumId w:val="70"/>
  </w:num>
  <w:num w:numId="186">
    <w:abstractNumId w:val="61"/>
  </w:num>
  <w:num w:numId="187">
    <w:abstractNumId w:val="4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5B"/>
    <w:rsid w:val="00026782"/>
    <w:rsid w:val="00036AD1"/>
    <w:rsid w:val="00055D3C"/>
    <w:rsid w:val="00081692"/>
    <w:rsid w:val="000B29C5"/>
    <w:rsid w:val="000C54DB"/>
    <w:rsid w:val="000E2113"/>
    <w:rsid w:val="000E4EBB"/>
    <w:rsid w:val="00145B57"/>
    <w:rsid w:val="00154DF0"/>
    <w:rsid w:val="001601FB"/>
    <w:rsid w:val="00174FAC"/>
    <w:rsid w:val="00186F78"/>
    <w:rsid w:val="001B6E1C"/>
    <w:rsid w:val="002B6307"/>
    <w:rsid w:val="002D0866"/>
    <w:rsid w:val="002D2E56"/>
    <w:rsid w:val="002E505A"/>
    <w:rsid w:val="00336AEC"/>
    <w:rsid w:val="003725B3"/>
    <w:rsid w:val="0037430A"/>
    <w:rsid w:val="00385CF2"/>
    <w:rsid w:val="00393B2C"/>
    <w:rsid w:val="003C39F0"/>
    <w:rsid w:val="003D048F"/>
    <w:rsid w:val="003F1CB5"/>
    <w:rsid w:val="003F2DED"/>
    <w:rsid w:val="0047591D"/>
    <w:rsid w:val="005C090C"/>
    <w:rsid w:val="005C493C"/>
    <w:rsid w:val="005D139A"/>
    <w:rsid w:val="005E14B0"/>
    <w:rsid w:val="00606E58"/>
    <w:rsid w:val="006108F5"/>
    <w:rsid w:val="00660171"/>
    <w:rsid w:val="006A7F78"/>
    <w:rsid w:val="006B3492"/>
    <w:rsid w:val="006C389D"/>
    <w:rsid w:val="006C3A8D"/>
    <w:rsid w:val="006D6D0B"/>
    <w:rsid w:val="006E5CBC"/>
    <w:rsid w:val="00714AB7"/>
    <w:rsid w:val="00734D33"/>
    <w:rsid w:val="0078578F"/>
    <w:rsid w:val="0079460B"/>
    <w:rsid w:val="00795035"/>
    <w:rsid w:val="007D2E59"/>
    <w:rsid w:val="007F0D05"/>
    <w:rsid w:val="00826B33"/>
    <w:rsid w:val="00827537"/>
    <w:rsid w:val="00835916"/>
    <w:rsid w:val="00844351"/>
    <w:rsid w:val="00864606"/>
    <w:rsid w:val="00877976"/>
    <w:rsid w:val="00893D5B"/>
    <w:rsid w:val="008A07C4"/>
    <w:rsid w:val="008F3214"/>
    <w:rsid w:val="00912564"/>
    <w:rsid w:val="009172E0"/>
    <w:rsid w:val="00934AB0"/>
    <w:rsid w:val="00962C23"/>
    <w:rsid w:val="0097206C"/>
    <w:rsid w:val="00995329"/>
    <w:rsid w:val="00A037FC"/>
    <w:rsid w:val="00A11A05"/>
    <w:rsid w:val="00A5211E"/>
    <w:rsid w:val="00A6278B"/>
    <w:rsid w:val="00A6538B"/>
    <w:rsid w:val="00A94F79"/>
    <w:rsid w:val="00AC18D5"/>
    <w:rsid w:val="00AC3981"/>
    <w:rsid w:val="00B373F5"/>
    <w:rsid w:val="00B92B69"/>
    <w:rsid w:val="00B965CC"/>
    <w:rsid w:val="00BB53E6"/>
    <w:rsid w:val="00BB7CE2"/>
    <w:rsid w:val="00BD6AF1"/>
    <w:rsid w:val="00BE4C0E"/>
    <w:rsid w:val="00C05BFA"/>
    <w:rsid w:val="00C06F0A"/>
    <w:rsid w:val="00C40553"/>
    <w:rsid w:val="00C510A3"/>
    <w:rsid w:val="00C54B98"/>
    <w:rsid w:val="00C56B8B"/>
    <w:rsid w:val="00C77450"/>
    <w:rsid w:val="00CE662A"/>
    <w:rsid w:val="00D11FA3"/>
    <w:rsid w:val="00D75251"/>
    <w:rsid w:val="00D90123"/>
    <w:rsid w:val="00E11925"/>
    <w:rsid w:val="00E212F1"/>
    <w:rsid w:val="00E57369"/>
    <w:rsid w:val="00E658DE"/>
    <w:rsid w:val="00E66932"/>
    <w:rsid w:val="00E77616"/>
    <w:rsid w:val="00E878FB"/>
    <w:rsid w:val="00EA7F2A"/>
    <w:rsid w:val="00EF20BD"/>
    <w:rsid w:val="00F742C0"/>
    <w:rsid w:val="00F83E93"/>
    <w:rsid w:val="00FB278D"/>
    <w:rsid w:val="00FD0545"/>
    <w:rsid w:val="00FD2F93"/>
    <w:rsid w:val="00FF32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367B84"/>
  <w15:chartTrackingRefBased/>
  <w15:docId w15:val="{90DE75FA-96AE-42DB-8B13-CEC028DC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5251"/>
    <w:pPr>
      <w:spacing w:after="0" w:line="240" w:lineRule="auto"/>
    </w:pPr>
    <w:rPr>
      <w:rFonts w:eastAsia="Times New Roman"/>
      <w:sz w:val="24"/>
      <w:szCs w:val="24"/>
      <w:lang w:eastAsia="hu-HU"/>
    </w:rPr>
  </w:style>
  <w:style w:type="paragraph" w:styleId="Cmsor1">
    <w:name w:val="heading 1"/>
    <w:basedOn w:val="Norml"/>
    <w:next w:val="Cmsor2"/>
    <w:link w:val="Cmsor1Char"/>
    <w:uiPriority w:val="9"/>
    <w:qFormat/>
    <w:rsid w:val="00893D5B"/>
    <w:pPr>
      <w:spacing w:before="120" w:after="60"/>
      <w:jc w:val="center"/>
      <w:outlineLvl w:val="0"/>
    </w:pPr>
    <w:rPr>
      <w:b/>
      <w:kern w:val="28"/>
      <w:sz w:val="22"/>
      <w:szCs w:val="22"/>
      <w:lang w:val="x-none" w:eastAsia="x-none"/>
    </w:rPr>
  </w:style>
  <w:style w:type="paragraph" w:styleId="Cmsor2">
    <w:name w:val="heading 2"/>
    <w:basedOn w:val="Norml"/>
    <w:link w:val="Cmsor2Char"/>
    <w:uiPriority w:val="9"/>
    <w:qFormat/>
    <w:rsid w:val="00893D5B"/>
    <w:pPr>
      <w:spacing w:before="60" w:after="60"/>
      <w:jc w:val="center"/>
      <w:outlineLvl w:val="1"/>
    </w:pPr>
    <w:rPr>
      <w:b/>
      <w:sz w:val="22"/>
      <w:szCs w:val="22"/>
      <w:lang w:val="x-none" w:eastAsia="x-none"/>
    </w:rPr>
  </w:style>
  <w:style w:type="paragraph" w:styleId="Cmsor3">
    <w:name w:val="heading 3"/>
    <w:basedOn w:val="Norml"/>
    <w:next w:val="Norml"/>
    <w:link w:val="Cmsor3Char"/>
    <w:uiPriority w:val="9"/>
    <w:qFormat/>
    <w:rsid w:val="00893D5B"/>
    <w:pPr>
      <w:ind w:left="908" w:hanging="908"/>
      <w:jc w:val="center"/>
      <w:outlineLvl w:val="2"/>
    </w:pPr>
    <w:rPr>
      <w:b/>
      <w:sz w:val="22"/>
      <w:szCs w:val="22"/>
      <w:lang w:val="x-none" w:eastAsia="x-none"/>
    </w:rPr>
  </w:style>
  <w:style w:type="paragraph" w:styleId="Cmsor4">
    <w:name w:val="heading 4"/>
    <w:basedOn w:val="Norml"/>
    <w:next w:val="Norml"/>
    <w:link w:val="Cmsor4Char"/>
    <w:uiPriority w:val="9"/>
    <w:qFormat/>
    <w:rsid w:val="00893D5B"/>
    <w:pPr>
      <w:keepNext/>
      <w:spacing w:before="240" w:after="60"/>
      <w:jc w:val="center"/>
      <w:outlineLvl w:val="3"/>
    </w:pPr>
    <w:rPr>
      <w:b/>
      <w:bCs/>
      <w:sz w:val="22"/>
      <w:szCs w:val="22"/>
      <w:lang w:val="x-none" w:eastAsia="x-none"/>
    </w:rPr>
  </w:style>
  <w:style w:type="paragraph" w:styleId="Cmsor5">
    <w:name w:val="heading 5"/>
    <w:basedOn w:val="Normlstilus1norml"/>
    <w:next w:val="Norml"/>
    <w:link w:val="Cmsor5Char"/>
    <w:uiPriority w:val="9"/>
    <w:qFormat/>
    <w:rsid w:val="00893D5B"/>
    <w:pPr>
      <w:tabs>
        <w:tab w:val="left" w:pos="9781"/>
      </w:tabs>
      <w:ind w:right="-144"/>
      <w:jc w:val="center"/>
      <w:outlineLvl w:val="4"/>
    </w:pPr>
    <w:rPr>
      <w:b/>
      <w:lang w:val="x-none" w:eastAsia="x-none"/>
    </w:rPr>
  </w:style>
  <w:style w:type="paragraph" w:styleId="Cmsor6">
    <w:name w:val="heading 6"/>
    <w:basedOn w:val="Norml"/>
    <w:next w:val="Norml"/>
    <w:link w:val="Cmsor6Char"/>
    <w:uiPriority w:val="9"/>
    <w:qFormat/>
    <w:rsid w:val="00893D5B"/>
    <w:pPr>
      <w:numPr>
        <w:ilvl w:val="5"/>
        <w:numId w:val="1"/>
      </w:numPr>
      <w:spacing w:before="240" w:after="60"/>
      <w:outlineLvl w:val="5"/>
    </w:pPr>
    <w:rPr>
      <w:i/>
      <w:sz w:val="22"/>
      <w:szCs w:val="20"/>
      <w:lang w:val="x-none" w:eastAsia="x-none"/>
    </w:rPr>
  </w:style>
  <w:style w:type="paragraph" w:styleId="Cmsor7">
    <w:name w:val="heading 7"/>
    <w:basedOn w:val="Norml"/>
    <w:next w:val="Norml"/>
    <w:link w:val="Cmsor7Char"/>
    <w:uiPriority w:val="9"/>
    <w:qFormat/>
    <w:rsid w:val="00893D5B"/>
    <w:pPr>
      <w:numPr>
        <w:ilvl w:val="6"/>
        <w:numId w:val="1"/>
      </w:numPr>
      <w:spacing w:before="240" w:after="60"/>
      <w:outlineLvl w:val="6"/>
    </w:pPr>
    <w:rPr>
      <w:rFonts w:ascii="Arial" w:hAnsi="Arial"/>
      <w:sz w:val="20"/>
      <w:szCs w:val="20"/>
      <w:lang w:val="x-none" w:eastAsia="x-none"/>
    </w:rPr>
  </w:style>
  <w:style w:type="paragraph" w:styleId="Cmsor8">
    <w:name w:val="heading 8"/>
    <w:basedOn w:val="Norml"/>
    <w:next w:val="Norml"/>
    <w:link w:val="Cmsor8Char"/>
    <w:uiPriority w:val="9"/>
    <w:qFormat/>
    <w:rsid w:val="00893D5B"/>
    <w:pPr>
      <w:numPr>
        <w:ilvl w:val="7"/>
        <w:numId w:val="1"/>
      </w:numPr>
      <w:spacing w:before="240" w:after="60"/>
      <w:outlineLvl w:val="7"/>
    </w:pPr>
    <w:rPr>
      <w:rFonts w:ascii="Arial" w:hAnsi="Arial"/>
      <w:i/>
      <w:sz w:val="20"/>
      <w:szCs w:val="20"/>
      <w:lang w:val="x-none" w:eastAsia="x-none"/>
    </w:rPr>
  </w:style>
  <w:style w:type="paragraph" w:styleId="Cmsor9">
    <w:name w:val="heading 9"/>
    <w:basedOn w:val="Norml"/>
    <w:next w:val="Norml"/>
    <w:link w:val="Cmsor9Char"/>
    <w:uiPriority w:val="9"/>
    <w:qFormat/>
    <w:rsid w:val="00893D5B"/>
    <w:pPr>
      <w:numPr>
        <w:ilvl w:val="8"/>
        <w:numId w:val="1"/>
      </w:numPr>
      <w:spacing w:before="240" w:after="60"/>
      <w:outlineLvl w:val="8"/>
    </w:pPr>
    <w:rPr>
      <w:rFonts w:ascii="Arial" w:hAnsi="Arial"/>
      <w:b/>
      <w:i/>
      <w:sz w:val="1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93D5B"/>
    <w:rPr>
      <w:rFonts w:eastAsia="Times New Roman"/>
      <w:b/>
      <w:kern w:val="28"/>
      <w:lang w:val="x-none" w:eastAsia="x-none"/>
    </w:rPr>
  </w:style>
  <w:style w:type="character" w:customStyle="1" w:styleId="Cmsor2Char">
    <w:name w:val="Címsor 2 Char"/>
    <w:basedOn w:val="Bekezdsalapbettpusa"/>
    <w:link w:val="Cmsor2"/>
    <w:uiPriority w:val="9"/>
    <w:rsid w:val="00893D5B"/>
    <w:rPr>
      <w:rFonts w:eastAsia="Times New Roman"/>
      <w:b/>
      <w:lang w:val="x-none" w:eastAsia="x-none"/>
    </w:rPr>
  </w:style>
  <w:style w:type="character" w:customStyle="1" w:styleId="Cmsor3Char">
    <w:name w:val="Címsor 3 Char"/>
    <w:basedOn w:val="Bekezdsalapbettpusa"/>
    <w:link w:val="Cmsor3"/>
    <w:uiPriority w:val="9"/>
    <w:rsid w:val="00893D5B"/>
    <w:rPr>
      <w:rFonts w:eastAsia="Times New Roman"/>
      <w:b/>
      <w:lang w:val="x-none" w:eastAsia="x-none"/>
    </w:rPr>
  </w:style>
  <w:style w:type="character" w:customStyle="1" w:styleId="Cmsor4Char">
    <w:name w:val="Címsor 4 Char"/>
    <w:basedOn w:val="Bekezdsalapbettpusa"/>
    <w:link w:val="Cmsor4"/>
    <w:uiPriority w:val="9"/>
    <w:rsid w:val="00893D5B"/>
    <w:rPr>
      <w:rFonts w:eastAsia="Times New Roman"/>
      <w:b/>
      <w:bCs/>
      <w:lang w:val="x-none" w:eastAsia="x-none"/>
    </w:rPr>
  </w:style>
  <w:style w:type="character" w:customStyle="1" w:styleId="Cmsor5Char">
    <w:name w:val="Címsor 5 Char"/>
    <w:basedOn w:val="Bekezdsalapbettpusa"/>
    <w:link w:val="Cmsor5"/>
    <w:uiPriority w:val="9"/>
    <w:rsid w:val="00893D5B"/>
    <w:rPr>
      <w:rFonts w:eastAsia="Times New Roman"/>
      <w:b/>
      <w:color w:val="000000"/>
      <w:sz w:val="24"/>
      <w:szCs w:val="24"/>
      <w:lang w:val="x-none" w:eastAsia="x-none"/>
    </w:rPr>
  </w:style>
  <w:style w:type="character" w:customStyle="1" w:styleId="Cmsor6Char">
    <w:name w:val="Címsor 6 Char"/>
    <w:basedOn w:val="Bekezdsalapbettpusa"/>
    <w:link w:val="Cmsor6"/>
    <w:uiPriority w:val="9"/>
    <w:rsid w:val="00893D5B"/>
    <w:rPr>
      <w:rFonts w:eastAsia="Times New Roman"/>
      <w:i/>
      <w:szCs w:val="20"/>
      <w:lang w:val="x-none" w:eastAsia="x-none"/>
    </w:rPr>
  </w:style>
  <w:style w:type="character" w:customStyle="1" w:styleId="Cmsor7Char">
    <w:name w:val="Címsor 7 Char"/>
    <w:basedOn w:val="Bekezdsalapbettpusa"/>
    <w:link w:val="Cmsor7"/>
    <w:uiPriority w:val="9"/>
    <w:rsid w:val="00893D5B"/>
    <w:rPr>
      <w:rFonts w:ascii="Arial" w:eastAsia="Times New Roman" w:hAnsi="Arial"/>
      <w:sz w:val="20"/>
      <w:szCs w:val="20"/>
      <w:lang w:val="x-none" w:eastAsia="x-none"/>
    </w:rPr>
  </w:style>
  <w:style w:type="character" w:customStyle="1" w:styleId="Cmsor8Char">
    <w:name w:val="Címsor 8 Char"/>
    <w:basedOn w:val="Bekezdsalapbettpusa"/>
    <w:link w:val="Cmsor8"/>
    <w:uiPriority w:val="9"/>
    <w:rsid w:val="00893D5B"/>
    <w:rPr>
      <w:rFonts w:ascii="Arial" w:eastAsia="Times New Roman" w:hAnsi="Arial"/>
      <w:i/>
      <w:sz w:val="20"/>
      <w:szCs w:val="20"/>
      <w:lang w:val="x-none" w:eastAsia="x-none"/>
    </w:rPr>
  </w:style>
  <w:style w:type="character" w:customStyle="1" w:styleId="Cmsor9Char">
    <w:name w:val="Címsor 9 Char"/>
    <w:basedOn w:val="Bekezdsalapbettpusa"/>
    <w:link w:val="Cmsor9"/>
    <w:uiPriority w:val="9"/>
    <w:rsid w:val="00893D5B"/>
    <w:rPr>
      <w:rFonts w:ascii="Arial" w:eastAsia="Times New Roman" w:hAnsi="Arial"/>
      <w:b/>
      <w:i/>
      <w:sz w:val="18"/>
      <w:szCs w:val="20"/>
      <w:lang w:val="x-none" w:eastAsia="x-none"/>
    </w:rPr>
  </w:style>
  <w:style w:type="paragraph" w:styleId="llb">
    <w:name w:val="footer"/>
    <w:basedOn w:val="Norml"/>
    <w:link w:val="llbChar"/>
    <w:uiPriority w:val="99"/>
    <w:rsid w:val="00893D5B"/>
    <w:pPr>
      <w:tabs>
        <w:tab w:val="center" w:pos="4536"/>
        <w:tab w:val="right" w:pos="9072"/>
      </w:tabs>
    </w:pPr>
    <w:rPr>
      <w:lang w:val="x-none" w:eastAsia="x-none"/>
    </w:rPr>
  </w:style>
  <w:style w:type="character" w:customStyle="1" w:styleId="llbChar">
    <w:name w:val="Élőláb Char"/>
    <w:basedOn w:val="Bekezdsalapbettpusa"/>
    <w:link w:val="llb"/>
    <w:uiPriority w:val="99"/>
    <w:rsid w:val="00893D5B"/>
    <w:rPr>
      <w:rFonts w:eastAsia="Times New Roman"/>
      <w:sz w:val="24"/>
      <w:szCs w:val="24"/>
      <w:lang w:val="x-none" w:eastAsia="x-none"/>
    </w:rPr>
  </w:style>
  <w:style w:type="character" w:styleId="Oldalszm">
    <w:name w:val="page number"/>
    <w:basedOn w:val="Bekezdsalapbettpusa"/>
    <w:rsid w:val="00893D5B"/>
  </w:style>
  <w:style w:type="paragraph" w:styleId="lfej">
    <w:name w:val="header"/>
    <w:basedOn w:val="Norml"/>
    <w:link w:val="lfejChar"/>
    <w:uiPriority w:val="99"/>
    <w:rsid w:val="00893D5B"/>
    <w:pPr>
      <w:tabs>
        <w:tab w:val="center" w:pos="4536"/>
        <w:tab w:val="right" w:pos="9072"/>
      </w:tabs>
    </w:pPr>
    <w:rPr>
      <w:lang w:val="x-none" w:eastAsia="x-none"/>
    </w:rPr>
  </w:style>
  <w:style w:type="character" w:customStyle="1" w:styleId="lfejChar">
    <w:name w:val="Élőfej Char"/>
    <w:basedOn w:val="Bekezdsalapbettpusa"/>
    <w:link w:val="lfej"/>
    <w:uiPriority w:val="99"/>
    <w:rsid w:val="00893D5B"/>
    <w:rPr>
      <w:rFonts w:eastAsia="Times New Roman"/>
      <w:sz w:val="24"/>
      <w:szCs w:val="24"/>
      <w:lang w:val="x-none" w:eastAsia="x-none"/>
    </w:rPr>
  </w:style>
  <w:style w:type="paragraph" w:styleId="Lbjegyzetszveg">
    <w:name w:val="footnote text"/>
    <w:basedOn w:val="Norml"/>
    <w:link w:val="LbjegyzetszvegChar"/>
    <w:rsid w:val="00893D5B"/>
    <w:rPr>
      <w:sz w:val="20"/>
      <w:szCs w:val="20"/>
    </w:rPr>
  </w:style>
  <w:style w:type="character" w:customStyle="1" w:styleId="LbjegyzetszvegChar">
    <w:name w:val="Lábjegyzetszöveg Char"/>
    <w:basedOn w:val="Bekezdsalapbettpusa"/>
    <w:link w:val="Lbjegyzetszveg"/>
    <w:rsid w:val="00893D5B"/>
    <w:rPr>
      <w:rFonts w:eastAsia="Times New Roman"/>
      <w:sz w:val="20"/>
      <w:szCs w:val="20"/>
      <w:lang w:eastAsia="hu-HU"/>
    </w:rPr>
  </w:style>
  <w:style w:type="character" w:styleId="Lbjegyzet-hivatkozs">
    <w:name w:val="footnote reference"/>
    <w:rsid w:val="00893D5B"/>
    <w:rPr>
      <w:vertAlign w:val="superscript"/>
    </w:rPr>
  </w:style>
  <w:style w:type="paragraph" w:styleId="Listaszerbekezds">
    <w:name w:val="List Paragraph"/>
    <w:basedOn w:val="Norml"/>
    <w:uiPriority w:val="34"/>
    <w:qFormat/>
    <w:rsid w:val="00893D5B"/>
    <w:pPr>
      <w:spacing w:after="200" w:line="276" w:lineRule="auto"/>
      <w:ind w:left="720"/>
      <w:contextualSpacing/>
    </w:pPr>
    <w:rPr>
      <w:rFonts w:ascii="Calibri" w:eastAsia="Calibri" w:hAnsi="Calibri"/>
      <w:sz w:val="22"/>
      <w:szCs w:val="22"/>
      <w:lang w:eastAsia="en-US"/>
    </w:rPr>
  </w:style>
  <w:style w:type="character" w:styleId="Jegyzethivatkozs">
    <w:name w:val="annotation reference"/>
    <w:uiPriority w:val="99"/>
    <w:rsid w:val="00893D5B"/>
    <w:rPr>
      <w:sz w:val="16"/>
      <w:szCs w:val="16"/>
    </w:rPr>
  </w:style>
  <w:style w:type="paragraph" w:styleId="Jegyzetszveg">
    <w:name w:val="annotation text"/>
    <w:basedOn w:val="Norml"/>
    <w:link w:val="JegyzetszvegChar"/>
    <w:uiPriority w:val="99"/>
    <w:rsid w:val="00893D5B"/>
    <w:rPr>
      <w:sz w:val="20"/>
      <w:szCs w:val="20"/>
    </w:rPr>
  </w:style>
  <w:style w:type="character" w:customStyle="1" w:styleId="JegyzetszvegChar">
    <w:name w:val="Jegyzetszöveg Char"/>
    <w:basedOn w:val="Bekezdsalapbettpusa"/>
    <w:link w:val="Jegyzetszveg"/>
    <w:uiPriority w:val="99"/>
    <w:rsid w:val="00893D5B"/>
    <w:rPr>
      <w:rFonts w:eastAsia="Times New Roman"/>
      <w:sz w:val="20"/>
      <w:szCs w:val="20"/>
      <w:lang w:eastAsia="hu-HU"/>
    </w:rPr>
  </w:style>
  <w:style w:type="paragraph" w:styleId="Megjegyzstrgya">
    <w:name w:val="annotation subject"/>
    <w:basedOn w:val="Jegyzetszveg"/>
    <w:next w:val="Jegyzetszveg"/>
    <w:link w:val="MegjegyzstrgyaChar"/>
    <w:uiPriority w:val="99"/>
    <w:rsid w:val="00893D5B"/>
    <w:rPr>
      <w:b/>
      <w:bCs/>
      <w:lang w:val="x-none" w:eastAsia="x-none"/>
    </w:rPr>
  </w:style>
  <w:style w:type="character" w:customStyle="1" w:styleId="MegjegyzstrgyaChar">
    <w:name w:val="Megjegyzés tárgya Char"/>
    <w:basedOn w:val="JegyzetszvegChar"/>
    <w:link w:val="Megjegyzstrgya"/>
    <w:uiPriority w:val="99"/>
    <w:rsid w:val="00893D5B"/>
    <w:rPr>
      <w:rFonts w:eastAsia="Times New Roman"/>
      <w:b/>
      <w:bCs/>
      <w:sz w:val="20"/>
      <w:szCs w:val="20"/>
      <w:lang w:val="x-none" w:eastAsia="x-none"/>
    </w:rPr>
  </w:style>
  <w:style w:type="paragraph" w:styleId="Buborkszveg">
    <w:name w:val="Balloon Text"/>
    <w:basedOn w:val="Norml"/>
    <w:link w:val="BuborkszvegChar"/>
    <w:uiPriority w:val="99"/>
    <w:rsid w:val="00893D5B"/>
    <w:rPr>
      <w:rFonts w:ascii="Tahoma" w:hAnsi="Tahoma"/>
      <w:sz w:val="16"/>
      <w:szCs w:val="16"/>
      <w:lang w:val="x-none" w:eastAsia="x-none"/>
    </w:rPr>
  </w:style>
  <w:style w:type="character" w:customStyle="1" w:styleId="BuborkszvegChar">
    <w:name w:val="Buborékszöveg Char"/>
    <w:basedOn w:val="Bekezdsalapbettpusa"/>
    <w:link w:val="Buborkszveg"/>
    <w:uiPriority w:val="99"/>
    <w:rsid w:val="00893D5B"/>
    <w:rPr>
      <w:rFonts w:ascii="Tahoma" w:eastAsia="Times New Roman" w:hAnsi="Tahoma"/>
      <w:sz w:val="16"/>
      <w:szCs w:val="16"/>
      <w:lang w:val="x-none" w:eastAsia="x-none"/>
    </w:rPr>
  </w:style>
  <w:style w:type="table" w:styleId="Rcsostblzat">
    <w:name w:val="Table Grid"/>
    <w:basedOn w:val="Normltblzat"/>
    <w:uiPriority w:val="39"/>
    <w:rsid w:val="00893D5B"/>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893D5B"/>
    <w:pPr>
      <w:spacing w:after="120"/>
    </w:pPr>
    <w:rPr>
      <w:lang w:val="x-none" w:eastAsia="x-none"/>
    </w:rPr>
  </w:style>
  <w:style w:type="character" w:customStyle="1" w:styleId="SzvegtrzsChar">
    <w:name w:val="Szövegtörzs Char"/>
    <w:basedOn w:val="Bekezdsalapbettpusa"/>
    <w:link w:val="Szvegtrzs"/>
    <w:rsid w:val="00893D5B"/>
    <w:rPr>
      <w:rFonts w:eastAsia="Times New Roman"/>
      <w:sz w:val="24"/>
      <w:szCs w:val="24"/>
      <w:lang w:val="x-none" w:eastAsia="x-none"/>
    </w:rPr>
  </w:style>
  <w:style w:type="paragraph" w:styleId="Szvegtrzsbehzssal">
    <w:name w:val="Body Text Indent"/>
    <w:basedOn w:val="Norml"/>
    <w:link w:val="SzvegtrzsbehzssalChar"/>
    <w:rsid w:val="00893D5B"/>
    <w:pPr>
      <w:spacing w:after="120"/>
      <w:ind w:left="283"/>
    </w:pPr>
    <w:rPr>
      <w:lang w:val="x-none" w:eastAsia="x-none"/>
    </w:rPr>
  </w:style>
  <w:style w:type="character" w:customStyle="1" w:styleId="SzvegtrzsbehzssalChar">
    <w:name w:val="Szövegtörzs behúzással Char"/>
    <w:basedOn w:val="Bekezdsalapbettpusa"/>
    <w:link w:val="Szvegtrzsbehzssal"/>
    <w:rsid w:val="00893D5B"/>
    <w:rPr>
      <w:rFonts w:eastAsia="Times New Roman"/>
      <w:sz w:val="24"/>
      <w:szCs w:val="24"/>
      <w:lang w:val="x-none" w:eastAsia="x-none"/>
    </w:rPr>
  </w:style>
  <w:style w:type="paragraph" w:styleId="Szvegtrzs2">
    <w:name w:val="Body Text 2"/>
    <w:basedOn w:val="Norml"/>
    <w:link w:val="Szvegtrzs2Char"/>
    <w:rsid w:val="00893D5B"/>
    <w:pPr>
      <w:spacing w:after="120" w:line="480" w:lineRule="auto"/>
    </w:pPr>
    <w:rPr>
      <w:lang w:val="x-none" w:eastAsia="x-none"/>
    </w:rPr>
  </w:style>
  <w:style w:type="character" w:customStyle="1" w:styleId="Szvegtrzs2Char">
    <w:name w:val="Szövegtörzs 2 Char"/>
    <w:basedOn w:val="Bekezdsalapbettpusa"/>
    <w:link w:val="Szvegtrzs2"/>
    <w:rsid w:val="00893D5B"/>
    <w:rPr>
      <w:rFonts w:eastAsia="Times New Roman"/>
      <w:sz w:val="24"/>
      <w:szCs w:val="24"/>
      <w:lang w:val="x-none" w:eastAsia="x-none"/>
    </w:rPr>
  </w:style>
  <w:style w:type="paragraph" w:customStyle="1" w:styleId="Normlstilus1norml">
    <w:name w:val="Normál.stilus1.normál"/>
    <w:rsid w:val="00893D5B"/>
    <w:pPr>
      <w:autoSpaceDE w:val="0"/>
      <w:autoSpaceDN w:val="0"/>
      <w:spacing w:after="0" w:line="240" w:lineRule="auto"/>
      <w:jc w:val="both"/>
    </w:pPr>
    <w:rPr>
      <w:rFonts w:eastAsia="Times New Roman"/>
      <w:color w:val="000000"/>
      <w:sz w:val="24"/>
      <w:szCs w:val="24"/>
      <w:lang w:eastAsia="hu-HU"/>
    </w:rPr>
  </w:style>
  <w:style w:type="paragraph" w:customStyle="1" w:styleId="vonaljobb">
    <w:name w:val="vonal jobb"/>
    <w:basedOn w:val="Normlstilus1norml"/>
    <w:rsid w:val="00893D5B"/>
    <w:pPr>
      <w:pBdr>
        <w:right w:val="single" w:sz="6" w:space="5" w:color="auto"/>
      </w:pBdr>
      <w:tabs>
        <w:tab w:val="left" w:pos="284"/>
      </w:tabs>
    </w:pPr>
    <w:rPr>
      <w:rFonts w:ascii="Arial Narrow" w:hAnsi="Arial Narrow" w:cs="Arial Narrow"/>
      <w:b/>
      <w:bCs/>
      <w:color w:val="auto"/>
      <w:sz w:val="22"/>
      <w:szCs w:val="22"/>
    </w:rPr>
  </w:style>
  <w:style w:type="paragraph" w:customStyle="1" w:styleId="BodyText21">
    <w:name w:val="Body Text 21"/>
    <w:basedOn w:val="Norml"/>
    <w:rsid w:val="00893D5B"/>
    <w:pPr>
      <w:widowControl w:val="0"/>
      <w:jc w:val="both"/>
    </w:pPr>
  </w:style>
  <w:style w:type="paragraph" w:styleId="NormlWeb">
    <w:name w:val="Normal (Web)"/>
    <w:basedOn w:val="Norml"/>
    <w:uiPriority w:val="99"/>
    <w:rsid w:val="00893D5B"/>
    <w:pPr>
      <w:spacing w:before="100" w:beforeAutospacing="1" w:after="100" w:afterAutospacing="1"/>
    </w:pPr>
  </w:style>
  <w:style w:type="character" w:customStyle="1" w:styleId="CharChar10">
    <w:name w:val="Char Char10"/>
    <w:rsid w:val="00893D5B"/>
    <w:rPr>
      <w:rFonts w:ascii="Times New Roman" w:eastAsia="Times New Roman" w:hAnsi="Times New Roman" w:cs="Times New Roman"/>
      <w:sz w:val="24"/>
      <w:szCs w:val="20"/>
      <w:lang w:eastAsia="hu-HU"/>
    </w:rPr>
  </w:style>
  <w:style w:type="character" w:customStyle="1" w:styleId="apple-converted-space">
    <w:name w:val="apple-converted-space"/>
    <w:rsid w:val="00893D5B"/>
  </w:style>
  <w:style w:type="character" w:styleId="Hiperhivatkozs">
    <w:name w:val="Hyperlink"/>
    <w:uiPriority w:val="99"/>
    <w:unhideWhenUsed/>
    <w:rsid w:val="00893D5B"/>
    <w:rPr>
      <w:color w:val="0000FF"/>
      <w:u w:val="single"/>
    </w:rPr>
  </w:style>
  <w:style w:type="character" w:customStyle="1" w:styleId="CharChar100">
    <w:name w:val="Char Char10"/>
    <w:rsid w:val="00893D5B"/>
    <w:rPr>
      <w:rFonts w:ascii="Times New Roman" w:eastAsia="Times New Roman" w:hAnsi="Times New Roman" w:cs="Times New Roman"/>
      <w:sz w:val="24"/>
      <w:szCs w:val="20"/>
      <w:lang w:eastAsia="hu-HU"/>
    </w:rPr>
  </w:style>
  <w:style w:type="paragraph" w:styleId="Kpalrs">
    <w:name w:val="caption"/>
    <w:basedOn w:val="Norml"/>
    <w:next w:val="Norml"/>
    <w:uiPriority w:val="35"/>
    <w:semiHidden/>
    <w:unhideWhenUsed/>
    <w:qFormat/>
    <w:rsid w:val="00893D5B"/>
    <w:pPr>
      <w:ind w:firstLine="360"/>
    </w:pPr>
    <w:rPr>
      <w:rFonts w:ascii="Calibri" w:eastAsia="Calibri" w:hAnsi="Calibri"/>
      <w:b/>
      <w:bCs/>
      <w:sz w:val="18"/>
      <w:szCs w:val="18"/>
      <w:lang w:eastAsia="en-US" w:bidi="en-US"/>
    </w:rPr>
  </w:style>
  <w:style w:type="paragraph" w:styleId="Cm">
    <w:name w:val="Title"/>
    <w:basedOn w:val="Norml"/>
    <w:next w:val="Norml"/>
    <w:link w:val="CmChar"/>
    <w:uiPriority w:val="10"/>
    <w:qFormat/>
    <w:rsid w:val="00893D5B"/>
    <w:pPr>
      <w:pBdr>
        <w:top w:val="single" w:sz="8" w:space="10" w:color="A7BFDE"/>
        <w:bottom w:val="single" w:sz="24" w:space="15" w:color="9BBB59"/>
      </w:pBdr>
      <w:jc w:val="center"/>
    </w:pPr>
    <w:rPr>
      <w:rFonts w:ascii="Cambria" w:hAnsi="Cambria"/>
      <w:i/>
      <w:iCs/>
      <w:color w:val="243F60"/>
      <w:sz w:val="60"/>
      <w:szCs w:val="60"/>
      <w:lang w:val="x-none" w:eastAsia="en-US" w:bidi="en-US"/>
    </w:rPr>
  </w:style>
  <w:style w:type="character" w:customStyle="1" w:styleId="CmChar">
    <w:name w:val="Cím Char"/>
    <w:basedOn w:val="Bekezdsalapbettpusa"/>
    <w:link w:val="Cm"/>
    <w:uiPriority w:val="10"/>
    <w:rsid w:val="00893D5B"/>
    <w:rPr>
      <w:rFonts w:ascii="Cambria" w:eastAsia="Times New Roman" w:hAnsi="Cambria"/>
      <w:i/>
      <w:iCs/>
      <w:color w:val="243F60"/>
      <w:sz w:val="60"/>
      <w:szCs w:val="60"/>
      <w:lang w:val="x-none" w:bidi="en-US"/>
    </w:rPr>
  </w:style>
  <w:style w:type="paragraph" w:styleId="Alcm">
    <w:name w:val="Subtitle"/>
    <w:basedOn w:val="Norml"/>
    <w:next w:val="Norml"/>
    <w:link w:val="AlcmChar"/>
    <w:uiPriority w:val="11"/>
    <w:qFormat/>
    <w:rsid w:val="00893D5B"/>
    <w:pPr>
      <w:spacing w:before="200" w:after="900"/>
      <w:jc w:val="right"/>
    </w:pPr>
    <w:rPr>
      <w:rFonts w:ascii="Calibri" w:eastAsia="Calibri" w:hAnsi="Calibri"/>
      <w:i/>
      <w:iCs/>
      <w:lang w:val="x-none" w:eastAsia="en-US" w:bidi="en-US"/>
    </w:rPr>
  </w:style>
  <w:style w:type="character" w:customStyle="1" w:styleId="AlcmChar">
    <w:name w:val="Alcím Char"/>
    <w:basedOn w:val="Bekezdsalapbettpusa"/>
    <w:link w:val="Alcm"/>
    <w:uiPriority w:val="11"/>
    <w:rsid w:val="00893D5B"/>
    <w:rPr>
      <w:rFonts w:ascii="Calibri" w:eastAsia="Calibri" w:hAnsi="Calibri"/>
      <w:i/>
      <w:iCs/>
      <w:sz w:val="24"/>
      <w:szCs w:val="24"/>
      <w:lang w:val="x-none" w:bidi="en-US"/>
    </w:rPr>
  </w:style>
  <w:style w:type="character" w:styleId="Kiemels2">
    <w:name w:val="Strong"/>
    <w:uiPriority w:val="22"/>
    <w:qFormat/>
    <w:rsid w:val="00893D5B"/>
    <w:rPr>
      <w:b/>
      <w:bCs/>
      <w:spacing w:val="0"/>
    </w:rPr>
  </w:style>
  <w:style w:type="character" w:styleId="Kiemels">
    <w:name w:val="Emphasis"/>
    <w:uiPriority w:val="20"/>
    <w:qFormat/>
    <w:rsid w:val="00893D5B"/>
    <w:rPr>
      <w:b/>
      <w:bCs/>
      <w:i/>
      <w:iCs/>
      <w:color w:val="5A5A5A"/>
    </w:rPr>
  </w:style>
  <w:style w:type="paragraph" w:styleId="Nincstrkz">
    <w:name w:val="No Spacing"/>
    <w:basedOn w:val="Norml"/>
    <w:link w:val="NincstrkzChar"/>
    <w:uiPriority w:val="1"/>
    <w:qFormat/>
    <w:rsid w:val="00893D5B"/>
    <w:rPr>
      <w:rFonts w:ascii="Calibri" w:eastAsia="Calibri" w:hAnsi="Calibri"/>
      <w:sz w:val="22"/>
      <w:szCs w:val="22"/>
      <w:lang w:val="x-none" w:eastAsia="en-US" w:bidi="en-US"/>
    </w:rPr>
  </w:style>
  <w:style w:type="character" w:customStyle="1" w:styleId="NincstrkzChar">
    <w:name w:val="Nincs térköz Char"/>
    <w:link w:val="Nincstrkz"/>
    <w:uiPriority w:val="1"/>
    <w:rsid w:val="00893D5B"/>
    <w:rPr>
      <w:rFonts w:ascii="Calibri" w:eastAsia="Calibri" w:hAnsi="Calibri"/>
      <w:lang w:val="x-none" w:bidi="en-US"/>
    </w:rPr>
  </w:style>
  <w:style w:type="paragraph" w:styleId="Idzet">
    <w:name w:val="Quote"/>
    <w:basedOn w:val="Norml"/>
    <w:next w:val="Norml"/>
    <w:link w:val="IdzetChar"/>
    <w:uiPriority w:val="29"/>
    <w:qFormat/>
    <w:rsid w:val="00893D5B"/>
    <w:pPr>
      <w:ind w:firstLine="360"/>
    </w:pPr>
    <w:rPr>
      <w:rFonts w:ascii="Cambria" w:hAnsi="Cambria"/>
      <w:i/>
      <w:iCs/>
      <w:color w:val="5A5A5A"/>
      <w:sz w:val="22"/>
      <w:szCs w:val="22"/>
      <w:lang w:val="x-none" w:eastAsia="en-US" w:bidi="en-US"/>
    </w:rPr>
  </w:style>
  <w:style w:type="character" w:customStyle="1" w:styleId="IdzetChar">
    <w:name w:val="Idézet Char"/>
    <w:basedOn w:val="Bekezdsalapbettpusa"/>
    <w:link w:val="Idzet"/>
    <w:uiPriority w:val="29"/>
    <w:rsid w:val="00893D5B"/>
    <w:rPr>
      <w:rFonts w:ascii="Cambria" w:eastAsia="Times New Roman" w:hAnsi="Cambria"/>
      <w:i/>
      <w:iCs/>
      <w:color w:val="5A5A5A"/>
      <w:lang w:val="x-none" w:bidi="en-US"/>
    </w:rPr>
  </w:style>
  <w:style w:type="paragraph" w:styleId="Kiemeltidzet">
    <w:name w:val="Intense Quote"/>
    <w:basedOn w:val="Norml"/>
    <w:next w:val="Norml"/>
    <w:link w:val="KiemeltidzetChar"/>
    <w:uiPriority w:val="30"/>
    <w:qFormat/>
    <w:rsid w:val="00893D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iemeltidzetChar">
    <w:name w:val="Kiemelt idézet Char"/>
    <w:basedOn w:val="Bekezdsalapbettpusa"/>
    <w:link w:val="Kiemeltidzet"/>
    <w:uiPriority w:val="30"/>
    <w:rsid w:val="00893D5B"/>
    <w:rPr>
      <w:rFonts w:ascii="Cambria" w:eastAsia="Times New Roman" w:hAnsi="Cambria"/>
      <w:i/>
      <w:iCs/>
      <w:color w:val="FFFFFF"/>
      <w:sz w:val="24"/>
      <w:szCs w:val="24"/>
      <w:shd w:val="clear" w:color="auto" w:fill="4F81BD"/>
      <w:lang w:val="x-none" w:bidi="en-US"/>
    </w:rPr>
  </w:style>
  <w:style w:type="character" w:styleId="Finomkiemels">
    <w:name w:val="Subtle Emphasis"/>
    <w:uiPriority w:val="19"/>
    <w:qFormat/>
    <w:rsid w:val="00893D5B"/>
    <w:rPr>
      <w:i/>
      <w:iCs/>
      <w:color w:val="5A5A5A"/>
    </w:rPr>
  </w:style>
  <w:style w:type="character" w:styleId="Erskiemels">
    <w:name w:val="Intense Emphasis"/>
    <w:uiPriority w:val="21"/>
    <w:qFormat/>
    <w:rsid w:val="00893D5B"/>
    <w:rPr>
      <w:b/>
      <w:bCs/>
      <w:i/>
      <w:iCs/>
      <w:color w:val="4F81BD"/>
      <w:sz w:val="22"/>
      <w:szCs w:val="22"/>
    </w:rPr>
  </w:style>
  <w:style w:type="character" w:styleId="Finomhivatkozs">
    <w:name w:val="Subtle Reference"/>
    <w:uiPriority w:val="31"/>
    <w:qFormat/>
    <w:rsid w:val="00893D5B"/>
    <w:rPr>
      <w:color w:val="auto"/>
      <w:u w:val="single" w:color="9BBB59"/>
    </w:rPr>
  </w:style>
  <w:style w:type="character" w:styleId="Ershivatkozs">
    <w:name w:val="Intense Reference"/>
    <w:uiPriority w:val="32"/>
    <w:qFormat/>
    <w:rsid w:val="00893D5B"/>
    <w:rPr>
      <w:b/>
      <w:bCs/>
      <w:color w:val="76923C"/>
      <w:u w:val="single" w:color="9BBB59"/>
    </w:rPr>
  </w:style>
  <w:style w:type="character" w:styleId="Knyvcme">
    <w:name w:val="Book Title"/>
    <w:uiPriority w:val="33"/>
    <w:qFormat/>
    <w:rsid w:val="00893D5B"/>
    <w:rPr>
      <w:rFonts w:ascii="Cambria" w:eastAsia="Times New Roman" w:hAnsi="Cambria" w:cs="Times New Roman"/>
      <w:b/>
      <w:bCs/>
      <w:i/>
      <w:iCs/>
      <w:color w:val="auto"/>
    </w:rPr>
  </w:style>
  <w:style w:type="paragraph" w:styleId="Tartalomjegyzkcmsora">
    <w:name w:val="TOC Heading"/>
    <w:basedOn w:val="Cmsor1"/>
    <w:next w:val="Norml"/>
    <w:uiPriority w:val="39"/>
    <w:unhideWhenUsed/>
    <w:qFormat/>
    <w:rsid w:val="00893D5B"/>
    <w:pPr>
      <w:pBdr>
        <w:bottom w:val="single" w:sz="12" w:space="1" w:color="365F91"/>
      </w:pBdr>
      <w:spacing w:before="600" w:after="80"/>
      <w:jc w:val="left"/>
      <w:outlineLvl w:val="9"/>
    </w:pPr>
    <w:rPr>
      <w:rFonts w:ascii="Cambria" w:hAnsi="Cambria"/>
      <w:bCs/>
      <w:color w:val="365F91"/>
      <w:kern w:val="0"/>
      <w:szCs w:val="24"/>
      <w:lang w:eastAsia="en-US" w:bidi="en-US"/>
    </w:rPr>
  </w:style>
  <w:style w:type="paragraph" w:styleId="TJ1">
    <w:name w:val="toc 1"/>
    <w:basedOn w:val="Norml"/>
    <w:next w:val="Norml"/>
    <w:autoRedefine/>
    <w:uiPriority w:val="39"/>
    <w:rsid w:val="00893D5B"/>
  </w:style>
  <w:style w:type="paragraph" w:styleId="TJ2">
    <w:name w:val="toc 2"/>
    <w:basedOn w:val="Norml"/>
    <w:next w:val="Norml"/>
    <w:autoRedefine/>
    <w:uiPriority w:val="39"/>
    <w:rsid w:val="00893D5B"/>
    <w:pPr>
      <w:ind w:left="240"/>
    </w:pPr>
  </w:style>
  <w:style w:type="paragraph" w:styleId="TJ3">
    <w:name w:val="toc 3"/>
    <w:basedOn w:val="Norml"/>
    <w:next w:val="Norml"/>
    <w:autoRedefine/>
    <w:uiPriority w:val="39"/>
    <w:rsid w:val="00893D5B"/>
    <w:pPr>
      <w:ind w:left="480"/>
    </w:pPr>
  </w:style>
  <w:style w:type="paragraph" w:styleId="TJ4">
    <w:name w:val="toc 4"/>
    <w:basedOn w:val="Norml"/>
    <w:next w:val="Norml"/>
    <w:autoRedefine/>
    <w:uiPriority w:val="39"/>
    <w:rsid w:val="00893D5B"/>
    <w:pPr>
      <w:ind w:left="720"/>
    </w:pPr>
  </w:style>
  <w:style w:type="paragraph" w:styleId="TJ5">
    <w:name w:val="toc 5"/>
    <w:basedOn w:val="Norml"/>
    <w:next w:val="Norml"/>
    <w:autoRedefine/>
    <w:uiPriority w:val="39"/>
    <w:rsid w:val="00893D5B"/>
    <w:pPr>
      <w:ind w:left="960"/>
    </w:pPr>
  </w:style>
  <w:style w:type="paragraph" w:styleId="TJ6">
    <w:name w:val="toc 6"/>
    <w:basedOn w:val="Norml"/>
    <w:next w:val="Norml"/>
    <w:autoRedefine/>
    <w:uiPriority w:val="39"/>
    <w:unhideWhenUsed/>
    <w:rsid w:val="00893D5B"/>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893D5B"/>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893D5B"/>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893D5B"/>
    <w:pPr>
      <w:spacing w:after="100" w:line="276" w:lineRule="auto"/>
      <w:ind w:left="1760"/>
    </w:pPr>
    <w:rPr>
      <w:rFonts w:ascii="Calibri" w:hAnsi="Calibri"/>
      <w:sz w:val="22"/>
      <w:szCs w:val="22"/>
    </w:rPr>
  </w:style>
  <w:style w:type="paragraph" w:styleId="Vltozat">
    <w:name w:val="Revision"/>
    <w:hidden/>
    <w:uiPriority w:val="99"/>
    <w:semiHidden/>
    <w:rsid w:val="00893D5B"/>
    <w:pPr>
      <w:spacing w:after="0" w:line="240" w:lineRule="auto"/>
    </w:pPr>
    <w:rPr>
      <w:rFonts w:eastAsia="Times New Roman"/>
      <w:sz w:val="24"/>
      <w:szCs w:val="24"/>
      <w:lang w:eastAsia="hu-HU"/>
    </w:rPr>
  </w:style>
  <w:style w:type="paragraph" w:customStyle="1" w:styleId="cf0">
    <w:name w:val="cf0"/>
    <w:basedOn w:val="Norml"/>
    <w:rsid w:val="00893D5B"/>
    <w:pPr>
      <w:spacing w:before="100" w:beforeAutospacing="1" w:after="100" w:afterAutospacing="1"/>
    </w:pPr>
  </w:style>
  <w:style w:type="paragraph" w:customStyle="1" w:styleId="Cmsor11">
    <w:name w:val="Címsor 11"/>
    <w:basedOn w:val="Norml"/>
    <w:next w:val="Norml"/>
    <w:uiPriority w:val="9"/>
    <w:qFormat/>
    <w:rsid w:val="00893D5B"/>
    <w:pPr>
      <w:keepNext/>
      <w:keepLines/>
      <w:spacing w:before="240"/>
      <w:outlineLvl w:val="0"/>
    </w:pPr>
    <w:rPr>
      <w:rFonts w:ascii="Calibri Light" w:hAnsi="Calibri Light"/>
      <w:color w:val="2E74B5"/>
      <w:sz w:val="32"/>
      <w:szCs w:val="32"/>
      <w:lang w:eastAsia="en-US"/>
    </w:rPr>
  </w:style>
  <w:style w:type="paragraph" w:customStyle="1" w:styleId="Cmsor21">
    <w:name w:val="Címsor 21"/>
    <w:basedOn w:val="Norml"/>
    <w:next w:val="Norml"/>
    <w:uiPriority w:val="9"/>
    <w:unhideWhenUsed/>
    <w:qFormat/>
    <w:rsid w:val="00893D5B"/>
    <w:pPr>
      <w:keepNext/>
      <w:keepLines/>
      <w:spacing w:before="40"/>
      <w:outlineLvl w:val="1"/>
    </w:pPr>
    <w:rPr>
      <w:rFonts w:ascii="Calibri Light" w:hAnsi="Calibri Light"/>
      <w:color w:val="2E74B5"/>
      <w:sz w:val="26"/>
      <w:szCs w:val="26"/>
      <w:lang w:eastAsia="en-US"/>
    </w:rPr>
  </w:style>
  <w:style w:type="paragraph" w:customStyle="1" w:styleId="Cmsor31">
    <w:name w:val="Címsor 31"/>
    <w:basedOn w:val="Norml"/>
    <w:next w:val="Norml"/>
    <w:uiPriority w:val="9"/>
    <w:unhideWhenUsed/>
    <w:qFormat/>
    <w:rsid w:val="00893D5B"/>
    <w:pPr>
      <w:keepNext/>
      <w:keepLines/>
      <w:spacing w:before="40"/>
      <w:outlineLvl w:val="2"/>
    </w:pPr>
    <w:rPr>
      <w:rFonts w:ascii="Calibri Light" w:hAnsi="Calibri Light"/>
      <w:color w:val="1F4D78"/>
      <w:sz w:val="22"/>
      <w:lang w:eastAsia="en-US"/>
    </w:rPr>
  </w:style>
  <w:style w:type="paragraph" w:customStyle="1" w:styleId="Cmsor41">
    <w:name w:val="Címsor 41"/>
    <w:basedOn w:val="Norml"/>
    <w:next w:val="Norml"/>
    <w:uiPriority w:val="9"/>
    <w:qFormat/>
    <w:rsid w:val="00893D5B"/>
    <w:pPr>
      <w:keepNext/>
      <w:spacing w:before="240" w:after="60"/>
      <w:jc w:val="center"/>
      <w:outlineLvl w:val="3"/>
    </w:pPr>
    <w:rPr>
      <w:rFonts w:eastAsia="Calibri"/>
      <w:b/>
      <w:bCs/>
      <w:sz w:val="22"/>
      <w:szCs w:val="22"/>
      <w:lang w:val="x-none" w:eastAsia="x-none"/>
    </w:rPr>
  </w:style>
  <w:style w:type="numbering" w:customStyle="1" w:styleId="Nemlista1">
    <w:name w:val="Nem lista1"/>
    <w:next w:val="Nemlista"/>
    <w:uiPriority w:val="99"/>
    <w:semiHidden/>
    <w:unhideWhenUsed/>
    <w:rsid w:val="00893D5B"/>
  </w:style>
  <w:style w:type="paragraph" w:customStyle="1" w:styleId="Szvegtrzs1">
    <w:name w:val="Szövegtörzs1"/>
    <w:basedOn w:val="Norml"/>
    <w:next w:val="Szvegtrzs"/>
    <w:rsid w:val="00893D5B"/>
    <w:pPr>
      <w:jc w:val="both"/>
    </w:pPr>
    <w:rPr>
      <w:rFonts w:eastAsia="Calibri"/>
      <w:sz w:val="22"/>
      <w:szCs w:val="22"/>
      <w:lang w:eastAsia="en-US"/>
    </w:rPr>
  </w:style>
  <w:style w:type="paragraph" w:customStyle="1" w:styleId="Default">
    <w:name w:val="Default"/>
    <w:rsid w:val="00893D5B"/>
    <w:pPr>
      <w:autoSpaceDE w:val="0"/>
      <w:autoSpaceDN w:val="0"/>
      <w:adjustRightInd w:val="0"/>
      <w:spacing w:after="0" w:line="240" w:lineRule="auto"/>
    </w:pPr>
    <w:rPr>
      <w:rFonts w:eastAsia="Calibri"/>
      <w:color w:val="000000"/>
      <w:sz w:val="24"/>
      <w:szCs w:val="24"/>
    </w:rPr>
  </w:style>
  <w:style w:type="paragraph" w:customStyle="1" w:styleId="Buborkszveg1">
    <w:name w:val="Buborékszöveg1"/>
    <w:basedOn w:val="Norml"/>
    <w:next w:val="Buborkszveg"/>
    <w:uiPriority w:val="99"/>
    <w:semiHidden/>
    <w:unhideWhenUsed/>
    <w:rsid w:val="00893D5B"/>
    <w:rPr>
      <w:rFonts w:ascii="Segoe UI" w:eastAsia="Calibri" w:hAnsi="Segoe UI" w:cs="Segoe UI"/>
      <w:sz w:val="18"/>
      <w:szCs w:val="18"/>
      <w:lang w:eastAsia="en-US"/>
    </w:rPr>
  </w:style>
  <w:style w:type="paragraph" w:customStyle="1" w:styleId="Jegyzetszveg1">
    <w:name w:val="Jegyzetszöveg1"/>
    <w:basedOn w:val="Norml"/>
    <w:next w:val="Jegyzetszveg"/>
    <w:uiPriority w:val="99"/>
    <w:semiHidden/>
    <w:unhideWhenUsed/>
    <w:rsid w:val="00893D5B"/>
    <w:rPr>
      <w:rFonts w:eastAsia="Calibri"/>
      <w:sz w:val="20"/>
      <w:szCs w:val="22"/>
      <w:lang w:eastAsia="en-US"/>
    </w:rPr>
  </w:style>
  <w:style w:type="paragraph" w:customStyle="1" w:styleId="Megjegyzstrgya1">
    <w:name w:val="Megjegyzés tárgya1"/>
    <w:basedOn w:val="Jegyzetszveg"/>
    <w:next w:val="Jegyzetszveg"/>
    <w:uiPriority w:val="99"/>
    <w:semiHidden/>
    <w:unhideWhenUsed/>
    <w:rsid w:val="00893D5B"/>
    <w:rPr>
      <w:rFonts w:eastAsia="Calibri"/>
      <w:b/>
      <w:bCs/>
      <w:szCs w:val="22"/>
      <w:lang w:eastAsia="en-US"/>
    </w:rPr>
  </w:style>
  <w:style w:type="paragraph" w:customStyle="1" w:styleId="Lbjegyzetszveg1">
    <w:name w:val="Lábjegyzetszöveg1"/>
    <w:basedOn w:val="Norml"/>
    <w:next w:val="Lbjegyzetszveg"/>
    <w:uiPriority w:val="99"/>
    <w:semiHidden/>
    <w:rsid w:val="00893D5B"/>
    <w:rPr>
      <w:rFonts w:eastAsia="Calibri"/>
      <w:sz w:val="20"/>
      <w:szCs w:val="22"/>
      <w:lang w:eastAsia="en-US"/>
    </w:rPr>
  </w:style>
  <w:style w:type="paragraph" w:customStyle="1" w:styleId="lfej1">
    <w:name w:val="Élőfej1"/>
    <w:basedOn w:val="Norml"/>
    <w:next w:val="lfej"/>
    <w:uiPriority w:val="99"/>
    <w:unhideWhenUsed/>
    <w:rsid w:val="00893D5B"/>
    <w:pPr>
      <w:tabs>
        <w:tab w:val="center" w:pos="4536"/>
        <w:tab w:val="right" w:pos="9072"/>
      </w:tabs>
    </w:pPr>
    <w:rPr>
      <w:rFonts w:eastAsia="Calibri"/>
      <w:sz w:val="22"/>
      <w:szCs w:val="22"/>
      <w:lang w:eastAsia="en-US"/>
    </w:rPr>
  </w:style>
  <w:style w:type="paragraph" w:customStyle="1" w:styleId="llb1">
    <w:name w:val="Élőláb1"/>
    <w:basedOn w:val="Norml"/>
    <w:next w:val="llb"/>
    <w:uiPriority w:val="99"/>
    <w:unhideWhenUsed/>
    <w:rsid w:val="00893D5B"/>
    <w:pPr>
      <w:tabs>
        <w:tab w:val="center" w:pos="4536"/>
        <w:tab w:val="right" w:pos="9072"/>
      </w:tabs>
    </w:pPr>
    <w:rPr>
      <w:rFonts w:eastAsia="Calibri"/>
      <w:sz w:val="22"/>
      <w:szCs w:val="22"/>
      <w:lang w:eastAsia="en-US"/>
    </w:rPr>
  </w:style>
  <w:style w:type="table" w:customStyle="1" w:styleId="Rcsostblzat1">
    <w:name w:val="Rácsos táblázat1"/>
    <w:basedOn w:val="Normltblzat"/>
    <w:next w:val="Rcsostblzat"/>
    <w:uiPriority w:val="39"/>
    <w:rsid w:val="00893D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next w:val="NormlWeb"/>
    <w:uiPriority w:val="99"/>
    <w:semiHidden/>
    <w:unhideWhenUsed/>
    <w:rsid w:val="00893D5B"/>
    <w:rPr>
      <w:rFonts w:eastAsia="Calibri"/>
      <w:sz w:val="22"/>
      <w:lang w:eastAsia="en-US"/>
    </w:rPr>
  </w:style>
  <w:style w:type="paragraph" w:customStyle="1" w:styleId="Szakasz">
    <w:name w:val="Szakasz"/>
    <w:basedOn w:val="Norml"/>
    <w:link w:val="SzakaszChar"/>
    <w:rsid w:val="00893D5B"/>
    <w:pPr>
      <w:numPr>
        <w:numId w:val="139"/>
      </w:numPr>
      <w:spacing w:after="200"/>
      <w:contextualSpacing/>
      <w:jc w:val="both"/>
    </w:pPr>
    <w:rPr>
      <w:rFonts w:ascii="Calibri" w:eastAsia="Calibri" w:hAnsi="Calibri"/>
      <w:sz w:val="20"/>
      <w:szCs w:val="22"/>
      <w:lang w:eastAsia="en-US"/>
    </w:rPr>
  </w:style>
  <w:style w:type="character" w:customStyle="1" w:styleId="SzakaszChar">
    <w:name w:val="Szakasz Char"/>
    <w:link w:val="Szakasz"/>
    <w:locked/>
    <w:rsid w:val="00893D5B"/>
    <w:rPr>
      <w:rFonts w:ascii="Calibri" w:eastAsia="Calibri" w:hAnsi="Calibri"/>
      <w:sz w:val="20"/>
    </w:rPr>
  </w:style>
  <w:style w:type="character" w:customStyle="1" w:styleId="Hiperhivatkozs1">
    <w:name w:val="Hiperhivatkozás1"/>
    <w:uiPriority w:val="99"/>
    <w:unhideWhenUsed/>
    <w:rsid w:val="00893D5B"/>
    <w:rPr>
      <w:color w:val="0563C1"/>
      <w:u w:val="single"/>
    </w:rPr>
  </w:style>
  <w:style w:type="paragraph" w:customStyle="1" w:styleId="Cmsor51">
    <w:name w:val="Címsor 51"/>
    <w:basedOn w:val="Norml"/>
    <w:next w:val="Norml"/>
    <w:uiPriority w:val="9"/>
    <w:semiHidden/>
    <w:unhideWhenUsed/>
    <w:qFormat/>
    <w:rsid w:val="00893D5B"/>
    <w:pPr>
      <w:keepNext/>
      <w:keepLines/>
      <w:spacing w:before="40" w:line="259" w:lineRule="auto"/>
      <w:ind w:left="3600" w:hanging="360"/>
      <w:jc w:val="both"/>
      <w:outlineLvl w:val="4"/>
    </w:pPr>
    <w:rPr>
      <w:rFonts w:ascii="Calibri Light" w:eastAsia="Yu Gothic Light" w:hAnsi="Calibri Light"/>
      <w:color w:val="2F5496"/>
      <w:sz w:val="22"/>
      <w:szCs w:val="22"/>
      <w:lang w:eastAsia="en-US"/>
    </w:rPr>
  </w:style>
  <w:style w:type="paragraph" w:customStyle="1" w:styleId="Cmsor61">
    <w:name w:val="Címsor 61"/>
    <w:basedOn w:val="Norml"/>
    <w:next w:val="Norml"/>
    <w:uiPriority w:val="9"/>
    <w:semiHidden/>
    <w:unhideWhenUsed/>
    <w:qFormat/>
    <w:rsid w:val="00893D5B"/>
    <w:pPr>
      <w:keepNext/>
      <w:keepLines/>
      <w:spacing w:before="40" w:line="259" w:lineRule="auto"/>
      <w:ind w:left="4320" w:hanging="180"/>
      <w:jc w:val="both"/>
      <w:outlineLvl w:val="5"/>
    </w:pPr>
    <w:rPr>
      <w:rFonts w:ascii="Calibri Light" w:eastAsia="Yu Gothic Light" w:hAnsi="Calibri Light"/>
      <w:color w:val="1F3763"/>
      <w:sz w:val="22"/>
      <w:szCs w:val="22"/>
      <w:lang w:eastAsia="en-US"/>
    </w:rPr>
  </w:style>
  <w:style w:type="paragraph" w:customStyle="1" w:styleId="Cmsor71">
    <w:name w:val="Címsor 71"/>
    <w:basedOn w:val="Norml"/>
    <w:next w:val="Norml"/>
    <w:uiPriority w:val="9"/>
    <w:semiHidden/>
    <w:unhideWhenUsed/>
    <w:qFormat/>
    <w:rsid w:val="00893D5B"/>
    <w:pPr>
      <w:keepNext/>
      <w:keepLines/>
      <w:spacing w:before="40" w:line="259" w:lineRule="auto"/>
      <w:ind w:left="5040" w:hanging="360"/>
      <w:jc w:val="both"/>
      <w:outlineLvl w:val="6"/>
    </w:pPr>
    <w:rPr>
      <w:rFonts w:ascii="Calibri Light" w:eastAsia="Yu Gothic Light" w:hAnsi="Calibri Light"/>
      <w:i/>
      <w:iCs/>
      <w:color w:val="1F3763"/>
      <w:sz w:val="22"/>
      <w:szCs w:val="22"/>
      <w:lang w:eastAsia="en-US"/>
    </w:rPr>
  </w:style>
  <w:style w:type="paragraph" w:customStyle="1" w:styleId="Cmsor81">
    <w:name w:val="Címsor 81"/>
    <w:basedOn w:val="Norml"/>
    <w:next w:val="Norml"/>
    <w:uiPriority w:val="9"/>
    <w:semiHidden/>
    <w:unhideWhenUsed/>
    <w:qFormat/>
    <w:rsid w:val="00893D5B"/>
    <w:pPr>
      <w:keepNext/>
      <w:keepLines/>
      <w:spacing w:before="40" w:line="259" w:lineRule="auto"/>
      <w:ind w:left="5760" w:hanging="360"/>
      <w:jc w:val="both"/>
      <w:outlineLvl w:val="7"/>
    </w:pPr>
    <w:rPr>
      <w:rFonts w:ascii="Calibri Light" w:eastAsia="Yu Gothic Light" w:hAnsi="Calibri Light"/>
      <w:color w:val="272727"/>
      <w:sz w:val="21"/>
      <w:szCs w:val="21"/>
      <w:lang w:eastAsia="en-US"/>
    </w:rPr>
  </w:style>
  <w:style w:type="paragraph" w:customStyle="1" w:styleId="Cmsor91">
    <w:name w:val="Címsor 91"/>
    <w:basedOn w:val="Norml"/>
    <w:next w:val="Norml"/>
    <w:uiPriority w:val="9"/>
    <w:semiHidden/>
    <w:unhideWhenUsed/>
    <w:qFormat/>
    <w:rsid w:val="00893D5B"/>
    <w:pPr>
      <w:keepNext/>
      <w:keepLines/>
      <w:spacing w:before="40" w:line="259" w:lineRule="auto"/>
      <w:ind w:left="6480" w:hanging="180"/>
      <w:jc w:val="both"/>
      <w:outlineLvl w:val="8"/>
    </w:pPr>
    <w:rPr>
      <w:rFonts w:ascii="Calibri Light" w:eastAsia="Yu Gothic Light" w:hAnsi="Calibri Light"/>
      <w:i/>
      <w:iCs/>
      <w:color w:val="272727"/>
      <w:sz w:val="21"/>
      <w:szCs w:val="21"/>
      <w:lang w:eastAsia="en-US"/>
    </w:rPr>
  </w:style>
  <w:style w:type="numbering" w:customStyle="1" w:styleId="Nemlista11">
    <w:name w:val="Nem lista11"/>
    <w:next w:val="Nemlista"/>
    <w:uiPriority w:val="99"/>
    <w:semiHidden/>
    <w:unhideWhenUsed/>
    <w:rsid w:val="00893D5B"/>
  </w:style>
  <w:style w:type="character" w:styleId="Helyrzszveg">
    <w:name w:val="Placeholder Text"/>
    <w:uiPriority w:val="99"/>
    <w:semiHidden/>
    <w:rsid w:val="00893D5B"/>
    <w:rPr>
      <w:color w:val="808080"/>
    </w:rPr>
  </w:style>
  <w:style w:type="paragraph" w:customStyle="1" w:styleId="Cm1">
    <w:name w:val="Cím1"/>
    <w:basedOn w:val="Norml"/>
    <w:next w:val="Norml"/>
    <w:uiPriority w:val="10"/>
    <w:qFormat/>
    <w:rsid w:val="00893D5B"/>
    <w:pPr>
      <w:contextualSpacing/>
      <w:jc w:val="both"/>
    </w:pPr>
    <w:rPr>
      <w:rFonts w:ascii="Calibri Light" w:eastAsia="Yu Gothic Light" w:hAnsi="Calibri Light"/>
      <w:spacing w:val="-10"/>
      <w:kern w:val="28"/>
      <w:sz w:val="56"/>
      <w:szCs w:val="56"/>
      <w:lang w:eastAsia="en-US"/>
    </w:rPr>
  </w:style>
  <w:style w:type="table" w:customStyle="1" w:styleId="Tblzatrcsos5stt3jellszn1">
    <w:name w:val="Táblázat (rácsos) 5 – sötét – 3. jelölőszín1"/>
    <w:basedOn w:val="Normltblzat"/>
    <w:next w:val="Tblzatrcsos5stt3jellszn"/>
    <w:uiPriority w:val="50"/>
    <w:rsid w:val="00893D5B"/>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Vltozat1">
    <w:name w:val="Változat1"/>
    <w:next w:val="Vltozat"/>
    <w:hidden/>
    <w:uiPriority w:val="99"/>
    <w:semiHidden/>
    <w:rsid w:val="00893D5B"/>
    <w:pPr>
      <w:spacing w:after="0" w:line="240" w:lineRule="auto"/>
    </w:pPr>
    <w:rPr>
      <w:rFonts w:eastAsia="Calibri"/>
    </w:rPr>
  </w:style>
  <w:style w:type="table" w:customStyle="1" w:styleId="Tblzatrcsos43jellszn1">
    <w:name w:val="Táblázat (rácsos) 4 – 3. jelölőszín1"/>
    <w:basedOn w:val="Normltblzat"/>
    <w:next w:val="Tblzatrcsos43jellszn"/>
    <w:uiPriority w:val="49"/>
    <w:rsid w:val="00893D5B"/>
    <w:pPr>
      <w:spacing w:after="0" w:line="240" w:lineRule="auto"/>
    </w:pPr>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msor5Char1">
    <w:name w:val="Címsor 5 Char1"/>
    <w:uiPriority w:val="9"/>
    <w:semiHidden/>
    <w:rsid w:val="00893D5B"/>
    <w:rPr>
      <w:rFonts w:ascii="Calibri Light" w:eastAsia="Times New Roman" w:hAnsi="Calibri Light" w:cs="Times New Roman"/>
      <w:color w:val="2E74B5"/>
      <w:sz w:val="24"/>
      <w:szCs w:val="20"/>
      <w:lang w:eastAsia="hu-HU"/>
    </w:rPr>
  </w:style>
  <w:style w:type="character" w:customStyle="1" w:styleId="Cmsor6Char1">
    <w:name w:val="Címsor 6 Char1"/>
    <w:uiPriority w:val="9"/>
    <w:semiHidden/>
    <w:rsid w:val="00893D5B"/>
    <w:rPr>
      <w:rFonts w:ascii="Calibri Light" w:eastAsia="Times New Roman" w:hAnsi="Calibri Light" w:cs="Times New Roman"/>
      <w:color w:val="1F4D78"/>
      <w:sz w:val="24"/>
      <w:szCs w:val="20"/>
      <w:lang w:eastAsia="hu-HU"/>
    </w:rPr>
  </w:style>
  <w:style w:type="character" w:customStyle="1" w:styleId="Cmsor7Char1">
    <w:name w:val="Címsor 7 Char1"/>
    <w:uiPriority w:val="9"/>
    <w:semiHidden/>
    <w:rsid w:val="00893D5B"/>
    <w:rPr>
      <w:rFonts w:ascii="Calibri Light" w:eastAsia="Times New Roman" w:hAnsi="Calibri Light" w:cs="Times New Roman"/>
      <w:i/>
      <w:iCs/>
      <w:color w:val="1F4D78"/>
      <w:sz w:val="24"/>
      <w:szCs w:val="20"/>
      <w:lang w:eastAsia="hu-HU"/>
    </w:rPr>
  </w:style>
  <w:style w:type="character" w:customStyle="1" w:styleId="Cmsor8Char1">
    <w:name w:val="Címsor 8 Char1"/>
    <w:uiPriority w:val="9"/>
    <w:semiHidden/>
    <w:rsid w:val="00893D5B"/>
    <w:rPr>
      <w:rFonts w:ascii="Calibri Light" w:eastAsia="Times New Roman" w:hAnsi="Calibri Light" w:cs="Times New Roman"/>
      <w:color w:val="272727"/>
      <w:sz w:val="21"/>
      <w:szCs w:val="21"/>
      <w:lang w:eastAsia="hu-HU"/>
    </w:rPr>
  </w:style>
  <w:style w:type="character" w:customStyle="1" w:styleId="Cmsor9Char1">
    <w:name w:val="Címsor 9 Char1"/>
    <w:uiPriority w:val="9"/>
    <w:semiHidden/>
    <w:rsid w:val="00893D5B"/>
    <w:rPr>
      <w:rFonts w:ascii="Calibri Light" w:eastAsia="Times New Roman" w:hAnsi="Calibri Light" w:cs="Times New Roman"/>
      <w:i/>
      <w:iCs/>
      <w:color w:val="272727"/>
      <w:sz w:val="21"/>
      <w:szCs w:val="21"/>
      <w:lang w:eastAsia="hu-HU"/>
    </w:rPr>
  </w:style>
  <w:style w:type="character" w:customStyle="1" w:styleId="CmChar1">
    <w:name w:val="Cím Char1"/>
    <w:uiPriority w:val="10"/>
    <w:rsid w:val="00893D5B"/>
    <w:rPr>
      <w:rFonts w:ascii="Calibri Light" w:eastAsia="Times New Roman" w:hAnsi="Calibri Light" w:cs="Times New Roman"/>
      <w:spacing w:val="-10"/>
      <w:kern w:val="28"/>
      <w:sz w:val="56"/>
      <w:szCs w:val="56"/>
    </w:rPr>
  </w:style>
  <w:style w:type="table" w:customStyle="1" w:styleId="Tblzatrcsos5stt3jellszn2">
    <w:name w:val="Táblázat (rácsos) 5 – sötét – 3. jelölőszín2"/>
    <w:basedOn w:val="Normltblzat"/>
    <w:next w:val="Tblzatrcsos5stt3jellszn"/>
    <w:uiPriority w:val="50"/>
    <w:rsid w:val="00893D5B"/>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blzatrcsos43jellszn2">
    <w:name w:val="Táblázat (rácsos) 4 – 3. jelölőszín2"/>
    <w:basedOn w:val="Normltblzat"/>
    <w:next w:val="Tblzatrcsos43jellszn"/>
    <w:uiPriority w:val="49"/>
    <w:rsid w:val="00893D5B"/>
    <w:pPr>
      <w:spacing w:after="0" w:line="240" w:lineRule="auto"/>
    </w:pPr>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TDisplayEquation">
    <w:name w:val="MTDisplayEquation"/>
    <w:basedOn w:val="Norml"/>
    <w:next w:val="Norml"/>
    <w:rsid w:val="00893D5B"/>
    <w:pPr>
      <w:widowControl w:val="0"/>
      <w:numPr>
        <w:ilvl w:val="1"/>
        <w:numId w:val="140"/>
      </w:numPr>
      <w:tabs>
        <w:tab w:val="clear" w:pos="1417"/>
        <w:tab w:val="num" w:pos="737"/>
        <w:tab w:val="center" w:pos="5220"/>
        <w:tab w:val="right" w:pos="9360"/>
      </w:tabs>
      <w:suppressAutoHyphens/>
      <w:ind w:left="737"/>
      <w:jc w:val="both"/>
    </w:pPr>
    <w:rPr>
      <w:lang w:val="cs-CZ" w:eastAsia="ar-SA"/>
    </w:rPr>
  </w:style>
  <w:style w:type="character" w:customStyle="1" w:styleId="Mrltotthiperhivatkozs1">
    <w:name w:val="Már látott hiperhivatkozás1"/>
    <w:uiPriority w:val="99"/>
    <w:semiHidden/>
    <w:unhideWhenUsed/>
    <w:rsid w:val="00893D5B"/>
    <w:rPr>
      <w:color w:val="954F72"/>
      <w:u w:val="single"/>
    </w:rPr>
  </w:style>
  <w:style w:type="character" w:customStyle="1" w:styleId="Cmsor1Char1">
    <w:name w:val="Címsor 1 Char1"/>
    <w:uiPriority w:val="9"/>
    <w:rsid w:val="00893D5B"/>
    <w:rPr>
      <w:rFonts w:ascii="Calibri Light" w:eastAsia="Times New Roman" w:hAnsi="Calibri Light" w:cs="Times New Roman"/>
      <w:color w:val="2E74B5"/>
      <w:sz w:val="32"/>
      <w:szCs w:val="32"/>
    </w:rPr>
  </w:style>
  <w:style w:type="character" w:customStyle="1" w:styleId="Cmsor2Char1">
    <w:name w:val="Címsor 2 Char1"/>
    <w:uiPriority w:val="9"/>
    <w:semiHidden/>
    <w:rsid w:val="00893D5B"/>
    <w:rPr>
      <w:rFonts w:ascii="Calibri Light" w:eastAsia="Times New Roman" w:hAnsi="Calibri Light" w:cs="Times New Roman"/>
      <w:color w:val="2E74B5"/>
      <w:sz w:val="26"/>
      <w:szCs w:val="26"/>
    </w:rPr>
  </w:style>
  <w:style w:type="character" w:customStyle="1" w:styleId="Cmsor3Char1">
    <w:name w:val="Címsor 3 Char1"/>
    <w:uiPriority w:val="9"/>
    <w:semiHidden/>
    <w:rsid w:val="00893D5B"/>
    <w:rPr>
      <w:rFonts w:ascii="Calibri Light" w:eastAsia="Times New Roman" w:hAnsi="Calibri Light" w:cs="Times New Roman"/>
      <w:color w:val="1F4D78"/>
      <w:sz w:val="24"/>
      <w:szCs w:val="24"/>
    </w:rPr>
  </w:style>
  <w:style w:type="character" w:customStyle="1" w:styleId="Cmsor4Char1">
    <w:name w:val="Címsor 4 Char1"/>
    <w:uiPriority w:val="9"/>
    <w:semiHidden/>
    <w:rsid w:val="00893D5B"/>
    <w:rPr>
      <w:rFonts w:ascii="Calibri Light" w:eastAsia="Times New Roman" w:hAnsi="Calibri Light" w:cs="Times New Roman"/>
      <w:i/>
      <w:iCs/>
      <w:color w:val="2E74B5"/>
    </w:rPr>
  </w:style>
  <w:style w:type="character" w:customStyle="1" w:styleId="SzvegtrzsChar1">
    <w:name w:val="Szövegtörzs Char1"/>
    <w:uiPriority w:val="99"/>
    <w:semiHidden/>
    <w:rsid w:val="00893D5B"/>
  </w:style>
  <w:style w:type="character" w:customStyle="1" w:styleId="BuborkszvegChar1">
    <w:name w:val="Buborékszöveg Char1"/>
    <w:uiPriority w:val="99"/>
    <w:semiHidden/>
    <w:rsid w:val="00893D5B"/>
    <w:rPr>
      <w:rFonts w:ascii="Segoe UI" w:hAnsi="Segoe UI" w:cs="Segoe UI"/>
      <w:sz w:val="18"/>
      <w:szCs w:val="18"/>
    </w:rPr>
  </w:style>
  <w:style w:type="character" w:customStyle="1" w:styleId="JegyzetszvegChar1">
    <w:name w:val="Jegyzetszöveg Char1"/>
    <w:uiPriority w:val="99"/>
    <w:semiHidden/>
    <w:rsid w:val="00893D5B"/>
    <w:rPr>
      <w:sz w:val="20"/>
      <w:szCs w:val="20"/>
    </w:rPr>
  </w:style>
  <w:style w:type="character" w:customStyle="1" w:styleId="MegjegyzstrgyaChar1">
    <w:name w:val="Megjegyzés tárgya Char1"/>
    <w:uiPriority w:val="99"/>
    <w:semiHidden/>
    <w:rsid w:val="00893D5B"/>
    <w:rPr>
      <w:b/>
      <w:bCs/>
      <w:sz w:val="20"/>
      <w:szCs w:val="20"/>
    </w:rPr>
  </w:style>
  <w:style w:type="character" w:customStyle="1" w:styleId="LbjegyzetszvegChar1">
    <w:name w:val="Lábjegyzetszöveg Char1"/>
    <w:uiPriority w:val="99"/>
    <w:semiHidden/>
    <w:rsid w:val="00893D5B"/>
    <w:rPr>
      <w:sz w:val="20"/>
      <w:szCs w:val="20"/>
    </w:rPr>
  </w:style>
  <w:style w:type="character" w:customStyle="1" w:styleId="lfejChar1">
    <w:name w:val="Élőfej Char1"/>
    <w:uiPriority w:val="99"/>
    <w:semiHidden/>
    <w:rsid w:val="00893D5B"/>
  </w:style>
  <w:style w:type="character" w:customStyle="1" w:styleId="llbChar1">
    <w:name w:val="Élőláb Char1"/>
    <w:uiPriority w:val="99"/>
    <w:semiHidden/>
    <w:rsid w:val="00893D5B"/>
  </w:style>
  <w:style w:type="table" w:styleId="Tblzatrcsos5stt3jellszn">
    <w:name w:val="Grid Table 5 Dark Accent 3"/>
    <w:basedOn w:val="Normltblzat"/>
    <w:uiPriority w:val="50"/>
    <w:rsid w:val="00893D5B"/>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blzatrcsos43jellszn">
    <w:name w:val="Grid Table 4 Accent 3"/>
    <w:basedOn w:val="Normltblzat"/>
    <w:uiPriority w:val="49"/>
    <w:rsid w:val="00893D5B"/>
    <w:pPr>
      <w:spacing w:after="0" w:line="240" w:lineRule="auto"/>
    </w:pPr>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Mrltotthiperhivatkozs">
    <w:name w:val="FollowedHyperlink"/>
    <w:uiPriority w:val="99"/>
    <w:unhideWhenUsed/>
    <w:rsid w:val="00893D5B"/>
    <w:rPr>
      <w:color w:val="954F72"/>
      <w:u w:val="single"/>
    </w:rPr>
  </w:style>
  <w:style w:type="character" w:customStyle="1" w:styleId="CharChar101">
    <w:name w:val="Char Char10"/>
    <w:rsid w:val="00FD0545"/>
    <w:rPr>
      <w:rFonts w:ascii="Times New Roman" w:eastAsia="Times New Roman" w:hAnsi="Times New Roman" w:cs="Times New Roman"/>
      <w:sz w:val="24"/>
      <w:szCs w:val="20"/>
      <w:lang w:eastAsia="hu-HU"/>
    </w:rPr>
  </w:style>
  <w:style w:type="character" w:customStyle="1" w:styleId="normaltextrun">
    <w:name w:val="normaltextrun"/>
    <w:basedOn w:val="Bekezdsalapbettpusa"/>
    <w:rsid w:val="00934AB0"/>
  </w:style>
  <w:style w:type="paragraph" w:customStyle="1" w:styleId="paragraph">
    <w:name w:val="paragraph"/>
    <w:basedOn w:val="Norml"/>
    <w:rsid w:val="00934AB0"/>
    <w:pPr>
      <w:spacing w:before="100" w:beforeAutospacing="1" w:after="100" w:afterAutospacing="1"/>
    </w:pPr>
  </w:style>
  <w:style w:type="character" w:customStyle="1" w:styleId="eop">
    <w:name w:val="eop"/>
    <w:basedOn w:val="Bekezdsalapbettpusa"/>
    <w:rsid w:val="0093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hr.pte.h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hr.p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btk-ter-dev.pte.hu/site/login"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oktatoi-adatlap.aok.pte.hu"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FCEE-8DAA-402C-A82F-D6AA42F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205</Pages>
  <Words>61113</Words>
  <Characters>421684</Characters>
  <Application>Microsoft Office Word</Application>
  <DocSecurity>0</DocSecurity>
  <Lines>3514</Lines>
  <Paragraphs>963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Alexandra Erzsébet dr.</dc:creator>
  <cp:keywords/>
  <dc:description/>
  <cp:lastModifiedBy>Dr. Trócsányiné dr. Urbán Katalin</cp:lastModifiedBy>
  <cp:revision>38</cp:revision>
  <cp:lastPrinted>2019-10-14T14:49:00Z</cp:lastPrinted>
  <dcterms:created xsi:type="dcterms:W3CDTF">2020-11-23T09:35:00Z</dcterms:created>
  <dcterms:modified xsi:type="dcterms:W3CDTF">2021-07-05T07:32:00Z</dcterms:modified>
</cp:coreProperties>
</file>